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line="240" w:lineRule="atLeast"/>
        <w:jc w:val="left"/>
      </w:pPr>
      <w:r>
        <w:drawing>
          <wp:inline distT="0" distB="0" distL="0" distR="0">
            <wp:extent cx="21717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71700" cy="657225"/>
                    </a:xfrm>
                    <a:prstGeom prst="rect">
                      <a:avLst/>
                    </a:prstGeom>
                  </pic:spPr>
                </pic:pic>
              </a:graphicData>
            </a:graphic>
          </wp:inline>
        </w:drawing>
      </w:r>
    </w:p>
    <w:p>
      <w:pPr>
        <w:spacing w:after="520"/>
      </w:pPr>
    </w:p>
    <w:p>
      <w:pPr>
        <w:spacing w:after="60"/>
      </w:pPr>
      <w:r>
        <w:rPr>
          <w:b/>
          <w:bCs/>
          <w:color w:val="595959"/>
          <w:spacing w:val="60"/>
          <w:sz w:val="19"/>
          <w:szCs w:val="19"/>
        </w:rPr>
        <w:t xml:space="preserve">BUSINESS REQUIREMENTS DOCUMENT</w:t>
      </w:r>
    </w:p>
    <w:p>
      <w:pPr>
        <w:spacing w:after="90"/>
      </w:pPr>
      <w:r>
        <w:rPr>
          <w:b/>
          <w:bCs/>
          <w:color w:val="3B7EF6"/>
          <w:sz w:val="52"/>
          <w:szCs w:val="52"/>
        </w:rPr>
        <w:t xml:space="preserve">ECB Consumer Credit Score 3.0</w:t>
      </w:r>
    </w:p>
    <w:p>
      <w:pPr>
        <w:spacing w:after="340"/>
      </w:pPr>
      <w:r>
        <w:rPr>
          <w:color w:val="1A214D"/>
          <w:sz w:val="26"/>
          <w:szCs w:val="26"/>
        </w:rPr>
        <w:t xml:space="preserve">Rule Engine and Score Check Management — Super Portal</w:t>
      </w:r>
    </w:p>
    <w:p>
      <w:pPr>
        <w:spacing w:after="30"/>
      </w:pPr>
      <w:r>
        <w:rPr>
          <w:b/>
          <w:bCs/>
          <w:color w:val="1A214D"/>
          <w:sz w:val="24"/>
          <w:szCs w:val="24"/>
        </w:rPr>
        <w:t xml:space="preserve">V1.0  /  25 September 2026</w:t>
      </w:r>
    </w:p>
    <w:p>
      <w:pPr>
        <w:spacing w:after="700"/>
      </w:pPr>
      <w:r>
        <w:rPr>
          <w:color w:val="595959"/>
          <w:sz w:val="21"/>
          <w:szCs w:val="21"/>
        </w:rPr>
        <w:t xml:space="preserve">Prepared for Reem Bank</w:t>
      </w:r>
    </w:p>
    <w:p>
      <w:pPr>
        <w:spacing w:after="140" w:line="240" w:lineRule="atLeast"/>
      </w:pPr>
      <w:r>
        <w:drawing>
          <wp:inline distT="0" distB="0" distL="0" distR="0">
            <wp:extent cx="1238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361950"/>
                    </a:xfrm>
                    <a:prstGeom prst="rect">
                      <a:avLst/>
                    </a:prstGeom>
                  </pic:spPr>
                </pic:pic>
              </a:graphicData>
            </a:graphic>
          </wp:inline>
        </w:drawing>
      </w:r>
    </w:p>
    <w:p>
      <w:pPr>
        <w:spacing w:after="40"/>
      </w:pPr>
      <w:r>
        <w:rPr>
          <w:b/>
          <w:bCs/>
          <w:color w:val="1A214D"/>
          <w:sz w:val="19"/>
          <w:szCs w:val="19"/>
        </w:rPr>
        <w:t xml:space="preserve">Appro Onboarding Solutions FZ-LLC  ·  Credit Bureau &amp; Decisioning</w:t>
      </w:r>
    </w:p>
    <w:p>
      <w:pPr>
        <w:spacing w:after="40"/>
      </w:pPr>
      <w:r>
        <w:rPr>
          <w:color w:val="595959"/>
          <w:sz w:val="17"/>
          <w:szCs w:val="17"/>
        </w:rPr>
        <w:t xml:space="preserve">Confidential document between Appro Onboarding Solutions FZ-LLC and the recipient institution — not to be shared outside both organizations.</w:t>
      </w:r>
    </w:p>
    <w:p>
      <w:pPr>
        <w:spacing w:after="240"/>
      </w:pPr>
      <w:r>
        <w:rPr>
          <w:color w:val="595959"/>
          <w:sz w:val="17"/>
          <w:szCs w:val="17"/>
        </w:rPr>
        <w:t xml:space="preserve">Information reflects Appro’s reading of the Etihad Credit Bureau specification at the date of publication. Not legal or regulatory advice.</w:t>
      </w:r>
    </w:p>
    <w:p>
      <w:r>
        <w:br w:type="page"/>
      </w:r>
    </w:p>
    <w:p>
      <w:pPr>
        <w:spacing w:after="200" w:before="360"/>
      </w:pPr>
      <w:r>
        <w:rPr>
          <w:b/>
          <w:bCs/>
          <w:caps/>
          <w:color w:val="000000"/>
          <w:sz w:val="26"/>
          <w:szCs w:val="26"/>
        </w:rPr>
        <w:t xml:space="preserve">1. FEATURE OVERVIEW</w:t>
      </w:r>
    </w:p>
    <w:p>
      <w:pPr>
        <w:spacing w:after="130"/>
      </w:pPr>
      <w:r>
        <w:rPr>
          <w:sz w:val="20"/>
          <w:szCs w:val="20"/>
        </w:rPr>
        <w:t xml:space="preserve">Etihad Credit Bureau replaces Consumer Credit Score 2.1 with </w:t>
      </w:r>
      <w:r>
        <w:rPr>
          <w:b/>
          <w:bCs/>
          <w:sz w:val="20"/>
          <w:szCs w:val="20"/>
        </w:rPr>
        <w:t xml:space="preserve">Consumer Credit Score 3.0</w:t>
      </w:r>
      <w:r>
        <w:rPr>
          <w:sz w:val="20"/>
          <w:szCs w:val="20"/>
        </w:rPr>
        <w:t xml:space="preserve">. Score 3.0 is not a version bump: it splits the scored population in two, each with its own scorecard, its own scale and its own range codes — </w:t>
      </w:r>
      <w:r>
        <w:rPr>
          <w:b/>
          <w:bCs/>
          <w:sz w:val="20"/>
          <w:szCs w:val="20"/>
        </w:rPr>
        <w:t xml:space="preserve">Mature</w:t>
      </w:r>
      <w:r>
        <w:rPr>
          <w:sz w:val="20"/>
          <w:szCs w:val="20"/>
        </w:rPr>
        <w:t xml:space="preserve"> (300 – 850, codes M0–M9) and </w:t>
      </w:r>
      <w:r>
        <w:rPr>
          <w:b/>
          <w:bCs/>
          <w:sz w:val="20"/>
          <w:szCs w:val="20"/>
        </w:rPr>
        <w:t xml:space="preserve">New to Credit</w:t>
      </w:r>
      <w:r>
        <w:rPr>
          <w:sz w:val="20"/>
          <w:szCs w:val="20"/>
        </w:rPr>
        <w:t xml:space="preserve"> (300 – 650, codes N0–N9).</w:t>
      </w:r>
    </w:p>
    <w:p>
      <w:pPr>
        <w:spacing w:after="130"/>
      </w:pPr>
      <w:r>
        <w:rPr>
          <w:sz w:val="20"/>
          <w:szCs w:val="20"/>
        </w:rPr>
        <w:t xml:space="preserve">The bureau has confirmed </w:t>
      </w:r>
      <w:r>
        <w:rPr>
          <w:b/>
          <w:bCs/>
          <w:sz w:val="20"/>
          <w:szCs w:val="20"/>
        </w:rPr>
        <w:t xml:space="preserve">no change to the A2A request format or to connectivity</w:t>
      </w:r>
      <w:r>
        <w:rPr>
          <w:sz w:val="20"/>
          <w:szCs w:val="20"/>
        </w:rPr>
        <w:t xml:space="preserve">. The response is enriched, not restructured. Nothing in the current Super Portal integration breaks. What changes is the vocabulary the credit policy is written in — and that is what this document specifies.</w:t>
      </w:r>
    </w:p>
    <w:p>
      <w:pPr>
        <w:spacing w:after="130"/>
      </w:pPr>
      <w:r>
        <w:rPr>
          <w:b/>
          <w:bCs/>
          <w:sz w:val="20"/>
          <w:szCs w:val="20"/>
        </w:rPr>
        <w:t xml:space="preserve">What is delivered</w:t>
      </w:r>
    </w:p>
    <w:p>
      <w:pPr>
        <w:pStyle w:val="ListParagraph"/>
        <w:numPr>
          <w:ilvl w:val="0"/>
          <w:numId w:val="1"/>
        </w:numPr>
        <w:spacing w:after="70"/>
      </w:pPr>
      <w:r>
        <w:rPr>
          <w:sz w:val="20"/>
          <w:szCs w:val="20"/>
        </w:rPr>
        <w:t xml:space="preserve">A single, backend-configurable </w:t>
      </w:r>
      <w:r>
        <w:rPr>
          <w:b/>
          <w:bCs/>
          <w:sz w:val="20"/>
          <w:szCs w:val="20"/>
        </w:rPr>
        <w:t xml:space="preserve">Score Range master</w:t>
      </w:r>
      <w:r>
        <w:rPr>
          <w:sz w:val="20"/>
          <w:szCs w:val="20"/>
        </w:rPr>
        <w:t xml:space="preserve"> holds every range code. Adding, editing or deactivating a range needs no code change and no deployment.</w:t>
      </w:r>
    </w:p>
    <w:p>
      <w:pPr>
        <w:pStyle w:val="ListParagraph"/>
        <w:numPr>
          <w:ilvl w:val="0"/>
          <w:numId w:val="1"/>
        </w:numPr>
        <w:spacing w:after="70"/>
      </w:pPr>
      <w:r>
        <w:rPr>
          <w:b/>
          <w:bCs/>
          <w:sz w:val="20"/>
          <w:szCs w:val="20"/>
        </w:rPr>
        <w:t xml:space="preserve">Segment detection</w:t>
      </w:r>
      <w:r>
        <w:rPr>
          <w:sz w:val="20"/>
          <w:szCs w:val="20"/>
        </w:rPr>
        <w:t xml:space="preserve"> derives Mature or New to Credit from the returned range by exact match against that master — never by reading the first character.</w:t>
      </w:r>
    </w:p>
    <w:p>
      <w:pPr>
        <w:pStyle w:val="ListParagraph"/>
        <w:numPr>
          <w:ilvl w:val="0"/>
          <w:numId w:val="1"/>
        </w:numPr>
        <w:spacing w:after="70"/>
      </w:pPr>
      <w:r>
        <w:rPr>
          <w:sz w:val="20"/>
          <w:szCs w:val="20"/>
        </w:rPr>
        <w:t xml:space="preserve">The </w:t>
      </w:r>
      <w:r>
        <w:rPr>
          <w:b/>
          <w:bCs/>
          <w:sz w:val="20"/>
          <w:szCs w:val="20"/>
        </w:rPr>
        <w:t xml:space="preserve">AECB Score Range</w:t>
      </w:r>
      <w:r>
        <w:rPr>
          <w:sz w:val="20"/>
          <w:szCs w:val="20"/>
        </w:rPr>
        <w:t xml:space="preserve"> criterion in the Rule Engine offers the Score 3.0 codes in addition to the existing families; nothing already published is retired or remapped.</w:t>
      </w:r>
    </w:p>
    <w:p>
      <w:pPr>
        <w:pStyle w:val="ListParagraph"/>
        <w:numPr>
          <w:ilvl w:val="0"/>
          <w:numId w:val="1"/>
        </w:numPr>
        <w:spacing w:after="70"/>
      </w:pPr>
      <w:r>
        <w:rPr>
          <w:sz w:val="20"/>
          <w:szCs w:val="20"/>
        </w:rPr>
        <w:t xml:space="preserve">A new </w:t>
      </w:r>
      <w:r>
        <w:rPr>
          <w:b/>
          <w:bCs/>
          <w:sz w:val="20"/>
          <w:szCs w:val="20"/>
        </w:rPr>
        <w:t xml:space="preserve">AECB Score Segment</w:t>
      </w:r>
      <w:r>
        <w:rPr>
          <w:sz w:val="20"/>
          <w:szCs w:val="20"/>
        </w:rPr>
        <w:t xml:space="preserve"> variable is added to Segmentation, Filtration and Deviation, so a strategy can tell the two populations apart.</w:t>
      </w:r>
    </w:p>
    <w:p>
      <w:pPr>
        <w:pStyle w:val="ListParagraph"/>
        <w:numPr>
          <w:ilvl w:val="0"/>
          <w:numId w:val="1"/>
        </w:numPr>
        <w:spacing w:after="70"/>
      </w:pPr>
      <w:r>
        <w:rPr>
          <w:b/>
          <w:bCs/>
          <w:sz w:val="20"/>
          <w:szCs w:val="20"/>
        </w:rPr>
        <w:t xml:space="preserve">AECB Score Range</w:t>
      </w:r>
      <w:r>
        <w:rPr>
          <w:sz w:val="20"/>
          <w:szCs w:val="20"/>
        </w:rPr>
        <w:t xml:space="preserve"> and </w:t>
      </w:r>
      <w:r>
        <w:rPr>
          <w:b/>
          <w:bCs/>
          <w:sz w:val="20"/>
          <w:szCs w:val="20"/>
        </w:rPr>
        <w:t xml:space="preserve">AECB Score Segment</w:t>
      </w:r>
      <w:r>
        <w:rPr>
          <w:sz w:val="20"/>
          <w:szCs w:val="20"/>
        </w:rPr>
        <w:t xml:space="preserve"> become attributes in Score Check Management, alongside the existing numeric score.</w:t>
      </w:r>
    </w:p>
    <w:p>
      <w:pPr>
        <w:pStyle w:val="ListParagraph"/>
        <w:numPr>
          <w:ilvl w:val="0"/>
          <w:numId w:val="1"/>
        </w:numPr>
        <w:spacing w:after="70"/>
      </w:pPr>
      <w:r>
        <w:rPr>
          <w:sz w:val="20"/>
          <w:szCs w:val="20"/>
        </w:rPr>
        <w:t xml:space="preserve">The application enquiry banner, the queues and the credit report display the range </w:t>
      </w:r>
      <w:r>
        <w:rPr>
          <w:b/>
          <w:bCs/>
          <w:sz w:val="20"/>
          <w:szCs w:val="20"/>
        </w:rPr>
        <w:t xml:space="preserve">code and description</w:t>
      </w:r>
      <w:r>
        <w:rPr>
          <w:sz w:val="20"/>
          <w:szCs w:val="20"/>
        </w:rPr>
        <w:t xml:space="preserve"> plus the segment.</w:t>
      </w:r>
    </w:p>
    <w:p>
      <w:r>
        <w:br w:type="page"/>
      </w:r>
    </w:p>
    <w:p>
      <w:pPr>
        <w:spacing w:after="140" w:before="260"/>
      </w:pPr>
      <w:r>
        <w:rPr>
          <w:b/>
          <w:bCs/>
          <w:color w:val="156082"/>
          <w:sz w:val="23"/>
          <w:szCs w:val="23"/>
        </w:rPr>
        <w:t xml:space="preserve">End-to-end flow</w:t>
      </w:r>
    </w:p>
    <w:p>
      <w:pPr>
        <w:spacing w:after="0" w:before="120" w:line="240" w:lineRule="atLeast"/>
        <w:jc w:val="center"/>
      </w:pPr>
      <w:r>
        <w:drawing>
          <wp:inline distT="0" distB="0" distL="0" distR="0">
            <wp:extent cx="5048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5286375"/>
                    </a:xfrm>
                    <a:prstGeom prst="rect">
                      <a:avLst/>
                    </a:prstGeom>
                  </pic:spPr>
                </pic:pic>
              </a:graphicData>
            </a:graphic>
          </wp:inline>
        </w:drawing>
      </w:r>
    </w:p>
    <w:p>
      <w:pPr>
        <w:spacing w:after="220" w:before="60"/>
        <w:jc w:val="center"/>
      </w:pPr>
      <w:r>
        <w:rPr>
          <w:i/>
          <w:iCs/>
          <w:color w:val="595959"/>
          <w:sz w:val="17"/>
          <w:szCs w:val="17"/>
        </w:rPr>
        <w:t xml:space="preserve">How a Score 3.0 response reaches a credit decision</w:t>
      </w:r>
    </w:p>
    <w:p>
      <w:r>
        <w:br w:type="page"/>
      </w:r>
    </w:p>
    <w:p>
      <w:pPr>
        <w:spacing w:after="200" w:before="360"/>
      </w:pPr>
      <w:r>
        <w:rPr>
          <w:b/>
          <w:bCs/>
          <w:caps/>
          <w:color w:val="000000"/>
          <w:sz w:val="26"/>
          <w:szCs w:val="26"/>
        </w:rPr>
        <w:t xml:space="preserve">2. SCOPE</w:t>
      </w:r>
    </w:p>
    <w:p>
      <w:pPr>
        <w:spacing w:after="140" w:before="260"/>
      </w:pPr>
      <w:r>
        <w:rPr>
          <w:b/>
          <w:bCs/>
          <w:color w:val="156082"/>
          <w:sz w:val="23"/>
          <w:szCs w:val="23"/>
        </w:rPr>
        <w:t xml:space="preserve">Product scope</w:t>
      </w:r>
    </w:p>
    <w:p>
      <w:pPr>
        <w:spacing w:after="130"/>
      </w:pPr>
      <w:r>
        <w:rPr>
          <w:sz w:val="20"/>
          <w:szCs w:val="20"/>
        </w:rPr>
        <w:t xml:space="preserve">Rule Engine Strategies (Segmentation, Filtration and Deviation), Score Check Management, the application enquiry banner and the credit report — for the products where Score Check Management is enabled: </w:t>
      </w:r>
      <w:r>
        <w:rPr>
          <w:b/>
          <w:bCs/>
          <w:sz w:val="20"/>
          <w:szCs w:val="20"/>
        </w:rPr>
        <w:t xml:space="preserve">Credit Card, Personal Loan and CASA</w:t>
      </w:r>
      <w:r>
        <w:rPr>
          <w:sz w:val="20"/>
          <w:szCs w:val="20"/>
        </w:rPr>
        <w:t xml:space="preserve">. The Mortgage Loan and Auto Loan tabs are disabled in the current build and are out of scope.</w:t>
      </w:r>
    </w:p>
    <w:p>
      <w:pPr>
        <w:spacing w:after="140" w:before="260"/>
      </w:pPr>
      <w:r>
        <w:rPr>
          <w:b/>
          <w:bCs/>
          <w:color w:val="156082"/>
          <w:sz w:val="23"/>
          <w:szCs w:val="23"/>
        </w:rPr>
        <w:t xml:space="preserve">In-scope scenarios</w:t>
      </w:r>
    </w:p>
    <w:p>
      <w:pPr>
        <w:pStyle w:val="ListParagraph"/>
        <w:numPr>
          <w:ilvl w:val="0"/>
          <w:numId w:val="2"/>
        </w:numPr>
        <w:spacing w:after="70"/>
      </w:pPr>
      <w:r>
        <w:rPr>
          <w:b/>
          <w:bCs/>
          <w:sz w:val="20"/>
          <w:szCs w:val="20"/>
        </w:rPr>
        <w:t xml:space="preserve">S1</w:t>
      </w:r>
      <w:r>
        <w:rPr>
          <w:sz w:val="20"/>
          <w:szCs w:val="20"/>
        </w:rPr>
        <w:t xml:space="preserve"> — A Credit user selects an AECB Score Range value on a Strategy criterion and is offered the Score 3.0 codes.</w:t>
      </w:r>
    </w:p>
    <w:p>
      <w:pPr>
        <w:pStyle w:val="ListParagraph"/>
        <w:numPr>
          <w:ilvl w:val="0"/>
          <w:numId w:val="2"/>
        </w:numPr>
        <w:spacing w:after="70"/>
      </w:pPr>
      <w:r>
        <w:rPr>
          <w:b/>
          <w:bCs/>
          <w:sz w:val="20"/>
          <w:szCs w:val="20"/>
        </w:rPr>
        <w:t xml:space="preserve">S2</w:t>
      </w:r>
      <w:r>
        <w:rPr>
          <w:sz w:val="20"/>
          <w:szCs w:val="20"/>
        </w:rPr>
        <w:t xml:space="preserve"> — A Credit user builds a rule on the new AECB Score Segment variable.</w:t>
      </w:r>
    </w:p>
    <w:p>
      <w:pPr>
        <w:pStyle w:val="ListParagraph"/>
        <w:numPr>
          <w:ilvl w:val="0"/>
          <w:numId w:val="2"/>
        </w:numPr>
        <w:spacing w:after="70"/>
      </w:pPr>
      <w:r>
        <w:rPr>
          <w:b/>
          <w:bCs/>
          <w:sz w:val="20"/>
          <w:szCs w:val="20"/>
        </w:rPr>
        <w:t xml:space="preserve">S3</w:t>
      </w:r>
      <w:r>
        <w:rPr>
          <w:sz w:val="20"/>
          <w:szCs w:val="20"/>
        </w:rPr>
        <w:t xml:space="preserve"> — A Credit user adds an AECB Score Range condition to a Score Check Management value set.</w:t>
      </w:r>
    </w:p>
    <w:p>
      <w:pPr>
        <w:pStyle w:val="ListParagraph"/>
        <w:numPr>
          <w:ilvl w:val="0"/>
          <w:numId w:val="2"/>
        </w:numPr>
        <w:spacing w:after="70"/>
      </w:pPr>
      <w:r>
        <w:rPr>
          <w:b/>
          <w:bCs/>
          <w:sz w:val="20"/>
          <w:szCs w:val="20"/>
        </w:rPr>
        <w:t xml:space="preserve">S4</w:t>
      </w:r>
      <w:r>
        <w:rPr>
          <w:sz w:val="20"/>
          <w:szCs w:val="20"/>
        </w:rPr>
        <w:t xml:space="preserve"> — An application returns a Score 3.0 range; segment, code and description are derived, displayed and evaluated.</w:t>
      </w:r>
    </w:p>
    <w:p>
      <w:pPr>
        <w:pStyle w:val="ListParagraph"/>
        <w:numPr>
          <w:ilvl w:val="0"/>
          <w:numId w:val="2"/>
        </w:numPr>
        <w:spacing w:after="70"/>
      </w:pPr>
      <w:r>
        <w:rPr>
          <w:b/>
          <w:bCs/>
          <w:sz w:val="20"/>
          <w:szCs w:val="20"/>
        </w:rPr>
        <w:t xml:space="preserve">S5</w:t>
      </w:r>
      <w:r>
        <w:rPr>
          <w:sz w:val="20"/>
          <w:szCs w:val="20"/>
        </w:rPr>
        <w:t xml:space="preserve"> — An application returns an existing family range code; behaviour is unchanged.</w:t>
      </w:r>
    </w:p>
    <w:p>
      <w:pPr>
        <w:pStyle w:val="ListParagraph"/>
        <w:numPr>
          <w:ilvl w:val="0"/>
          <w:numId w:val="2"/>
        </w:numPr>
        <w:spacing w:after="70"/>
      </w:pPr>
      <w:r>
        <w:rPr>
          <w:b/>
          <w:bCs/>
          <w:sz w:val="20"/>
          <w:szCs w:val="20"/>
        </w:rPr>
        <w:t xml:space="preserve">S6</w:t>
      </w:r>
      <w:r>
        <w:rPr>
          <w:sz w:val="20"/>
          <w:szCs w:val="20"/>
        </w:rPr>
        <w:t xml:space="preserve"> — A range is added, edited or deactivated in the master after go-live, with no code change and no deployment.</w:t>
      </w:r>
    </w:p>
    <w:p>
      <w:pPr>
        <w:spacing w:after="140" w:before="260"/>
      </w:pPr>
      <w:r>
        <w:rPr>
          <w:b/>
          <w:bCs/>
          <w:color w:val="156082"/>
          <w:sz w:val="23"/>
          <w:szCs w:val="23"/>
        </w:rPr>
        <w:t xml:space="preserve">Not in scope</w:t>
      </w:r>
    </w:p>
    <w:p>
      <w:pPr>
        <w:pStyle w:val="ListParagraph"/>
        <w:numPr>
          <w:ilvl w:val="0"/>
          <w:numId w:val="1"/>
        </w:numPr>
        <w:spacing w:after="70"/>
      </w:pPr>
      <w:r>
        <w:rPr>
          <w:sz w:val="20"/>
          <w:szCs w:val="20"/>
        </w:rPr>
        <w:t xml:space="preserve">Any change to the bureau request or response contract.</w:t>
      </w:r>
    </w:p>
    <w:p>
      <w:pPr>
        <w:pStyle w:val="ListParagraph"/>
        <w:numPr>
          <w:ilvl w:val="0"/>
          <w:numId w:val="1"/>
        </w:numPr>
        <w:spacing w:after="70"/>
      </w:pPr>
      <w:r>
        <w:rPr>
          <w:sz w:val="20"/>
          <w:szCs w:val="20"/>
        </w:rPr>
        <w:t xml:space="preserve">Any change to Limit Assignment boundaries or deviation thresholds.</w:t>
      </w:r>
    </w:p>
    <w:p>
      <w:pPr>
        <w:pStyle w:val="ListParagraph"/>
        <w:numPr>
          <w:ilvl w:val="0"/>
          <w:numId w:val="1"/>
        </w:numPr>
        <w:spacing w:after="70"/>
      </w:pPr>
      <w:r>
        <w:rPr>
          <w:sz w:val="20"/>
          <w:szCs w:val="20"/>
        </w:rPr>
        <w:t xml:space="preserve">Mortgage Loan and Auto Loan, whose Score Check Management tabs are disabled.</w:t>
      </w:r>
    </w:p>
    <w:p>
      <w:pPr>
        <w:pStyle w:val="ListParagraph"/>
        <w:numPr>
          <w:ilvl w:val="0"/>
          <w:numId w:val="1"/>
        </w:numPr>
        <w:spacing w:after="70"/>
      </w:pPr>
      <w:r>
        <w:rPr>
          <w:sz w:val="20"/>
          <w:szCs w:val="20"/>
        </w:rPr>
        <w:t xml:space="preserve">The bank’s own cut-offs, tier mapping and policy tables. Appro configures what the bank decides; the decisions themselves sit with Credit and Risk.</w:t>
      </w:r>
    </w:p>
    <w:p>
      <w:r>
        <w:br w:type="page"/>
      </w:r>
    </w:p>
    <w:p>
      <w:pPr>
        <w:spacing w:after="200" w:before="360"/>
      </w:pPr>
      <w:r>
        <w:rPr>
          <w:b/>
          <w:bCs/>
          <w:caps/>
          <w:color w:val="000000"/>
          <w:sz w:val="26"/>
          <w:szCs w:val="26"/>
        </w:rPr>
        <w:t xml:space="preserve">3. THE SCORE RANGE MASTER</w:t>
      </w:r>
    </w:p>
    <w:p>
      <w:pPr>
        <w:spacing w:after="130"/>
      </w:pPr>
      <w:r>
        <w:rPr>
          <w:sz w:val="20"/>
          <w:szCs w:val="20"/>
        </w:rPr>
        <w:t xml:space="preserve">Every range code the platform recognises lives in one master. Each entry carries the range code, its risk group, its descriptive band, the segment or score name it belongs to, the minimum and maximum score of the band, and an active flag.</w:t>
      </w:r>
    </w:p>
    <w:p>
      <w:pPr>
        <w:spacing w:after="130"/>
      </w:pPr>
      <w:r>
        <w:rPr>
          <w:b/>
          <w:bCs/>
          <w:sz w:val="20"/>
          <w:szCs w:val="20"/>
        </w:rPr>
        <w:t xml:space="preserve">Range codes are never hard-coded in service logic.</w:t>
      </w:r>
      <w:r>
        <w:rPr>
          <w:sz w:val="20"/>
          <w:szCs w:val="20"/>
        </w:rPr>
        <w:t xml:space="preserve"> Every consumer — the Rule Engine, Score Check Management, the enquiry banner, the queues and the report — reads this master. Adding, editing or deactivating a range is a configuration change, not a release.</w:t>
      </w:r>
    </w:p>
    <w:p>
      <w:pPr>
        <w:spacing w:after="130"/>
      </w:pPr>
      <w:r>
        <w:rPr>
          <w:sz w:val="20"/>
          <w:szCs w:val="20"/>
        </w:rPr>
        <w:t xml:space="preserve">The bureau’s own bands are reproduced below. Both segments are fully contiguous: every score inside a segment’s scale resolves to exactly one code, with no gaps and no overlaps.</w:t>
      </w:r>
    </w:p>
    <w:p>
      <w:pPr>
        <w:spacing w:after="40"/>
      </w:pP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000"/>
        <w:gridCol w:w="1100"/>
        <w:gridCol w:w="2100"/>
        <w:gridCol w:w="1800"/>
        <w:gridCol w:w="1320"/>
        <w:gridCol w:w="1320"/>
      </w:tblGrid>
      <w:tr>
        <w:trPr>
          <w:tblHeader/>
        </w:trPr>
        <w:tc>
          <w:tcPr>
            <w:tcW w:type="dxa" w:w="2000"/>
            <w:shd w:fill="156082" w:color="auto" w:val="clear"/>
            <w:tcMar>
              <w:top w:type="dxa" w:w="80"/>
              <w:left w:type="dxa" w:w="110"/>
              <w:bottom w:type="dxa" w:w="80"/>
              <w:right w:type="dxa" w:w="110"/>
            </w:tcMar>
            <w:vAlign w:val="center"/>
          </w:tcPr>
          <w:p>
            <w:r>
              <w:rPr>
                <w:b/>
                <w:bCs/>
                <w:color w:val="FFFFFF"/>
                <w:sz w:val="19"/>
                <w:szCs w:val="19"/>
              </w:rPr>
              <w:t xml:space="preserve">Segment</w:t>
            </w:r>
          </w:p>
        </w:tc>
        <w:tc>
          <w:tcPr>
            <w:tcW w:type="dxa" w:w="1100"/>
            <w:shd w:fill="156082" w:color="auto" w:val="clear"/>
            <w:tcMar>
              <w:top w:type="dxa" w:w="80"/>
              <w:left w:type="dxa" w:w="110"/>
              <w:bottom w:type="dxa" w:w="80"/>
              <w:right w:type="dxa" w:w="110"/>
            </w:tcMar>
            <w:vAlign w:val="center"/>
          </w:tcPr>
          <w:p>
            <w:r>
              <w:rPr>
                <w:b/>
                <w:bCs/>
                <w:color w:val="FFFFFF"/>
                <w:sz w:val="19"/>
                <w:szCs w:val="19"/>
              </w:rPr>
              <w:t xml:space="preserve">Code</w:t>
            </w:r>
          </w:p>
        </w:tc>
        <w:tc>
          <w:tcPr>
            <w:tcW w:type="dxa" w:w="2100"/>
            <w:shd w:fill="156082" w:color="auto" w:val="clear"/>
            <w:tcMar>
              <w:top w:type="dxa" w:w="80"/>
              <w:left w:type="dxa" w:w="110"/>
              <w:bottom w:type="dxa" w:w="80"/>
              <w:right w:type="dxa" w:w="110"/>
            </w:tcMar>
            <w:vAlign w:val="center"/>
          </w:tcPr>
          <w:p>
            <w:r>
              <w:rPr>
                <w:b/>
                <w:bCs/>
                <w:color w:val="FFFFFF"/>
                <w:sz w:val="19"/>
                <w:szCs w:val="19"/>
              </w:rPr>
              <w:t xml:space="preserve">Risk group</w:t>
            </w:r>
          </w:p>
        </w:tc>
        <w:tc>
          <w:tcPr>
            <w:tcW w:type="dxa" w:w="1800"/>
            <w:shd w:fill="156082" w:color="auto" w:val="clear"/>
            <w:tcMar>
              <w:top w:type="dxa" w:w="80"/>
              <w:left w:type="dxa" w:w="110"/>
              <w:bottom w:type="dxa" w:w="80"/>
              <w:right w:type="dxa" w:w="110"/>
            </w:tcMar>
            <w:vAlign w:val="center"/>
          </w:tcPr>
          <w:p>
            <w:r>
              <w:rPr>
                <w:b/>
                <w:bCs/>
                <w:color w:val="FFFFFF"/>
                <w:sz w:val="19"/>
                <w:szCs w:val="19"/>
              </w:rPr>
              <w:t xml:space="preserve">Band</w:t>
            </w:r>
          </w:p>
        </w:tc>
        <w:tc>
          <w:tcPr>
            <w:tcW w:type="dxa" w:w="1320"/>
            <w:shd w:fill="156082" w:color="auto" w:val="clear"/>
            <w:tcMar>
              <w:top w:type="dxa" w:w="80"/>
              <w:left w:type="dxa" w:w="110"/>
              <w:bottom w:type="dxa" w:w="80"/>
              <w:right w:type="dxa" w:w="110"/>
            </w:tcMar>
            <w:vAlign w:val="center"/>
          </w:tcPr>
          <w:p>
            <w:r>
              <w:rPr>
                <w:b/>
                <w:bCs/>
                <w:color w:val="FFFFFF"/>
                <w:sz w:val="19"/>
                <w:szCs w:val="19"/>
              </w:rPr>
              <w:t xml:space="preserve">Min score</w:t>
            </w:r>
          </w:p>
        </w:tc>
        <w:tc>
          <w:tcPr>
            <w:tcW w:type="dxa" w:w="1320"/>
            <w:shd w:fill="156082" w:color="auto" w:val="clear"/>
            <w:tcMar>
              <w:top w:type="dxa" w:w="80"/>
              <w:left w:type="dxa" w:w="110"/>
              <w:bottom w:type="dxa" w:w="80"/>
              <w:right w:type="dxa" w:w="110"/>
            </w:tcMar>
            <w:vAlign w:val="center"/>
          </w:tcPr>
          <w:p>
            <w:r>
              <w:rPr>
                <w:b/>
                <w:bCs/>
                <w:color w:val="FFFFFF"/>
                <w:sz w:val="19"/>
                <w:szCs w:val="19"/>
              </w:rPr>
              <w:t xml:space="preserve">Max score</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M0</w:t>
            </w:r>
          </w:p>
        </w:tc>
        <w:tc>
          <w:tcPr>
            <w:tcW w:type="dxa" w:w="2100"/>
            <w:tcMar>
              <w:top w:type="dxa" w:w="80"/>
              <w:left w:type="dxa" w:w="110"/>
              <w:bottom w:type="dxa" w:w="80"/>
              <w:right w:type="dxa" w:w="110"/>
            </w:tcMar>
            <w:vAlign w:val="top"/>
          </w:tcPr>
          <w:p>
            <w:pPr>
              <w:spacing w:after="0"/>
            </w:pPr>
            <w:r>
              <w:rPr>
                <w:sz w:val="18"/>
                <w:szCs w:val="18"/>
              </w:rPr>
              <w:t xml:space="preserve">Very High Risk</w:t>
            </w:r>
          </w:p>
        </w:tc>
        <w:tc>
          <w:tcPr>
            <w:tcW w:type="dxa" w:w="1800"/>
            <w:tcMar>
              <w:top w:type="dxa" w:w="80"/>
              <w:left w:type="dxa" w:w="110"/>
              <w:bottom w:type="dxa" w:w="80"/>
              <w:right w:type="dxa" w:w="110"/>
            </w:tcMar>
            <w:vAlign w:val="top"/>
          </w:tcPr>
          <w:p>
            <w:pPr>
              <w:spacing w:after="0"/>
            </w:pPr>
            <w:r>
              <w:rPr>
                <w:sz w:val="18"/>
                <w:szCs w:val="18"/>
              </w:rPr>
              <w:t xml:space="preserve">Weak</w:t>
            </w:r>
          </w:p>
        </w:tc>
        <w:tc>
          <w:tcPr>
            <w:tcW w:type="dxa" w:w="1320"/>
            <w:tcMar>
              <w:top w:type="dxa" w:w="80"/>
              <w:left w:type="dxa" w:w="110"/>
              <w:bottom w:type="dxa" w:w="80"/>
              <w:right w:type="dxa" w:w="110"/>
            </w:tcMar>
            <w:vAlign w:val="top"/>
          </w:tcPr>
          <w:p>
            <w:pPr>
              <w:spacing w:after="0"/>
            </w:pPr>
            <w:r>
              <w:rPr>
                <w:sz w:val="18"/>
                <w:szCs w:val="18"/>
              </w:rPr>
              <w:t xml:space="preserve">300</w:t>
            </w:r>
          </w:p>
        </w:tc>
        <w:tc>
          <w:tcPr>
            <w:tcW w:type="dxa" w:w="1320"/>
            <w:tcMar>
              <w:top w:type="dxa" w:w="80"/>
              <w:left w:type="dxa" w:w="110"/>
              <w:bottom w:type="dxa" w:w="80"/>
              <w:right w:type="dxa" w:w="110"/>
            </w:tcMar>
            <w:vAlign w:val="top"/>
          </w:tcPr>
          <w:p>
            <w:pPr>
              <w:spacing w:after="0"/>
            </w:pPr>
            <w:r>
              <w:rPr>
                <w:sz w:val="18"/>
                <w:szCs w:val="18"/>
              </w:rPr>
              <w:t xml:space="preserve">300</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M1</w:t>
            </w:r>
          </w:p>
        </w:tc>
        <w:tc>
          <w:tcPr>
            <w:tcW w:type="dxa" w:w="2100"/>
            <w:tcMar>
              <w:top w:type="dxa" w:w="80"/>
              <w:left w:type="dxa" w:w="110"/>
              <w:bottom w:type="dxa" w:w="80"/>
              <w:right w:type="dxa" w:w="110"/>
            </w:tcMar>
            <w:vAlign w:val="top"/>
          </w:tcPr>
          <w:p>
            <w:pPr>
              <w:spacing w:after="0"/>
            </w:pPr>
            <w:r>
              <w:rPr>
                <w:sz w:val="18"/>
                <w:szCs w:val="18"/>
              </w:rPr>
              <w:t xml:space="preserve">Very High Risk</w:t>
            </w:r>
          </w:p>
        </w:tc>
        <w:tc>
          <w:tcPr>
            <w:tcW w:type="dxa" w:w="1800"/>
            <w:tcMar>
              <w:top w:type="dxa" w:w="80"/>
              <w:left w:type="dxa" w:w="110"/>
              <w:bottom w:type="dxa" w:w="80"/>
              <w:right w:type="dxa" w:w="110"/>
            </w:tcMar>
            <w:vAlign w:val="top"/>
          </w:tcPr>
          <w:p>
            <w:pPr>
              <w:spacing w:after="0"/>
            </w:pPr>
            <w:r>
              <w:rPr>
                <w:sz w:val="18"/>
                <w:szCs w:val="18"/>
              </w:rPr>
              <w:t xml:space="preserve">Weak</w:t>
            </w:r>
          </w:p>
        </w:tc>
        <w:tc>
          <w:tcPr>
            <w:tcW w:type="dxa" w:w="1320"/>
            <w:tcMar>
              <w:top w:type="dxa" w:w="80"/>
              <w:left w:type="dxa" w:w="110"/>
              <w:bottom w:type="dxa" w:w="80"/>
              <w:right w:type="dxa" w:w="110"/>
            </w:tcMar>
            <w:vAlign w:val="top"/>
          </w:tcPr>
          <w:p>
            <w:pPr>
              <w:spacing w:after="0"/>
            </w:pPr>
            <w:r>
              <w:rPr>
                <w:sz w:val="18"/>
                <w:szCs w:val="18"/>
              </w:rPr>
              <w:t xml:space="preserve">301</w:t>
            </w:r>
          </w:p>
        </w:tc>
        <w:tc>
          <w:tcPr>
            <w:tcW w:type="dxa" w:w="1320"/>
            <w:tcMar>
              <w:top w:type="dxa" w:w="80"/>
              <w:left w:type="dxa" w:w="110"/>
              <w:bottom w:type="dxa" w:w="80"/>
              <w:right w:type="dxa" w:w="110"/>
            </w:tcMar>
            <w:vAlign w:val="top"/>
          </w:tcPr>
          <w:p>
            <w:pPr>
              <w:spacing w:after="0"/>
            </w:pPr>
            <w:r>
              <w:rPr>
                <w:sz w:val="18"/>
                <w:szCs w:val="18"/>
              </w:rPr>
              <w:t xml:space="preserve">523</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M2</w:t>
            </w:r>
          </w:p>
        </w:tc>
        <w:tc>
          <w:tcPr>
            <w:tcW w:type="dxa" w:w="2100"/>
            <w:tcMar>
              <w:top w:type="dxa" w:w="80"/>
              <w:left w:type="dxa" w:w="110"/>
              <w:bottom w:type="dxa" w:w="80"/>
              <w:right w:type="dxa" w:w="110"/>
            </w:tcMar>
            <w:vAlign w:val="top"/>
          </w:tcPr>
          <w:p>
            <w:pPr>
              <w:spacing w:after="0"/>
            </w:pPr>
            <w:r>
              <w:rPr>
                <w:sz w:val="18"/>
                <w:szCs w:val="18"/>
              </w:rPr>
              <w:t xml:space="preserve">High Risk</w:t>
            </w:r>
          </w:p>
        </w:tc>
        <w:tc>
          <w:tcPr>
            <w:tcW w:type="dxa" w:w="1800"/>
            <w:tcMar>
              <w:top w:type="dxa" w:w="80"/>
              <w:left w:type="dxa" w:w="110"/>
              <w:bottom w:type="dxa" w:w="80"/>
              <w:right w:type="dxa" w:w="110"/>
            </w:tcMar>
            <w:vAlign w:val="top"/>
          </w:tcPr>
          <w:p>
            <w:pPr>
              <w:spacing w:after="0"/>
            </w:pPr>
            <w:r>
              <w:rPr>
                <w:sz w:val="18"/>
                <w:szCs w:val="18"/>
              </w:rPr>
              <w:t xml:space="preserve">Fair</w:t>
            </w:r>
          </w:p>
        </w:tc>
        <w:tc>
          <w:tcPr>
            <w:tcW w:type="dxa" w:w="1320"/>
            <w:tcMar>
              <w:top w:type="dxa" w:w="80"/>
              <w:left w:type="dxa" w:w="110"/>
              <w:bottom w:type="dxa" w:w="80"/>
              <w:right w:type="dxa" w:w="110"/>
            </w:tcMar>
            <w:vAlign w:val="top"/>
          </w:tcPr>
          <w:p>
            <w:pPr>
              <w:spacing w:after="0"/>
            </w:pPr>
            <w:r>
              <w:rPr>
                <w:sz w:val="18"/>
                <w:szCs w:val="18"/>
              </w:rPr>
              <w:t xml:space="preserve">524</w:t>
            </w:r>
          </w:p>
        </w:tc>
        <w:tc>
          <w:tcPr>
            <w:tcW w:type="dxa" w:w="1320"/>
            <w:tcMar>
              <w:top w:type="dxa" w:w="80"/>
              <w:left w:type="dxa" w:w="110"/>
              <w:bottom w:type="dxa" w:w="80"/>
              <w:right w:type="dxa" w:w="110"/>
            </w:tcMar>
            <w:vAlign w:val="top"/>
          </w:tcPr>
          <w:p>
            <w:pPr>
              <w:spacing w:after="0"/>
            </w:pPr>
            <w:r>
              <w:rPr>
                <w:sz w:val="18"/>
                <w:szCs w:val="18"/>
              </w:rPr>
              <w:t xml:space="preserve">673</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M3</w:t>
            </w:r>
          </w:p>
        </w:tc>
        <w:tc>
          <w:tcPr>
            <w:tcW w:type="dxa" w:w="2100"/>
            <w:tcMar>
              <w:top w:type="dxa" w:w="80"/>
              <w:left w:type="dxa" w:w="110"/>
              <w:bottom w:type="dxa" w:w="80"/>
              <w:right w:type="dxa" w:w="110"/>
            </w:tcMar>
            <w:vAlign w:val="top"/>
          </w:tcPr>
          <w:p>
            <w:pPr>
              <w:spacing w:after="0"/>
            </w:pPr>
            <w:r>
              <w:rPr>
                <w:sz w:val="18"/>
                <w:szCs w:val="18"/>
              </w:rPr>
              <w:t xml:space="preserve">Medium Risk</w:t>
            </w:r>
          </w:p>
        </w:tc>
        <w:tc>
          <w:tcPr>
            <w:tcW w:type="dxa" w:w="1800"/>
            <w:tcMar>
              <w:top w:type="dxa" w:w="80"/>
              <w:left w:type="dxa" w:w="110"/>
              <w:bottom w:type="dxa" w:w="80"/>
              <w:right w:type="dxa" w:w="110"/>
            </w:tcMar>
            <w:vAlign w:val="top"/>
          </w:tcPr>
          <w:p>
            <w:pPr>
              <w:spacing w:after="0"/>
            </w:pPr>
            <w:r>
              <w:rPr>
                <w:sz w:val="18"/>
                <w:szCs w:val="18"/>
              </w:rPr>
              <w:t xml:space="preserve">Good</w:t>
            </w:r>
          </w:p>
        </w:tc>
        <w:tc>
          <w:tcPr>
            <w:tcW w:type="dxa" w:w="1320"/>
            <w:tcMar>
              <w:top w:type="dxa" w:w="80"/>
              <w:left w:type="dxa" w:w="110"/>
              <w:bottom w:type="dxa" w:w="80"/>
              <w:right w:type="dxa" w:w="110"/>
            </w:tcMar>
            <w:vAlign w:val="top"/>
          </w:tcPr>
          <w:p>
            <w:pPr>
              <w:spacing w:after="0"/>
            </w:pPr>
            <w:r>
              <w:rPr>
                <w:sz w:val="18"/>
                <w:szCs w:val="18"/>
              </w:rPr>
              <w:t xml:space="preserve">674</w:t>
            </w:r>
          </w:p>
        </w:tc>
        <w:tc>
          <w:tcPr>
            <w:tcW w:type="dxa" w:w="1320"/>
            <w:tcMar>
              <w:top w:type="dxa" w:w="80"/>
              <w:left w:type="dxa" w:w="110"/>
              <w:bottom w:type="dxa" w:w="80"/>
              <w:right w:type="dxa" w:w="110"/>
            </w:tcMar>
            <w:vAlign w:val="top"/>
          </w:tcPr>
          <w:p>
            <w:pPr>
              <w:spacing w:after="0"/>
            </w:pPr>
            <w:r>
              <w:rPr>
                <w:sz w:val="18"/>
                <w:szCs w:val="18"/>
              </w:rPr>
              <w:t xml:space="preserve">714</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M4</w:t>
            </w:r>
          </w:p>
        </w:tc>
        <w:tc>
          <w:tcPr>
            <w:tcW w:type="dxa" w:w="2100"/>
            <w:tcMar>
              <w:top w:type="dxa" w:w="80"/>
              <w:left w:type="dxa" w:w="110"/>
              <w:bottom w:type="dxa" w:w="80"/>
              <w:right w:type="dxa" w:w="110"/>
            </w:tcMar>
            <w:vAlign w:val="top"/>
          </w:tcPr>
          <w:p>
            <w:pPr>
              <w:spacing w:after="0"/>
            </w:pPr>
            <w:r>
              <w:rPr>
                <w:sz w:val="18"/>
                <w:szCs w:val="18"/>
              </w:rPr>
              <w:t xml:space="preserve">Medium Risk</w:t>
            </w:r>
          </w:p>
        </w:tc>
        <w:tc>
          <w:tcPr>
            <w:tcW w:type="dxa" w:w="1800"/>
            <w:tcMar>
              <w:top w:type="dxa" w:w="80"/>
              <w:left w:type="dxa" w:w="110"/>
              <w:bottom w:type="dxa" w:w="80"/>
              <w:right w:type="dxa" w:w="110"/>
            </w:tcMar>
            <w:vAlign w:val="top"/>
          </w:tcPr>
          <w:p>
            <w:pPr>
              <w:spacing w:after="0"/>
            </w:pPr>
            <w:r>
              <w:rPr>
                <w:sz w:val="18"/>
                <w:szCs w:val="18"/>
              </w:rPr>
              <w:t xml:space="preserve">Good</w:t>
            </w:r>
          </w:p>
        </w:tc>
        <w:tc>
          <w:tcPr>
            <w:tcW w:type="dxa" w:w="1320"/>
            <w:tcMar>
              <w:top w:type="dxa" w:w="80"/>
              <w:left w:type="dxa" w:w="110"/>
              <w:bottom w:type="dxa" w:w="80"/>
              <w:right w:type="dxa" w:w="110"/>
            </w:tcMar>
            <w:vAlign w:val="top"/>
          </w:tcPr>
          <w:p>
            <w:pPr>
              <w:spacing w:after="0"/>
            </w:pPr>
            <w:r>
              <w:rPr>
                <w:sz w:val="18"/>
                <w:szCs w:val="18"/>
              </w:rPr>
              <w:t xml:space="preserve">715</w:t>
            </w:r>
          </w:p>
        </w:tc>
        <w:tc>
          <w:tcPr>
            <w:tcW w:type="dxa" w:w="1320"/>
            <w:tcMar>
              <w:top w:type="dxa" w:w="80"/>
              <w:left w:type="dxa" w:w="110"/>
              <w:bottom w:type="dxa" w:w="80"/>
              <w:right w:type="dxa" w:w="110"/>
            </w:tcMar>
            <w:vAlign w:val="top"/>
          </w:tcPr>
          <w:p>
            <w:pPr>
              <w:spacing w:after="0"/>
            </w:pPr>
            <w:r>
              <w:rPr>
                <w:sz w:val="18"/>
                <w:szCs w:val="18"/>
              </w:rPr>
              <w:t xml:space="preserve">740</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M5</w:t>
            </w:r>
          </w:p>
        </w:tc>
        <w:tc>
          <w:tcPr>
            <w:tcW w:type="dxa" w:w="2100"/>
            <w:tcMar>
              <w:top w:type="dxa" w:w="80"/>
              <w:left w:type="dxa" w:w="110"/>
              <w:bottom w:type="dxa" w:w="80"/>
              <w:right w:type="dxa" w:w="110"/>
            </w:tcMar>
            <w:vAlign w:val="top"/>
          </w:tcPr>
          <w:p>
            <w:pPr>
              <w:spacing w:after="0"/>
            </w:pPr>
            <w:r>
              <w:rPr>
                <w:sz w:val="18"/>
                <w:szCs w:val="18"/>
              </w:rPr>
              <w:t xml:space="preserve">Medium Risk</w:t>
            </w:r>
          </w:p>
        </w:tc>
        <w:tc>
          <w:tcPr>
            <w:tcW w:type="dxa" w:w="1800"/>
            <w:tcMar>
              <w:top w:type="dxa" w:w="80"/>
              <w:left w:type="dxa" w:w="110"/>
              <w:bottom w:type="dxa" w:w="80"/>
              <w:right w:type="dxa" w:w="110"/>
            </w:tcMar>
            <w:vAlign w:val="top"/>
          </w:tcPr>
          <w:p>
            <w:pPr>
              <w:spacing w:after="0"/>
            </w:pPr>
            <w:r>
              <w:rPr>
                <w:sz w:val="18"/>
                <w:szCs w:val="18"/>
              </w:rPr>
              <w:t xml:space="preserve">Good</w:t>
            </w:r>
          </w:p>
        </w:tc>
        <w:tc>
          <w:tcPr>
            <w:tcW w:type="dxa" w:w="1320"/>
            <w:tcMar>
              <w:top w:type="dxa" w:w="80"/>
              <w:left w:type="dxa" w:w="110"/>
              <w:bottom w:type="dxa" w:w="80"/>
              <w:right w:type="dxa" w:w="110"/>
            </w:tcMar>
            <w:vAlign w:val="top"/>
          </w:tcPr>
          <w:p>
            <w:pPr>
              <w:spacing w:after="0"/>
            </w:pPr>
            <w:r>
              <w:rPr>
                <w:sz w:val="18"/>
                <w:szCs w:val="18"/>
              </w:rPr>
              <w:t xml:space="preserve">741</w:t>
            </w:r>
          </w:p>
        </w:tc>
        <w:tc>
          <w:tcPr>
            <w:tcW w:type="dxa" w:w="1320"/>
            <w:tcMar>
              <w:top w:type="dxa" w:w="80"/>
              <w:left w:type="dxa" w:w="110"/>
              <w:bottom w:type="dxa" w:w="80"/>
              <w:right w:type="dxa" w:w="110"/>
            </w:tcMar>
            <w:vAlign w:val="top"/>
          </w:tcPr>
          <w:p>
            <w:pPr>
              <w:spacing w:after="0"/>
            </w:pPr>
            <w:r>
              <w:rPr>
                <w:sz w:val="18"/>
                <w:szCs w:val="18"/>
              </w:rPr>
              <w:t xml:space="preserve">755</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M6</w:t>
            </w:r>
          </w:p>
        </w:tc>
        <w:tc>
          <w:tcPr>
            <w:tcW w:type="dxa" w:w="2100"/>
            <w:tcMar>
              <w:top w:type="dxa" w:w="80"/>
              <w:left w:type="dxa" w:w="110"/>
              <w:bottom w:type="dxa" w:w="80"/>
              <w:right w:type="dxa" w:w="110"/>
            </w:tcMar>
            <w:vAlign w:val="top"/>
          </w:tcPr>
          <w:p>
            <w:pPr>
              <w:spacing w:after="0"/>
            </w:pPr>
            <w:r>
              <w:rPr>
                <w:sz w:val="18"/>
                <w:szCs w:val="18"/>
              </w:rPr>
              <w:t xml:space="preserve">Low Risk</w:t>
            </w:r>
          </w:p>
        </w:tc>
        <w:tc>
          <w:tcPr>
            <w:tcW w:type="dxa" w:w="1800"/>
            <w:tcMar>
              <w:top w:type="dxa" w:w="80"/>
              <w:left w:type="dxa" w:w="110"/>
              <w:bottom w:type="dxa" w:w="80"/>
              <w:right w:type="dxa" w:w="110"/>
            </w:tcMar>
            <w:vAlign w:val="top"/>
          </w:tcPr>
          <w:p>
            <w:pPr>
              <w:spacing w:after="0"/>
            </w:pPr>
            <w:r>
              <w:rPr>
                <w:sz w:val="18"/>
                <w:szCs w:val="18"/>
              </w:rPr>
              <w:t xml:space="preserve">Very Good</w:t>
            </w:r>
          </w:p>
        </w:tc>
        <w:tc>
          <w:tcPr>
            <w:tcW w:type="dxa" w:w="1320"/>
            <w:tcMar>
              <w:top w:type="dxa" w:w="80"/>
              <w:left w:type="dxa" w:w="110"/>
              <w:bottom w:type="dxa" w:w="80"/>
              <w:right w:type="dxa" w:w="110"/>
            </w:tcMar>
            <w:vAlign w:val="top"/>
          </w:tcPr>
          <w:p>
            <w:pPr>
              <w:spacing w:after="0"/>
            </w:pPr>
            <w:r>
              <w:rPr>
                <w:sz w:val="18"/>
                <w:szCs w:val="18"/>
              </w:rPr>
              <w:t xml:space="preserve">756</w:t>
            </w:r>
          </w:p>
        </w:tc>
        <w:tc>
          <w:tcPr>
            <w:tcW w:type="dxa" w:w="1320"/>
            <w:tcMar>
              <w:top w:type="dxa" w:w="80"/>
              <w:left w:type="dxa" w:w="110"/>
              <w:bottom w:type="dxa" w:w="80"/>
              <w:right w:type="dxa" w:w="110"/>
            </w:tcMar>
            <w:vAlign w:val="top"/>
          </w:tcPr>
          <w:p>
            <w:pPr>
              <w:spacing w:after="0"/>
            </w:pPr>
            <w:r>
              <w:rPr>
                <w:sz w:val="18"/>
                <w:szCs w:val="18"/>
              </w:rPr>
              <w:t xml:space="preserve">773</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M7</w:t>
            </w:r>
          </w:p>
        </w:tc>
        <w:tc>
          <w:tcPr>
            <w:tcW w:type="dxa" w:w="2100"/>
            <w:tcMar>
              <w:top w:type="dxa" w:w="80"/>
              <w:left w:type="dxa" w:w="110"/>
              <w:bottom w:type="dxa" w:w="80"/>
              <w:right w:type="dxa" w:w="110"/>
            </w:tcMar>
            <w:vAlign w:val="top"/>
          </w:tcPr>
          <w:p>
            <w:pPr>
              <w:spacing w:after="0"/>
            </w:pPr>
            <w:r>
              <w:rPr>
                <w:sz w:val="18"/>
                <w:szCs w:val="18"/>
              </w:rPr>
              <w:t xml:space="preserve">Low Risk</w:t>
            </w:r>
          </w:p>
        </w:tc>
        <w:tc>
          <w:tcPr>
            <w:tcW w:type="dxa" w:w="1800"/>
            <w:tcMar>
              <w:top w:type="dxa" w:w="80"/>
              <w:left w:type="dxa" w:w="110"/>
              <w:bottom w:type="dxa" w:w="80"/>
              <w:right w:type="dxa" w:w="110"/>
            </w:tcMar>
            <w:vAlign w:val="top"/>
          </w:tcPr>
          <w:p>
            <w:pPr>
              <w:spacing w:after="0"/>
            </w:pPr>
            <w:r>
              <w:rPr>
                <w:sz w:val="18"/>
                <w:szCs w:val="18"/>
              </w:rPr>
              <w:t xml:space="preserve">Very Good</w:t>
            </w:r>
          </w:p>
        </w:tc>
        <w:tc>
          <w:tcPr>
            <w:tcW w:type="dxa" w:w="1320"/>
            <w:tcMar>
              <w:top w:type="dxa" w:w="80"/>
              <w:left w:type="dxa" w:w="110"/>
              <w:bottom w:type="dxa" w:w="80"/>
              <w:right w:type="dxa" w:w="110"/>
            </w:tcMar>
            <w:vAlign w:val="top"/>
          </w:tcPr>
          <w:p>
            <w:pPr>
              <w:spacing w:after="0"/>
            </w:pPr>
            <w:r>
              <w:rPr>
                <w:sz w:val="18"/>
                <w:szCs w:val="18"/>
              </w:rPr>
              <w:t xml:space="preserve">774</w:t>
            </w:r>
          </w:p>
        </w:tc>
        <w:tc>
          <w:tcPr>
            <w:tcW w:type="dxa" w:w="1320"/>
            <w:tcMar>
              <w:top w:type="dxa" w:w="80"/>
              <w:left w:type="dxa" w:w="110"/>
              <w:bottom w:type="dxa" w:w="80"/>
              <w:right w:type="dxa" w:w="110"/>
            </w:tcMar>
            <w:vAlign w:val="top"/>
          </w:tcPr>
          <w:p>
            <w:pPr>
              <w:spacing w:after="0"/>
            </w:pPr>
            <w:r>
              <w:rPr>
                <w:sz w:val="18"/>
                <w:szCs w:val="18"/>
              </w:rPr>
              <w:t xml:space="preserve">789</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M8</w:t>
            </w:r>
          </w:p>
        </w:tc>
        <w:tc>
          <w:tcPr>
            <w:tcW w:type="dxa" w:w="2100"/>
            <w:tcMar>
              <w:top w:type="dxa" w:w="80"/>
              <w:left w:type="dxa" w:w="110"/>
              <w:bottom w:type="dxa" w:w="80"/>
              <w:right w:type="dxa" w:w="110"/>
            </w:tcMar>
            <w:vAlign w:val="top"/>
          </w:tcPr>
          <w:p>
            <w:pPr>
              <w:spacing w:after="0"/>
            </w:pPr>
            <w:r>
              <w:rPr>
                <w:sz w:val="18"/>
                <w:szCs w:val="18"/>
              </w:rPr>
              <w:t xml:space="preserve">Very Low Risk</w:t>
            </w:r>
          </w:p>
        </w:tc>
        <w:tc>
          <w:tcPr>
            <w:tcW w:type="dxa" w:w="1800"/>
            <w:tcMar>
              <w:top w:type="dxa" w:w="80"/>
              <w:left w:type="dxa" w:w="110"/>
              <w:bottom w:type="dxa" w:w="80"/>
              <w:right w:type="dxa" w:w="110"/>
            </w:tcMar>
            <w:vAlign w:val="top"/>
          </w:tcPr>
          <w:p>
            <w:pPr>
              <w:spacing w:after="0"/>
            </w:pPr>
            <w:r>
              <w:rPr>
                <w:sz w:val="18"/>
                <w:szCs w:val="18"/>
              </w:rPr>
              <w:t xml:space="preserve">Excellent</w:t>
            </w:r>
          </w:p>
        </w:tc>
        <w:tc>
          <w:tcPr>
            <w:tcW w:type="dxa" w:w="1320"/>
            <w:tcMar>
              <w:top w:type="dxa" w:w="80"/>
              <w:left w:type="dxa" w:w="110"/>
              <w:bottom w:type="dxa" w:w="80"/>
              <w:right w:type="dxa" w:w="110"/>
            </w:tcMar>
            <w:vAlign w:val="top"/>
          </w:tcPr>
          <w:p>
            <w:pPr>
              <w:spacing w:after="0"/>
            </w:pPr>
            <w:r>
              <w:rPr>
                <w:sz w:val="18"/>
                <w:szCs w:val="18"/>
              </w:rPr>
              <w:t xml:space="preserve">790</w:t>
            </w:r>
          </w:p>
        </w:tc>
        <w:tc>
          <w:tcPr>
            <w:tcW w:type="dxa" w:w="1320"/>
            <w:tcMar>
              <w:top w:type="dxa" w:w="80"/>
              <w:left w:type="dxa" w:w="110"/>
              <w:bottom w:type="dxa" w:w="80"/>
              <w:right w:type="dxa" w:w="110"/>
            </w:tcMar>
            <w:vAlign w:val="top"/>
          </w:tcPr>
          <w:p>
            <w:pPr>
              <w:spacing w:after="0"/>
            </w:pPr>
            <w:r>
              <w:rPr>
                <w:sz w:val="18"/>
                <w:szCs w:val="18"/>
              </w:rPr>
              <w:t xml:space="preserve">809</w:t>
            </w:r>
          </w:p>
        </w:tc>
      </w:tr>
      <w:tr>
        <w:tc>
          <w:tcPr>
            <w:tcW w:type="dxa" w:w="2000"/>
            <w:tcMar>
              <w:top w:type="dxa" w:w="80"/>
              <w:left w:type="dxa" w:w="110"/>
              <w:bottom w:type="dxa" w:w="80"/>
              <w:right w:type="dxa" w:w="110"/>
            </w:tcMar>
            <w:vAlign w:val="top"/>
          </w:tcPr>
          <w:p>
            <w:pPr>
              <w:spacing w:after="0"/>
            </w:pPr>
            <w:r>
              <w:rPr>
                <w:sz w:val="18"/>
                <w:szCs w:val="18"/>
              </w:rPr>
              <w:t xml:space="preserve">Mature</w:t>
            </w:r>
          </w:p>
        </w:tc>
        <w:tc>
          <w:tcPr>
            <w:tcW w:type="dxa" w:w="1100"/>
            <w:tcMar>
              <w:top w:type="dxa" w:w="80"/>
              <w:left w:type="dxa" w:w="110"/>
              <w:bottom w:type="dxa" w:w="80"/>
              <w:right w:type="dxa" w:w="110"/>
            </w:tcMar>
            <w:vAlign w:val="top"/>
          </w:tcPr>
          <w:p>
            <w:pPr>
              <w:spacing w:after="0"/>
            </w:pPr>
            <w:r>
              <w:rPr>
                <w:b/>
                <w:bCs/>
                <w:sz w:val="18"/>
                <w:szCs w:val="18"/>
              </w:rPr>
              <w:t xml:space="preserve">M9</w:t>
            </w:r>
          </w:p>
        </w:tc>
        <w:tc>
          <w:tcPr>
            <w:tcW w:type="dxa" w:w="2100"/>
            <w:tcMar>
              <w:top w:type="dxa" w:w="80"/>
              <w:left w:type="dxa" w:w="110"/>
              <w:bottom w:type="dxa" w:w="80"/>
              <w:right w:type="dxa" w:w="110"/>
            </w:tcMar>
            <w:vAlign w:val="top"/>
          </w:tcPr>
          <w:p>
            <w:pPr>
              <w:spacing w:after="0"/>
            </w:pPr>
            <w:r>
              <w:rPr>
                <w:sz w:val="18"/>
                <w:szCs w:val="18"/>
              </w:rPr>
              <w:t xml:space="preserve">Very Low Risk</w:t>
            </w:r>
          </w:p>
        </w:tc>
        <w:tc>
          <w:tcPr>
            <w:tcW w:type="dxa" w:w="1800"/>
            <w:tcMar>
              <w:top w:type="dxa" w:w="80"/>
              <w:left w:type="dxa" w:w="110"/>
              <w:bottom w:type="dxa" w:w="80"/>
              <w:right w:type="dxa" w:w="110"/>
            </w:tcMar>
            <w:vAlign w:val="top"/>
          </w:tcPr>
          <w:p>
            <w:pPr>
              <w:spacing w:after="0"/>
            </w:pPr>
            <w:r>
              <w:rPr>
                <w:sz w:val="18"/>
                <w:szCs w:val="18"/>
              </w:rPr>
              <w:t xml:space="preserve">Excellent</w:t>
            </w:r>
          </w:p>
        </w:tc>
        <w:tc>
          <w:tcPr>
            <w:tcW w:type="dxa" w:w="1320"/>
            <w:tcMar>
              <w:top w:type="dxa" w:w="80"/>
              <w:left w:type="dxa" w:w="110"/>
              <w:bottom w:type="dxa" w:w="80"/>
              <w:right w:type="dxa" w:w="110"/>
            </w:tcMar>
            <w:vAlign w:val="top"/>
          </w:tcPr>
          <w:p>
            <w:pPr>
              <w:spacing w:after="0"/>
            </w:pPr>
            <w:r>
              <w:rPr>
                <w:sz w:val="18"/>
                <w:szCs w:val="18"/>
              </w:rPr>
              <w:t xml:space="preserve">810</w:t>
            </w:r>
          </w:p>
        </w:tc>
        <w:tc>
          <w:tcPr>
            <w:tcW w:type="dxa" w:w="1320"/>
            <w:tcMar>
              <w:top w:type="dxa" w:w="80"/>
              <w:left w:type="dxa" w:w="110"/>
              <w:bottom w:type="dxa" w:w="80"/>
              <w:right w:type="dxa" w:w="110"/>
            </w:tcMar>
            <w:vAlign w:val="top"/>
          </w:tcPr>
          <w:p>
            <w:pPr>
              <w:spacing w:after="0"/>
            </w:pPr>
            <w:r>
              <w:rPr>
                <w:sz w:val="18"/>
                <w:szCs w:val="18"/>
              </w:rPr>
              <w:t xml:space="preserve">850</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N0</w:t>
            </w:r>
          </w:p>
        </w:tc>
        <w:tc>
          <w:tcPr>
            <w:tcW w:type="dxa" w:w="2100"/>
            <w:tcMar>
              <w:top w:type="dxa" w:w="80"/>
              <w:left w:type="dxa" w:w="110"/>
              <w:bottom w:type="dxa" w:w="80"/>
              <w:right w:type="dxa" w:w="110"/>
            </w:tcMar>
            <w:vAlign w:val="top"/>
          </w:tcPr>
          <w:p>
            <w:pPr>
              <w:spacing w:after="0"/>
            </w:pPr>
            <w:r>
              <w:rPr>
                <w:sz w:val="18"/>
                <w:szCs w:val="18"/>
              </w:rPr>
              <w:t xml:space="preserve">Very High Risk</w:t>
            </w:r>
          </w:p>
        </w:tc>
        <w:tc>
          <w:tcPr>
            <w:tcW w:type="dxa" w:w="1800"/>
            <w:tcMar>
              <w:top w:type="dxa" w:w="80"/>
              <w:left w:type="dxa" w:w="110"/>
              <w:bottom w:type="dxa" w:w="80"/>
              <w:right w:type="dxa" w:w="110"/>
            </w:tcMar>
            <w:vAlign w:val="top"/>
          </w:tcPr>
          <w:p>
            <w:pPr>
              <w:spacing w:after="0"/>
            </w:pPr>
            <w:r>
              <w:rPr>
                <w:sz w:val="18"/>
                <w:szCs w:val="18"/>
              </w:rPr>
              <w:t xml:space="preserve">Weak</w:t>
            </w:r>
          </w:p>
        </w:tc>
        <w:tc>
          <w:tcPr>
            <w:tcW w:type="dxa" w:w="1320"/>
            <w:tcMar>
              <w:top w:type="dxa" w:w="80"/>
              <w:left w:type="dxa" w:w="110"/>
              <w:bottom w:type="dxa" w:w="80"/>
              <w:right w:type="dxa" w:w="110"/>
            </w:tcMar>
            <w:vAlign w:val="top"/>
          </w:tcPr>
          <w:p>
            <w:pPr>
              <w:spacing w:after="0"/>
            </w:pPr>
            <w:r>
              <w:rPr>
                <w:sz w:val="18"/>
                <w:szCs w:val="18"/>
              </w:rPr>
              <w:t xml:space="preserve">300</w:t>
            </w:r>
          </w:p>
        </w:tc>
        <w:tc>
          <w:tcPr>
            <w:tcW w:type="dxa" w:w="1320"/>
            <w:tcMar>
              <w:top w:type="dxa" w:w="80"/>
              <w:left w:type="dxa" w:w="110"/>
              <w:bottom w:type="dxa" w:w="80"/>
              <w:right w:type="dxa" w:w="110"/>
            </w:tcMar>
            <w:vAlign w:val="top"/>
          </w:tcPr>
          <w:p>
            <w:pPr>
              <w:spacing w:after="0"/>
            </w:pPr>
            <w:r>
              <w:rPr>
                <w:sz w:val="18"/>
                <w:szCs w:val="18"/>
              </w:rPr>
              <w:t xml:space="preserve">427</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N1</w:t>
            </w:r>
          </w:p>
        </w:tc>
        <w:tc>
          <w:tcPr>
            <w:tcW w:type="dxa" w:w="2100"/>
            <w:tcMar>
              <w:top w:type="dxa" w:w="80"/>
              <w:left w:type="dxa" w:w="110"/>
              <w:bottom w:type="dxa" w:w="80"/>
              <w:right w:type="dxa" w:w="110"/>
            </w:tcMar>
            <w:vAlign w:val="top"/>
          </w:tcPr>
          <w:p>
            <w:pPr>
              <w:spacing w:after="0"/>
            </w:pPr>
            <w:r>
              <w:rPr>
                <w:sz w:val="18"/>
                <w:szCs w:val="18"/>
              </w:rPr>
              <w:t xml:space="preserve">Very High Risk</w:t>
            </w:r>
          </w:p>
        </w:tc>
        <w:tc>
          <w:tcPr>
            <w:tcW w:type="dxa" w:w="1800"/>
            <w:tcMar>
              <w:top w:type="dxa" w:w="80"/>
              <w:left w:type="dxa" w:w="110"/>
              <w:bottom w:type="dxa" w:w="80"/>
              <w:right w:type="dxa" w:w="110"/>
            </w:tcMar>
            <w:vAlign w:val="top"/>
          </w:tcPr>
          <w:p>
            <w:pPr>
              <w:spacing w:after="0"/>
            </w:pPr>
            <w:r>
              <w:rPr>
                <w:sz w:val="18"/>
                <w:szCs w:val="18"/>
              </w:rPr>
              <w:t xml:space="preserve">Weak</w:t>
            </w:r>
          </w:p>
        </w:tc>
        <w:tc>
          <w:tcPr>
            <w:tcW w:type="dxa" w:w="1320"/>
            <w:tcMar>
              <w:top w:type="dxa" w:w="80"/>
              <w:left w:type="dxa" w:w="110"/>
              <w:bottom w:type="dxa" w:w="80"/>
              <w:right w:type="dxa" w:w="110"/>
            </w:tcMar>
            <w:vAlign w:val="top"/>
          </w:tcPr>
          <w:p>
            <w:pPr>
              <w:spacing w:after="0"/>
            </w:pPr>
            <w:r>
              <w:rPr>
                <w:sz w:val="18"/>
                <w:szCs w:val="18"/>
              </w:rPr>
              <w:t xml:space="preserve">428</w:t>
            </w:r>
          </w:p>
        </w:tc>
        <w:tc>
          <w:tcPr>
            <w:tcW w:type="dxa" w:w="1320"/>
            <w:tcMar>
              <w:top w:type="dxa" w:w="80"/>
              <w:left w:type="dxa" w:w="110"/>
              <w:bottom w:type="dxa" w:w="80"/>
              <w:right w:type="dxa" w:w="110"/>
            </w:tcMar>
            <w:vAlign w:val="top"/>
          </w:tcPr>
          <w:p>
            <w:pPr>
              <w:spacing w:after="0"/>
            </w:pPr>
            <w:r>
              <w:rPr>
                <w:sz w:val="18"/>
                <w:szCs w:val="18"/>
              </w:rPr>
              <w:t xml:space="preserve">450</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N2</w:t>
            </w:r>
          </w:p>
        </w:tc>
        <w:tc>
          <w:tcPr>
            <w:tcW w:type="dxa" w:w="2100"/>
            <w:tcMar>
              <w:top w:type="dxa" w:w="80"/>
              <w:left w:type="dxa" w:w="110"/>
              <w:bottom w:type="dxa" w:w="80"/>
              <w:right w:type="dxa" w:w="110"/>
            </w:tcMar>
            <w:vAlign w:val="top"/>
          </w:tcPr>
          <w:p>
            <w:pPr>
              <w:spacing w:after="0"/>
            </w:pPr>
            <w:r>
              <w:rPr>
                <w:sz w:val="18"/>
                <w:szCs w:val="18"/>
              </w:rPr>
              <w:t xml:space="preserve">High Risk</w:t>
            </w:r>
          </w:p>
        </w:tc>
        <w:tc>
          <w:tcPr>
            <w:tcW w:type="dxa" w:w="1800"/>
            <w:tcMar>
              <w:top w:type="dxa" w:w="80"/>
              <w:left w:type="dxa" w:w="110"/>
              <w:bottom w:type="dxa" w:w="80"/>
              <w:right w:type="dxa" w:w="110"/>
            </w:tcMar>
            <w:vAlign w:val="top"/>
          </w:tcPr>
          <w:p>
            <w:pPr>
              <w:spacing w:after="0"/>
            </w:pPr>
            <w:r>
              <w:rPr>
                <w:sz w:val="18"/>
                <w:szCs w:val="18"/>
              </w:rPr>
              <w:t xml:space="preserve">Fair</w:t>
            </w:r>
          </w:p>
        </w:tc>
        <w:tc>
          <w:tcPr>
            <w:tcW w:type="dxa" w:w="1320"/>
            <w:tcMar>
              <w:top w:type="dxa" w:w="80"/>
              <w:left w:type="dxa" w:w="110"/>
              <w:bottom w:type="dxa" w:w="80"/>
              <w:right w:type="dxa" w:w="110"/>
            </w:tcMar>
            <w:vAlign w:val="top"/>
          </w:tcPr>
          <w:p>
            <w:pPr>
              <w:spacing w:after="0"/>
            </w:pPr>
            <w:r>
              <w:rPr>
                <w:sz w:val="18"/>
                <w:szCs w:val="18"/>
              </w:rPr>
              <w:t xml:space="preserve">451</w:t>
            </w:r>
          </w:p>
        </w:tc>
        <w:tc>
          <w:tcPr>
            <w:tcW w:type="dxa" w:w="1320"/>
            <w:tcMar>
              <w:top w:type="dxa" w:w="80"/>
              <w:left w:type="dxa" w:w="110"/>
              <w:bottom w:type="dxa" w:w="80"/>
              <w:right w:type="dxa" w:w="110"/>
            </w:tcMar>
            <w:vAlign w:val="top"/>
          </w:tcPr>
          <w:p>
            <w:pPr>
              <w:spacing w:after="0"/>
            </w:pPr>
            <w:r>
              <w:rPr>
                <w:sz w:val="18"/>
                <w:szCs w:val="18"/>
              </w:rPr>
              <w:t xml:space="preserve">463</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N3</w:t>
            </w:r>
          </w:p>
        </w:tc>
        <w:tc>
          <w:tcPr>
            <w:tcW w:type="dxa" w:w="2100"/>
            <w:tcMar>
              <w:top w:type="dxa" w:w="80"/>
              <w:left w:type="dxa" w:w="110"/>
              <w:bottom w:type="dxa" w:w="80"/>
              <w:right w:type="dxa" w:w="110"/>
            </w:tcMar>
            <w:vAlign w:val="top"/>
          </w:tcPr>
          <w:p>
            <w:pPr>
              <w:spacing w:after="0"/>
            </w:pPr>
            <w:r>
              <w:rPr>
                <w:sz w:val="18"/>
                <w:szCs w:val="18"/>
              </w:rPr>
              <w:t xml:space="preserve">High Risk</w:t>
            </w:r>
          </w:p>
        </w:tc>
        <w:tc>
          <w:tcPr>
            <w:tcW w:type="dxa" w:w="1800"/>
            <w:tcMar>
              <w:top w:type="dxa" w:w="80"/>
              <w:left w:type="dxa" w:w="110"/>
              <w:bottom w:type="dxa" w:w="80"/>
              <w:right w:type="dxa" w:w="110"/>
            </w:tcMar>
            <w:vAlign w:val="top"/>
          </w:tcPr>
          <w:p>
            <w:pPr>
              <w:spacing w:after="0"/>
            </w:pPr>
            <w:r>
              <w:rPr>
                <w:sz w:val="18"/>
                <w:szCs w:val="18"/>
              </w:rPr>
              <w:t xml:space="preserve">Fair</w:t>
            </w:r>
          </w:p>
        </w:tc>
        <w:tc>
          <w:tcPr>
            <w:tcW w:type="dxa" w:w="1320"/>
            <w:tcMar>
              <w:top w:type="dxa" w:w="80"/>
              <w:left w:type="dxa" w:w="110"/>
              <w:bottom w:type="dxa" w:w="80"/>
              <w:right w:type="dxa" w:w="110"/>
            </w:tcMar>
            <w:vAlign w:val="top"/>
          </w:tcPr>
          <w:p>
            <w:pPr>
              <w:spacing w:after="0"/>
            </w:pPr>
            <w:r>
              <w:rPr>
                <w:sz w:val="18"/>
                <w:szCs w:val="18"/>
              </w:rPr>
              <w:t xml:space="preserve">464</w:t>
            </w:r>
          </w:p>
        </w:tc>
        <w:tc>
          <w:tcPr>
            <w:tcW w:type="dxa" w:w="1320"/>
            <w:tcMar>
              <w:top w:type="dxa" w:w="80"/>
              <w:left w:type="dxa" w:w="110"/>
              <w:bottom w:type="dxa" w:w="80"/>
              <w:right w:type="dxa" w:w="110"/>
            </w:tcMar>
            <w:vAlign w:val="top"/>
          </w:tcPr>
          <w:p>
            <w:pPr>
              <w:spacing w:after="0"/>
            </w:pPr>
            <w:r>
              <w:rPr>
                <w:sz w:val="18"/>
                <w:szCs w:val="18"/>
              </w:rPr>
              <w:t xml:space="preserve">478</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N4</w:t>
            </w:r>
          </w:p>
        </w:tc>
        <w:tc>
          <w:tcPr>
            <w:tcW w:type="dxa" w:w="2100"/>
            <w:tcMar>
              <w:top w:type="dxa" w:w="80"/>
              <w:left w:type="dxa" w:w="110"/>
              <w:bottom w:type="dxa" w:w="80"/>
              <w:right w:type="dxa" w:w="110"/>
            </w:tcMar>
            <w:vAlign w:val="top"/>
          </w:tcPr>
          <w:p>
            <w:pPr>
              <w:spacing w:after="0"/>
            </w:pPr>
            <w:r>
              <w:rPr>
                <w:sz w:val="18"/>
                <w:szCs w:val="18"/>
              </w:rPr>
              <w:t xml:space="preserve">High Risk</w:t>
            </w:r>
          </w:p>
        </w:tc>
        <w:tc>
          <w:tcPr>
            <w:tcW w:type="dxa" w:w="1800"/>
            <w:tcMar>
              <w:top w:type="dxa" w:w="80"/>
              <w:left w:type="dxa" w:w="110"/>
              <w:bottom w:type="dxa" w:w="80"/>
              <w:right w:type="dxa" w:w="110"/>
            </w:tcMar>
            <w:vAlign w:val="top"/>
          </w:tcPr>
          <w:p>
            <w:pPr>
              <w:spacing w:after="0"/>
            </w:pPr>
            <w:r>
              <w:rPr>
                <w:sz w:val="18"/>
                <w:szCs w:val="18"/>
              </w:rPr>
              <w:t xml:space="preserve">Fair</w:t>
            </w:r>
          </w:p>
        </w:tc>
        <w:tc>
          <w:tcPr>
            <w:tcW w:type="dxa" w:w="1320"/>
            <w:tcMar>
              <w:top w:type="dxa" w:w="80"/>
              <w:left w:type="dxa" w:w="110"/>
              <w:bottom w:type="dxa" w:w="80"/>
              <w:right w:type="dxa" w:w="110"/>
            </w:tcMar>
            <w:vAlign w:val="top"/>
          </w:tcPr>
          <w:p>
            <w:pPr>
              <w:spacing w:after="0"/>
            </w:pPr>
            <w:r>
              <w:rPr>
                <w:sz w:val="18"/>
                <w:szCs w:val="18"/>
              </w:rPr>
              <w:t xml:space="preserve">479</w:t>
            </w:r>
          </w:p>
        </w:tc>
        <w:tc>
          <w:tcPr>
            <w:tcW w:type="dxa" w:w="1320"/>
            <w:tcMar>
              <w:top w:type="dxa" w:w="80"/>
              <w:left w:type="dxa" w:w="110"/>
              <w:bottom w:type="dxa" w:w="80"/>
              <w:right w:type="dxa" w:w="110"/>
            </w:tcMar>
            <w:vAlign w:val="top"/>
          </w:tcPr>
          <w:p>
            <w:pPr>
              <w:spacing w:after="0"/>
            </w:pPr>
            <w:r>
              <w:rPr>
                <w:sz w:val="18"/>
                <w:szCs w:val="18"/>
              </w:rPr>
              <w:t xml:space="preserve">491</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N5</w:t>
            </w:r>
          </w:p>
        </w:tc>
        <w:tc>
          <w:tcPr>
            <w:tcW w:type="dxa" w:w="2100"/>
            <w:tcMar>
              <w:top w:type="dxa" w:w="80"/>
              <w:left w:type="dxa" w:w="110"/>
              <w:bottom w:type="dxa" w:w="80"/>
              <w:right w:type="dxa" w:w="110"/>
            </w:tcMar>
            <w:vAlign w:val="top"/>
          </w:tcPr>
          <w:p>
            <w:pPr>
              <w:spacing w:after="0"/>
            </w:pPr>
            <w:r>
              <w:rPr>
                <w:sz w:val="18"/>
                <w:szCs w:val="18"/>
              </w:rPr>
              <w:t xml:space="preserve">Medium Risk</w:t>
            </w:r>
          </w:p>
        </w:tc>
        <w:tc>
          <w:tcPr>
            <w:tcW w:type="dxa" w:w="1800"/>
            <w:tcMar>
              <w:top w:type="dxa" w:w="80"/>
              <w:left w:type="dxa" w:w="110"/>
              <w:bottom w:type="dxa" w:w="80"/>
              <w:right w:type="dxa" w:w="110"/>
            </w:tcMar>
            <w:vAlign w:val="top"/>
          </w:tcPr>
          <w:p>
            <w:pPr>
              <w:spacing w:after="0"/>
            </w:pPr>
            <w:r>
              <w:rPr>
                <w:sz w:val="18"/>
                <w:szCs w:val="18"/>
              </w:rPr>
              <w:t xml:space="preserve">Good</w:t>
            </w:r>
          </w:p>
        </w:tc>
        <w:tc>
          <w:tcPr>
            <w:tcW w:type="dxa" w:w="1320"/>
            <w:tcMar>
              <w:top w:type="dxa" w:w="80"/>
              <w:left w:type="dxa" w:w="110"/>
              <w:bottom w:type="dxa" w:w="80"/>
              <w:right w:type="dxa" w:w="110"/>
            </w:tcMar>
            <w:vAlign w:val="top"/>
          </w:tcPr>
          <w:p>
            <w:pPr>
              <w:spacing w:after="0"/>
            </w:pPr>
            <w:r>
              <w:rPr>
                <w:sz w:val="18"/>
                <w:szCs w:val="18"/>
              </w:rPr>
              <w:t xml:space="preserve">492</w:t>
            </w:r>
          </w:p>
        </w:tc>
        <w:tc>
          <w:tcPr>
            <w:tcW w:type="dxa" w:w="1320"/>
            <w:tcMar>
              <w:top w:type="dxa" w:w="80"/>
              <w:left w:type="dxa" w:w="110"/>
              <w:bottom w:type="dxa" w:w="80"/>
              <w:right w:type="dxa" w:w="110"/>
            </w:tcMar>
            <w:vAlign w:val="top"/>
          </w:tcPr>
          <w:p>
            <w:pPr>
              <w:spacing w:after="0"/>
            </w:pPr>
            <w:r>
              <w:rPr>
                <w:sz w:val="18"/>
                <w:szCs w:val="18"/>
              </w:rPr>
              <w:t xml:space="preserve">506</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N6</w:t>
            </w:r>
          </w:p>
        </w:tc>
        <w:tc>
          <w:tcPr>
            <w:tcW w:type="dxa" w:w="2100"/>
            <w:tcMar>
              <w:top w:type="dxa" w:w="80"/>
              <w:left w:type="dxa" w:w="110"/>
              <w:bottom w:type="dxa" w:w="80"/>
              <w:right w:type="dxa" w:w="110"/>
            </w:tcMar>
            <w:vAlign w:val="top"/>
          </w:tcPr>
          <w:p>
            <w:pPr>
              <w:spacing w:after="0"/>
            </w:pPr>
            <w:r>
              <w:rPr>
                <w:sz w:val="18"/>
                <w:szCs w:val="18"/>
              </w:rPr>
              <w:t xml:space="preserve">Medium Risk</w:t>
            </w:r>
          </w:p>
        </w:tc>
        <w:tc>
          <w:tcPr>
            <w:tcW w:type="dxa" w:w="1800"/>
            <w:tcMar>
              <w:top w:type="dxa" w:w="80"/>
              <w:left w:type="dxa" w:w="110"/>
              <w:bottom w:type="dxa" w:w="80"/>
              <w:right w:type="dxa" w:w="110"/>
            </w:tcMar>
            <w:vAlign w:val="top"/>
          </w:tcPr>
          <w:p>
            <w:pPr>
              <w:spacing w:after="0"/>
            </w:pPr>
            <w:r>
              <w:rPr>
                <w:sz w:val="18"/>
                <w:szCs w:val="18"/>
              </w:rPr>
              <w:t xml:space="preserve">Good</w:t>
            </w:r>
          </w:p>
        </w:tc>
        <w:tc>
          <w:tcPr>
            <w:tcW w:type="dxa" w:w="1320"/>
            <w:tcMar>
              <w:top w:type="dxa" w:w="80"/>
              <w:left w:type="dxa" w:w="110"/>
              <w:bottom w:type="dxa" w:w="80"/>
              <w:right w:type="dxa" w:w="110"/>
            </w:tcMar>
            <w:vAlign w:val="top"/>
          </w:tcPr>
          <w:p>
            <w:pPr>
              <w:spacing w:after="0"/>
            </w:pPr>
            <w:r>
              <w:rPr>
                <w:sz w:val="18"/>
                <w:szCs w:val="18"/>
              </w:rPr>
              <w:t xml:space="preserve">507</w:t>
            </w:r>
          </w:p>
        </w:tc>
        <w:tc>
          <w:tcPr>
            <w:tcW w:type="dxa" w:w="1320"/>
            <w:tcMar>
              <w:top w:type="dxa" w:w="80"/>
              <w:left w:type="dxa" w:w="110"/>
              <w:bottom w:type="dxa" w:w="80"/>
              <w:right w:type="dxa" w:w="110"/>
            </w:tcMar>
            <w:vAlign w:val="top"/>
          </w:tcPr>
          <w:p>
            <w:pPr>
              <w:spacing w:after="0"/>
            </w:pPr>
            <w:r>
              <w:rPr>
                <w:sz w:val="18"/>
                <w:szCs w:val="18"/>
              </w:rPr>
              <w:t xml:space="preserve">519</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N7</w:t>
            </w:r>
          </w:p>
        </w:tc>
        <w:tc>
          <w:tcPr>
            <w:tcW w:type="dxa" w:w="2100"/>
            <w:tcMar>
              <w:top w:type="dxa" w:w="80"/>
              <w:left w:type="dxa" w:w="110"/>
              <w:bottom w:type="dxa" w:w="80"/>
              <w:right w:type="dxa" w:w="110"/>
            </w:tcMar>
            <w:vAlign w:val="top"/>
          </w:tcPr>
          <w:p>
            <w:pPr>
              <w:spacing w:after="0"/>
            </w:pPr>
            <w:r>
              <w:rPr>
                <w:sz w:val="18"/>
                <w:szCs w:val="18"/>
              </w:rPr>
              <w:t xml:space="preserve">Low Risk</w:t>
            </w:r>
          </w:p>
        </w:tc>
        <w:tc>
          <w:tcPr>
            <w:tcW w:type="dxa" w:w="1800"/>
            <w:tcMar>
              <w:top w:type="dxa" w:w="80"/>
              <w:left w:type="dxa" w:w="110"/>
              <w:bottom w:type="dxa" w:w="80"/>
              <w:right w:type="dxa" w:w="110"/>
            </w:tcMar>
            <w:vAlign w:val="top"/>
          </w:tcPr>
          <w:p>
            <w:pPr>
              <w:spacing w:after="0"/>
            </w:pPr>
            <w:r>
              <w:rPr>
                <w:sz w:val="18"/>
                <w:szCs w:val="18"/>
              </w:rPr>
              <w:t xml:space="preserve">Very Good</w:t>
            </w:r>
          </w:p>
        </w:tc>
        <w:tc>
          <w:tcPr>
            <w:tcW w:type="dxa" w:w="1320"/>
            <w:tcMar>
              <w:top w:type="dxa" w:w="80"/>
              <w:left w:type="dxa" w:w="110"/>
              <w:bottom w:type="dxa" w:w="80"/>
              <w:right w:type="dxa" w:w="110"/>
            </w:tcMar>
            <w:vAlign w:val="top"/>
          </w:tcPr>
          <w:p>
            <w:pPr>
              <w:spacing w:after="0"/>
            </w:pPr>
            <w:r>
              <w:rPr>
                <w:sz w:val="18"/>
                <w:szCs w:val="18"/>
              </w:rPr>
              <w:t xml:space="preserve">520</w:t>
            </w:r>
          </w:p>
        </w:tc>
        <w:tc>
          <w:tcPr>
            <w:tcW w:type="dxa" w:w="1320"/>
            <w:tcMar>
              <w:top w:type="dxa" w:w="80"/>
              <w:left w:type="dxa" w:w="110"/>
              <w:bottom w:type="dxa" w:w="80"/>
              <w:right w:type="dxa" w:w="110"/>
            </w:tcMar>
            <w:vAlign w:val="top"/>
          </w:tcPr>
          <w:p>
            <w:pPr>
              <w:spacing w:after="0"/>
            </w:pPr>
            <w:r>
              <w:rPr>
                <w:sz w:val="18"/>
                <w:szCs w:val="18"/>
              </w:rPr>
              <w:t xml:space="preserve">531</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N8</w:t>
            </w:r>
          </w:p>
        </w:tc>
        <w:tc>
          <w:tcPr>
            <w:tcW w:type="dxa" w:w="2100"/>
            <w:tcMar>
              <w:top w:type="dxa" w:w="80"/>
              <w:left w:type="dxa" w:w="110"/>
              <w:bottom w:type="dxa" w:w="80"/>
              <w:right w:type="dxa" w:w="110"/>
            </w:tcMar>
            <w:vAlign w:val="top"/>
          </w:tcPr>
          <w:p>
            <w:pPr>
              <w:spacing w:after="0"/>
            </w:pPr>
            <w:r>
              <w:rPr>
                <w:sz w:val="18"/>
                <w:szCs w:val="18"/>
              </w:rPr>
              <w:t xml:space="preserve">Low Risk</w:t>
            </w:r>
          </w:p>
        </w:tc>
        <w:tc>
          <w:tcPr>
            <w:tcW w:type="dxa" w:w="1800"/>
            <w:tcMar>
              <w:top w:type="dxa" w:w="80"/>
              <w:left w:type="dxa" w:w="110"/>
              <w:bottom w:type="dxa" w:w="80"/>
              <w:right w:type="dxa" w:w="110"/>
            </w:tcMar>
            <w:vAlign w:val="top"/>
          </w:tcPr>
          <w:p>
            <w:pPr>
              <w:spacing w:after="0"/>
            </w:pPr>
            <w:r>
              <w:rPr>
                <w:sz w:val="18"/>
                <w:szCs w:val="18"/>
              </w:rPr>
              <w:t xml:space="preserve">Very Good</w:t>
            </w:r>
          </w:p>
        </w:tc>
        <w:tc>
          <w:tcPr>
            <w:tcW w:type="dxa" w:w="1320"/>
            <w:tcMar>
              <w:top w:type="dxa" w:w="80"/>
              <w:left w:type="dxa" w:w="110"/>
              <w:bottom w:type="dxa" w:w="80"/>
              <w:right w:type="dxa" w:w="110"/>
            </w:tcMar>
            <w:vAlign w:val="top"/>
          </w:tcPr>
          <w:p>
            <w:pPr>
              <w:spacing w:after="0"/>
            </w:pPr>
            <w:r>
              <w:rPr>
                <w:sz w:val="18"/>
                <w:szCs w:val="18"/>
              </w:rPr>
              <w:t xml:space="preserve">532</w:t>
            </w:r>
          </w:p>
        </w:tc>
        <w:tc>
          <w:tcPr>
            <w:tcW w:type="dxa" w:w="1320"/>
            <w:tcMar>
              <w:top w:type="dxa" w:w="80"/>
              <w:left w:type="dxa" w:w="110"/>
              <w:bottom w:type="dxa" w:w="80"/>
              <w:right w:type="dxa" w:w="110"/>
            </w:tcMar>
            <w:vAlign w:val="top"/>
          </w:tcPr>
          <w:p>
            <w:pPr>
              <w:spacing w:after="0"/>
            </w:pPr>
            <w:r>
              <w:rPr>
                <w:sz w:val="18"/>
                <w:szCs w:val="18"/>
              </w:rPr>
              <w:t xml:space="preserve">553</w:t>
            </w:r>
          </w:p>
        </w:tc>
      </w:tr>
      <w:tr>
        <w:tc>
          <w:tcPr>
            <w:tcW w:type="dxa" w:w="2000"/>
            <w:tcMar>
              <w:top w:type="dxa" w:w="80"/>
              <w:left w:type="dxa" w:w="110"/>
              <w:bottom w:type="dxa" w:w="80"/>
              <w:right w:type="dxa" w:w="110"/>
            </w:tcMar>
            <w:vAlign w:val="top"/>
          </w:tcPr>
          <w:p>
            <w:pPr>
              <w:spacing w:after="0"/>
            </w:pPr>
            <w:r>
              <w:rPr>
                <w:sz w:val="18"/>
                <w:szCs w:val="18"/>
              </w:rPr>
              <w:t xml:space="preserve">New to Credit</w:t>
            </w:r>
          </w:p>
        </w:tc>
        <w:tc>
          <w:tcPr>
            <w:tcW w:type="dxa" w:w="1100"/>
            <w:tcMar>
              <w:top w:type="dxa" w:w="80"/>
              <w:left w:type="dxa" w:w="110"/>
              <w:bottom w:type="dxa" w:w="80"/>
              <w:right w:type="dxa" w:w="110"/>
            </w:tcMar>
            <w:vAlign w:val="top"/>
          </w:tcPr>
          <w:p>
            <w:pPr>
              <w:spacing w:after="0"/>
            </w:pPr>
            <w:r>
              <w:rPr>
                <w:b/>
                <w:bCs/>
                <w:sz w:val="18"/>
                <w:szCs w:val="18"/>
              </w:rPr>
              <w:t xml:space="preserve">N9</w:t>
            </w:r>
          </w:p>
        </w:tc>
        <w:tc>
          <w:tcPr>
            <w:tcW w:type="dxa" w:w="2100"/>
            <w:tcMar>
              <w:top w:type="dxa" w:w="80"/>
              <w:left w:type="dxa" w:w="110"/>
              <w:bottom w:type="dxa" w:w="80"/>
              <w:right w:type="dxa" w:w="110"/>
            </w:tcMar>
            <w:vAlign w:val="top"/>
          </w:tcPr>
          <w:p>
            <w:pPr>
              <w:spacing w:after="0"/>
            </w:pPr>
            <w:r>
              <w:rPr>
                <w:sz w:val="18"/>
                <w:szCs w:val="18"/>
              </w:rPr>
              <w:t xml:space="preserve">Low Risk</w:t>
            </w:r>
          </w:p>
        </w:tc>
        <w:tc>
          <w:tcPr>
            <w:tcW w:type="dxa" w:w="1800"/>
            <w:tcMar>
              <w:top w:type="dxa" w:w="80"/>
              <w:left w:type="dxa" w:w="110"/>
              <w:bottom w:type="dxa" w:w="80"/>
              <w:right w:type="dxa" w:w="110"/>
            </w:tcMar>
            <w:vAlign w:val="top"/>
          </w:tcPr>
          <w:p>
            <w:pPr>
              <w:spacing w:after="0"/>
            </w:pPr>
            <w:r>
              <w:rPr>
                <w:sz w:val="18"/>
                <w:szCs w:val="18"/>
              </w:rPr>
              <w:t xml:space="preserve">Very Good</w:t>
            </w:r>
          </w:p>
        </w:tc>
        <w:tc>
          <w:tcPr>
            <w:tcW w:type="dxa" w:w="1320"/>
            <w:tcMar>
              <w:top w:type="dxa" w:w="80"/>
              <w:left w:type="dxa" w:w="110"/>
              <w:bottom w:type="dxa" w:w="80"/>
              <w:right w:type="dxa" w:w="110"/>
            </w:tcMar>
            <w:vAlign w:val="top"/>
          </w:tcPr>
          <w:p>
            <w:pPr>
              <w:spacing w:after="0"/>
            </w:pPr>
            <w:r>
              <w:rPr>
                <w:sz w:val="18"/>
                <w:szCs w:val="18"/>
              </w:rPr>
              <w:t xml:space="preserve">554</w:t>
            </w:r>
          </w:p>
        </w:tc>
        <w:tc>
          <w:tcPr>
            <w:tcW w:type="dxa" w:w="1320"/>
            <w:tcMar>
              <w:top w:type="dxa" w:w="80"/>
              <w:left w:type="dxa" w:w="110"/>
              <w:bottom w:type="dxa" w:w="80"/>
              <w:right w:type="dxa" w:w="110"/>
            </w:tcMar>
            <w:vAlign w:val="top"/>
          </w:tcPr>
          <w:p>
            <w:pPr>
              <w:spacing w:after="0"/>
            </w:pPr>
            <w:r>
              <w:rPr>
                <w:sz w:val="18"/>
                <w:szCs w:val="18"/>
              </w:rPr>
              <w:t xml:space="preserve">650</w:t>
            </w:r>
          </w:p>
        </w:tc>
      </w:tr>
    </w:tbl>
    <w:p>
      <w:pPr>
        <w:spacing w:after="220" w:before="60"/>
        <w:jc w:val="center"/>
      </w:pPr>
      <w:r>
        <w:rPr>
          <w:i/>
          <w:iCs/>
          <w:color w:val="595959"/>
          <w:sz w:val="17"/>
          <w:szCs w:val="17"/>
        </w:rPr>
        <w:t xml:space="preserve">Consumer Score 3.0 — day-one values loaded into the Score Range master</w:t>
      </w:r>
    </w:p>
    <w:p>
      <w:pPr>
        <w:spacing w:after="130"/>
      </w:pPr>
      <w:r>
        <w:rPr>
          <w:b/>
          <w:bCs/>
          <w:sz w:val="20"/>
          <w:szCs w:val="20"/>
        </w:rPr>
        <w:t xml:space="preserve">Existing families are retained, unchanged in meaning.</w:t>
      </w:r>
      <w:r>
        <w:rPr>
          <w:sz w:val="20"/>
          <w:szCs w:val="20"/>
        </w:rPr>
        <w:t xml:space="preserve"> The range codes in use today are migrated into the same master so that all codes live in one place. They keep their present risk groups and remain selectable, and no strategy version that references them is affected. The enumerated list of existing codes is taken from the current production configuration and confirmed before build; it is not assumed.</w:t>
      </w:r>
    </w:p>
    <w:p>
      <w:r>
        <w:br w:type="page"/>
      </w:r>
    </w:p>
    <w:p>
      <w:pPr>
        <w:spacing w:after="200" w:before="360"/>
      </w:pPr>
      <w:r>
        <w:rPr>
          <w:b/>
          <w:bCs/>
          <w:caps/>
          <w:color w:val="000000"/>
          <w:sz w:val="26"/>
          <w:szCs w:val="26"/>
        </w:rPr>
        <w:t xml:space="preserve">4. SEGMENT DETECTION</w:t>
      </w:r>
    </w:p>
    <w:p>
      <w:pPr>
        <w:spacing w:after="130"/>
      </w:pPr>
      <w:r>
        <w:rPr>
          <w:sz w:val="20"/>
          <w:szCs w:val="20"/>
        </w:rPr>
        <w:t xml:space="preserve">The application’s score segment is derived from the range returned in the bureau response, by </w:t>
      </w:r>
      <w:r>
        <w:rPr>
          <w:b/>
          <w:bCs/>
          <w:sz w:val="20"/>
          <w:szCs w:val="20"/>
        </w:rPr>
        <w:t xml:space="preserve">exact match against the Score Range master</w:t>
      </w:r>
      <w:r>
        <w:rPr>
          <w:sz w:val="20"/>
          <w:szCs w:val="20"/>
        </w:rPr>
        <w:t xml:space="preserve">.</w:t>
      </w:r>
    </w:p>
    <w:p>
      <w:pPr>
        <w:spacing w:after="40"/>
      </w:pP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4400"/>
        <w:gridCol w:w="5240"/>
      </w:tblGrid>
      <w:tr>
        <w:trPr>
          <w:tblHeader/>
        </w:trPr>
        <w:tc>
          <w:tcPr>
            <w:tcW w:type="dxa" w:w="4400"/>
            <w:shd w:fill="156082" w:color="auto" w:val="clear"/>
            <w:tcMar>
              <w:top w:type="dxa" w:w="80"/>
              <w:left w:type="dxa" w:w="110"/>
              <w:bottom w:type="dxa" w:w="80"/>
              <w:right w:type="dxa" w:w="110"/>
            </w:tcMar>
            <w:vAlign w:val="center"/>
          </w:tcPr>
          <w:p>
            <w:r>
              <w:rPr>
                <w:b/>
                <w:bCs/>
                <w:color w:val="FFFFFF"/>
                <w:sz w:val="19"/>
                <w:szCs w:val="19"/>
              </w:rPr>
              <w:t xml:space="preserve">Returned range</w:t>
            </w:r>
          </w:p>
        </w:tc>
        <w:tc>
          <w:tcPr>
            <w:tcW w:type="dxa" w:w="5240"/>
            <w:shd w:fill="156082" w:color="auto" w:val="clear"/>
            <w:tcMar>
              <w:top w:type="dxa" w:w="80"/>
              <w:left w:type="dxa" w:w="110"/>
              <w:bottom w:type="dxa" w:w="80"/>
              <w:right w:type="dxa" w:w="110"/>
            </w:tcMar>
            <w:vAlign w:val="center"/>
          </w:tcPr>
          <w:p>
            <w:r>
              <w:rPr>
                <w:b/>
                <w:bCs/>
                <w:color w:val="FFFFFF"/>
                <w:sz w:val="19"/>
                <w:szCs w:val="19"/>
              </w:rPr>
              <w:t xml:space="preserve">Segment / score name</w:t>
            </w:r>
          </w:p>
        </w:tc>
      </w:tr>
      <w:tr>
        <w:tc>
          <w:tcPr>
            <w:tcW w:type="dxa" w:w="4400"/>
            <w:tcMar>
              <w:top w:type="dxa" w:w="80"/>
              <w:left w:type="dxa" w:w="110"/>
              <w:bottom w:type="dxa" w:w="80"/>
              <w:right w:type="dxa" w:w="110"/>
            </w:tcMar>
            <w:vAlign w:val="top"/>
          </w:tcPr>
          <w:p>
            <w:pPr>
              <w:spacing w:after="0"/>
            </w:pPr>
            <w:r>
              <w:rPr>
                <w:sz w:val="18"/>
                <w:szCs w:val="18"/>
              </w:rPr>
              <w:t xml:space="preserve">Two characters, M + digit (M0–M9)</w:t>
            </w:r>
          </w:p>
        </w:tc>
        <w:tc>
          <w:tcPr>
            <w:tcW w:type="dxa" w:w="5240"/>
            <w:tcMar>
              <w:top w:type="dxa" w:w="80"/>
              <w:left w:type="dxa" w:w="110"/>
              <w:bottom w:type="dxa" w:w="80"/>
              <w:right w:type="dxa" w:w="110"/>
            </w:tcMar>
            <w:vAlign w:val="top"/>
          </w:tcPr>
          <w:p>
            <w:pPr>
              <w:spacing w:after="0"/>
            </w:pPr>
            <w:r>
              <w:rPr>
                <w:sz w:val="18"/>
                <w:szCs w:val="18"/>
              </w:rPr>
              <w:t xml:space="preserve">Consumer Score 3.0 — Mature</w:t>
            </w:r>
          </w:p>
        </w:tc>
      </w:tr>
      <w:tr>
        <w:tc>
          <w:tcPr>
            <w:tcW w:type="dxa" w:w="4400"/>
            <w:tcMar>
              <w:top w:type="dxa" w:w="80"/>
              <w:left w:type="dxa" w:w="110"/>
              <w:bottom w:type="dxa" w:w="80"/>
              <w:right w:type="dxa" w:w="110"/>
            </w:tcMar>
            <w:vAlign w:val="top"/>
          </w:tcPr>
          <w:p>
            <w:pPr>
              <w:spacing w:after="0"/>
            </w:pPr>
            <w:r>
              <w:rPr>
                <w:sz w:val="18"/>
                <w:szCs w:val="18"/>
              </w:rPr>
              <w:t xml:space="preserve">Two characters, N + digit (N0–N9)</w:t>
            </w:r>
          </w:p>
        </w:tc>
        <w:tc>
          <w:tcPr>
            <w:tcW w:type="dxa" w:w="5240"/>
            <w:tcMar>
              <w:top w:type="dxa" w:w="80"/>
              <w:left w:type="dxa" w:w="110"/>
              <w:bottom w:type="dxa" w:w="80"/>
              <w:right w:type="dxa" w:w="110"/>
            </w:tcMar>
            <w:vAlign w:val="top"/>
          </w:tcPr>
          <w:p>
            <w:pPr>
              <w:spacing w:after="0"/>
            </w:pPr>
            <w:r>
              <w:rPr>
                <w:sz w:val="18"/>
                <w:szCs w:val="18"/>
              </w:rPr>
              <w:t xml:space="preserve">Consumer Score 3.0 — New to Credit</w:t>
            </w:r>
          </w:p>
        </w:tc>
      </w:tr>
      <w:tr>
        <w:tc>
          <w:tcPr>
            <w:tcW w:type="dxa" w:w="4400"/>
            <w:tcMar>
              <w:top w:type="dxa" w:w="80"/>
              <w:left w:type="dxa" w:w="110"/>
              <w:bottom w:type="dxa" w:w="80"/>
              <w:right w:type="dxa" w:w="110"/>
            </w:tcMar>
            <w:vAlign w:val="top"/>
          </w:tcPr>
          <w:p>
            <w:pPr>
              <w:spacing w:after="0"/>
            </w:pPr>
            <w:r>
              <w:rPr>
                <w:sz w:val="18"/>
                <w:szCs w:val="18"/>
              </w:rPr>
              <w:t xml:space="preserve">Any existing family code</w:t>
            </w:r>
          </w:p>
        </w:tc>
        <w:tc>
          <w:tcPr>
            <w:tcW w:type="dxa" w:w="5240"/>
            <w:tcMar>
              <w:top w:type="dxa" w:w="80"/>
              <w:left w:type="dxa" w:w="110"/>
              <w:bottom w:type="dxa" w:w="80"/>
              <w:right w:type="dxa" w:w="110"/>
            </w:tcMar>
            <w:vAlign w:val="top"/>
          </w:tcPr>
          <w:p>
            <w:pPr>
              <w:spacing w:after="0"/>
            </w:pPr>
            <w:r>
              <w:rPr>
                <w:sz w:val="18"/>
                <w:szCs w:val="18"/>
              </w:rPr>
              <w:t xml:space="preserve">Its current score name — unchanged</w:t>
            </w:r>
          </w:p>
        </w:tc>
      </w:tr>
    </w:tbl>
    <w:p>
      <w:pPr>
        <w:spacing w:after="120"/>
      </w:pPr>
    </w:p>
    <w:p>
      <w:pPr>
        <w:spacing w:after="130"/>
      </w:pPr>
      <w:r>
        <w:rPr>
          <w:b/>
          <w:bCs/>
          <w:sz w:val="20"/>
          <w:szCs w:val="20"/>
        </w:rPr>
        <w:t xml:space="preserve">Prefix matching is prohibited.</w:t>
      </w:r>
      <w:r>
        <w:rPr>
          <w:sz w:val="20"/>
          <w:szCs w:val="20"/>
        </w:rPr>
        <w:t xml:space="preserve"> Score Range is a fixed two-character field, but the codes in use today occupy a single character. A single-character </w:t>
      </w:r>
      <w:r>
        <w:rPr>
          <w:b/>
          <w:bCs/>
          <w:sz w:val="20"/>
          <w:szCs w:val="20"/>
        </w:rPr>
        <w:t xml:space="preserve">M</w:t>
      </w:r>
      <w:r>
        <w:rPr>
          <w:sz w:val="20"/>
          <w:szCs w:val="20"/>
        </w:rPr>
        <w:t xml:space="preserve"> is a Very Low Risk code in the existing families, while </w:t>
      </w:r>
      <w:r>
        <w:rPr>
          <w:b/>
          <w:bCs/>
          <w:sz w:val="20"/>
          <w:szCs w:val="20"/>
        </w:rPr>
        <w:t xml:space="preserve">M0–M9</w:t>
      </w:r>
      <w:r>
        <w:rPr>
          <w:sz w:val="20"/>
          <w:szCs w:val="20"/>
        </w:rPr>
        <w:t xml:space="preserve"> is the Mature segment. A rule, a report filter, a warehouse column or a policy table that tests only the first character will classify a Very Low Risk customer as Mature, or will truncate and silently fail to join. This is the first item on Appro’s watch-list in the Q3 2026 newsletter, and the reason the master is matched on the whole code.</w:t>
      </w:r>
    </w:p>
    <w:p>
      <w:pPr>
        <w:spacing w:after="130"/>
      </w:pPr>
      <w:r>
        <w:rPr>
          <w:sz w:val="20"/>
          <w:szCs w:val="20"/>
        </w:rPr>
        <w:t xml:space="preserve">The derived segment is persisted on the application, so the banner, the reports and the audit trail all read the same value. A range that is not found in the master does not resolve to a segment: it is handled as </w:t>
      </w:r>
      <w:r>
        <w:rPr>
          <w:b/>
          <w:bCs/>
          <w:sz w:val="20"/>
          <w:szCs w:val="20"/>
        </w:rPr>
        <w:t xml:space="preserve">no value</w:t>
      </w:r>
      <w:r>
        <w:rPr>
          <w:sz w:val="20"/>
          <w:szCs w:val="20"/>
        </w:rPr>
        <w:t xml:space="preserve">, and is never defaulted to the lowest band.</w:t>
      </w:r>
    </w:p>
    <w:p>
      <w:r>
        <w:br w:type="page"/>
      </w:r>
    </w:p>
    <w:p>
      <w:pPr>
        <w:spacing w:after="200" w:before="360"/>
      </w:pPr>
      <w:r>
        <w:rPr>
          <w:b/>
          <w:bCs/>
          <w:caps/>
          <w:color w:val="000000"/>
          <w:sz w:val="26"/>
          <w:szCs w:val="26"/>
        </w:rPr>
        <w:t xml:space="preserve">5. RULE ENGINE — SCORE RANGE VALUE LIST</w:t>
      </w:r>
    </w:p>
    <w:p>
      <w:pPr>
        <w:spacing w:after="130"/>
      </w:pPr>
      <w:r>
        <w:rPr>
          <w:sz w:val="20"/>
          <w:szCs w:val="20"/>
        </w:rPr>
        <w:t xml:space="preserve">The AECB Score Range criterion is sourced from the Score Range master, so it offers the Score 3.0 codes </w:t>
      </w:r>
      <w:r>
        <w:rPr>
          <w:b/>
          <w:bCs/>
          <w:sz w:val="20"/>
          <w:szCs w:val="20"/>
        </w:rPr>
        <w:t xml:space="preserve">in addition to</w:t>
      </w:r>
      <w:r>
        <w:rPr>
          <w:sz w:val="20"/>
          <w:szCs w:val="20"/>
        </w:rPr>
        <w:t xml:space="preserve"> the existing families — not in place of them.</w:t>
      </w:r>
    </w:p>
    <w:p>
      <w:pPr>
        <w:pStyle w:val="ListParagraph"/>
        <w:numPr>
          <w:ilvl w:val="0"/>
          <w:numId w:val="1"/>
        </w:numPr>
        <w:spacing w:after="70"/>
      </w:pPr>
      <w:r>
        <w:rPr>
          <w:sz w:val="20"/>
          <w:szCs w:val="20"/>
        </w:rPr>
        <w:t xml:space="preserve">Operators are unchanged: </w:t>
      </w:r>
      <w:r>
        <w:rPr>
          <w:b/>
          <w:bCs/>
          <w:sz w:val="20"/>
          <w:szCs w:val="20"/>
        </w:rPr>
        <w:t xml:space="preserve">Is In, Is Not In, Include, Does Not Include, Is Empty, Is Not Empty</w:t>
      </w:r>
      <w:r>
        <w:rPr>
          <w:sz w:val="20"/>
          <w:szCs w:val="20"/>
        </w:rPr>
        <w:t xml:space="preserve">.</w:t>
      </w:r>
    </w:p>
    <w:p>
      <w:pPr>
        <w:pStyle w:val="ListParagraph"/>
        <w:numPr>
          <w:ilvl w:val="0"/>
          <w:numId w:val="1"/>
        </w:numPr>
        <w:spacing w:after="70"/>
      </w:pPr>
      <w:r>
        <w:rPr>
          <w:sz w:val="20"/>
          <w:szCs w:val="20"/>
        </w:rPr>
        <w:t xml:space="preserve">Strategy versions published before this change keep working untouched, because no existing code is retired or remapped. </w:t>
      </w:r>
      <w:r>
        <w:rPr>
          <w:b/>
          <w:bCs/>
          <w:sz w:val="20"/>
          <w:szCs w:val="20"/>
        </w:rPr>
        <w:t xml:space="preserve">No migration of published versions is required.</w:t>
      </w:r>
    </w:p>
    <w:p>
      <w:pPr>
        <w:pStyle w:val="ListParagraph"/>
        <w:numPr>
          <w:ilvl w:val="0"/>
          <w:numId w:val="1"/>
        </w:numPr>
        <w:spacing w:after="70"/>
      </w:pPr>
      <w:r>
        <w:rPr>
          <w:sz w:val="20"/>
          <w:szCs w:val="20"/>
        </w:rPr>
        <w:t xml:space="preserve">A code deactivated in the master stops being offered on new or edited strategies, but does not break a version that already references it.</w:t>
      </w:r>
    </w:p>
    <w:p>
      <w:pPr>
        <w:spacing w:after="0" w:before="120" w:line="240" w:lineRule="atLeast"/>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14625"/>
                    </a:xfrm>
                    <a:prstGeom prst="rect">
                      <a:avLst/>
                    </a:prstGeom>
                  </pic:spPr>
                </pic:pic>
              </a:graphicData>
            </a:graphic>
          </wp:inline>
        </w:drawing>
      </w:r>
    </w:p>
    <w:p>
      <w:pPr>
        <w:spacing w:after="220" w:before="60"/>
        <w:jc w:val="center"/>
      </w:pPr>
      <w:r>
        <w:rPr>
          <w:i/>
          <w:iCs/>
          <w:color w:val="595959"/>
          <w:sz w:val="17"/>
          <w:szCs w:val="17"/>
        </w:rPr>
        <w:t xml:space="preserve">Strategy criterion — the value list with the Score 3.0 codes available</w:t>
      </w:r>
    </w:p>
    <w:p>
      <w:r>
        <w:br w:type="page"/>
      </w:r>
    </w:p>
    <w:p>
      <w:pPr>
        <w:spacing w:after="200" w:before="360"/>
      </w:pPr>
      <w:r>
        <w:rPr>
          <w:b/>
          <w:bCs/>
          <w:caps/>
          <w:color w:val="000000"/>
          <w:sz w:val="26"/>
          <w:szCs w:val="26"/>
        </w:rPr>
        <w:t xml:space="preserve">6. RULE ENGINE — SCORE SEGMENT VARIABLE</w:t>
      </w:r>
    </w:p>
    <w:p>
      <w:pPr>
        <w:spacing w:after="130"/>
      </w:pPr>
      <w:r>
        <w:rPr>
          <w:sz w:val="20"/>
          <w:szCs w:val="20"/>
        </w:rPr>
        <w:t xml:space="preserve">A new variable is added to Segmentation, Filtration and Deviation.</w:t>
      </w:r>
    </w:p>
    <w:p>
      <w:pPr>
        <w:spacing w:after="40"/>
      </w:pP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2600"/>
        <w:gridCol w:w="4640"/>
        <w:gridCol w:w="2400"/>
      </w:tblGrid>
      <w:tr>
        <w:trPr>
          <w:tblHeader/>
        </w:trPr>
        <w:tc>
          <w:tcPr>
            <w:tcW w:type="dxa" w:w="2600"/>
            <w:shd w:fill="156082" w:color="auto" w:val="clear"/>
            <w:tcMar>
              <w:top w:type="dxa" w:w="80"/>
              <w:left w:type="dxa" w:w="110"/>
              <w:bottom w:type="dxa" w:w="80"/>
              <w:right w:type="dxa" w:w="110"/>
            </w:tcMar>
            <w:vAlign w:val="center"/>
          </w:tcPr>
          <w:p>
            <w:r>
              <w:rPr>
                <w:b/>
                <w:bCs/>
                <w:color w:val="FFFFFF"/>
                <w:sz w:val="19"/>
                <w:szCs w:val="19"/>
              </w:rPr>
              <w:t xml:space="preserve">Field</w:t>
            </w:r>
          </w:p>
        </w:tc>
        <w:tc>
          <w:tcPr>
            <w:tcW w:type="dxa" w:w="4640"/>
            <w:shd w:fill="156082" w:color="auto" w:val="clear"/>
            <w:tcMar>
              <w:top w:type="dxa" w:w="80"/>
              <w:left w:type="dxa" w:w="110"/>
              <w:bottom w:type="dxa" w:w="80"/>
              <w:right w:type="dxa" w:w="110"/>
            </w:tcMar>
            <w:vAlign w:val="center"/>
          </w:tcPr>
          <w:p>
            <w:r>
              <w:rPr>
                <w:b/>
                <w:bCs/>
                <w:color w:val="FFFFFF"/>
                <w:sz w:val="19"/>
                <w:szCs w:val="19"/>
              </w:rPr>
              <w:t xml:space="preserve">Operators</w:t>
            </w:r>
          </w:p>
        </w:tc>
        <w:tc>
          <w:tcPr>
            <w:tcW w:type="dxa" w:w="2400"/>
            <w:shd w:fill="156082" w:color="auto" w:val="clear"/>
            <w:tcMar>
              <w:top w:type="dxa" w:w="80"/>
              <w:left w:type="dxa" w:w="110"/>
              <w:bottom w:type="dxa" w:w="80"/>
              <w:right w:type="dxa" w:w="110"/>
            </w:tcMar>
            <w:vAlign w:val="center"/>
          </w:tcPr>
          <w:p>
            <w:r>
              <w:rPr>
                <w:b/>
                <w:bCs/>
                <w:color w:val="FFFFFF"/>
                <w:sz w:val="19"/>
                <w:szCs w:val="19"/>
              </w:rPr>
              <w:t xml:space="preserve">Values</w:t>
            </w:r>
          </w:p>
        </w:tc>
      </w:tr>
      <w:tr>
        <w:tc>
          <w:tcPr>
            <w:tcW w:type="dxa" w:w="2600"/>
            <w:tcMar>
              <w:top w:type="dxa" w:w="80"/>
              <w:left w:type="dxa" w:w="110"/>
              <w:bottom w:type="dxa" w:w="80"/>
              <w:right w:type="dxa" w:w="110"/>
            </w:tcMar>
            <w:vAlign w:val="top"/>
          </w:tcPr>
          <w:p>
            <w:pPr>
              <w:spacing w:after="0"/>
            </w:pPr>
            <w:r>
              <w:rPr>
                <w:b/>
                <w:bCs/>
                <w:sz w:val="18"/>
                <w:szCs w:val="18"/>
              </w:rPr>
              <w:t xml:space="preserve">AECB Score Segment</w:t>
            </w:r>
          </w:p>
        </w:tc>
        <w:tc>
          <w:tcPr>
            <w:tcW w:type="dxa" w:w="4640"/>
            <w:tcMar>
              <w:top w:type="dxa" w:w="80"/>
              <w:left w:type="dxa" w:w="110"/>
              <w:bottom w:type="dxa" w:w="80"/>
              <w:right w:type="dxa" w:w="110"/>
            </w:tcMar>
            <w:vAlign w:val="top"/>
          </w:tcPr>
          <w:p>
            <w:pPr>
              <w:spacing w:after="0"/>
            </w:pPr>
            <w:r>
              <w:rPr>
                <w:sz w:val="18"/>
                <w:szCs w:val="18"/>
              </w:rPr>
              <w:t xml:space="preserve">Is In, Is Not In, Include, Does Not Include, Is Empty, Is Not Empty</w:t>
            </w:r>
          </w:p>
        </w:tc>
        <w:tc>
          <w:tcPr>
            <w:tcW w:type="dxa" w:w="2400"/>
            <w:tcMar>
              <w:top w:type="dxa" w:w="80"/>
              <w:left w:type="dxa" w:w="110"/>
              <w:bottom w:type="dxa" w:w="80"/>
              <w:right w:type="dxa" w:w="110"/>
            </w:tcMar>
            <w:vAlign w:val="top"/>
          </w:tcPr>
          <w:p>
            <w:pPr>
              <w:spacing w:after="0"/>
            </w:pPr>
            <w:r>
              <w:rPr>
                <w:sz w:val="18"/>
                <w:szCs w:val="18"/>
              </w:rPr>
              <w:t xml:space="preserve">Mature / New to Credit</w:t>
            </w:r>
          </w:p>
        </w:tc>
      </w:tr>
    </w:tbl>
    <w:p>
      <w:pPr>
        <w:spacing w:after="140"/>
      </w:pPr>
    </w:p>
    <w:p>
      <w:pPr>
        <w:spacing w:after="130"/>
      </w:pPr>
      <w:r>
        <w:rPr>
          <w:b/>
          <w:bCs/>
          <w:sz w:val="20"/>
          <w:szCs w:val="20"/>
        </w:rPr>
        <w:t xml:space="preserve">Why the variable is needed.</w:t>
      </w:r>
      <w:r>
        <w:rPr>
          <w:sz w:val="20"/>
          <w:szCs w:val="20"/>
        </w:rPr>
        <w:t xml:space="preserve"> The two scorecards do not share a scale, so the same three digits carry opposite verdicts. A score of 600 is </w:t>
      </w:r>
      <w:r>
        <w:rPr>
          <w:b/>
          <w:bCs/>
          <w:sz w:val="20"/>
          <w:szCs w:val="20"/>
        </w:rPr>
        <w:t xml:space="preserve">High Risk</w:t>
      </w:r>
      <w:r>
        <w:rPr>
          <w:sz w:val="20"/>
          <w:szCs w:val="20"/>
        </w:rPr>
        <w:t xml:space="preserve"> on the Mature scorecard (tranche M2, band 524–673) and </w:t>
      </w:r>
      <w:r>
        <w:rPr>
          <w:b/>
          <w:bCs/>
          <w:sz w:val="20"/>
          <w:szCs w:val="20"/>
        </w:rPr>
        <w:t xml:space="preserve">Low Risk</w:t>
      </w:r>
      <w:r>
        <w:rPr>
          <w:sz w:val="20"/>
          <w:szCs w:val="20"/>
        </w:rPr>
        <w:t xml:space="preserve"> on New to Credit (tranche N9, band 554–650). A single policy table keyed on the numeric score alone treats those two customers identically. They are not the same risk. Every score-dependent rule must read Segment alongside Score, or key off the range code, which is already segment-safe.</w:t>
      </w:r>
    </w:p>
    <w:p>
      <w:pPr>
        <w:spacing w:after="0" w:before="120" w:line="240" w:lineRule="atLeast"/>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05000"/>
                    </a:xfrm>
                    <a:prstGeom prst="rect">
                      <a:avLst/>
                    </a:prstGeom>
                  </pic:spPr>
                </pic:pic>
              </a:graphicData>
            </a:graphic>
          </wp:inline>
        </w:drawing>
      </w:r>
    </w:p>
    <w:p>
      <w:pPr>
        <w:spacing w:after="220" w:before="60"/>
        <w:jc w:val="center"/>
      </w:pPr>
      <w:r>
        <w:rPr>
          <w:i/>
          <w:iCs/>
          <w:color w:val="595959"/>
          <w:sz w:val="17"/>
          <w:szCs w:val="17"/>
        </w:rPr>
        <w:t xml:space="preserve">Strategy criterion — the new AECB Score Segment variable and its two values</w:t>
      </w:r>
    </w:p>
    <w:p>
      <w:r>
        <w:br w:type="page"/>
      </w:r>
    </w:p>
    <w:p>
      <w:pPr>
        <w:spacing w:after="200" w:before="360"/>
      </w:pPr>
      <w:r>
        <w:rPr>
          <w:b/>
          <w:bCs/>
          <w:caps/>
          <w:color w:val="000000"/>
          <w:sz w:val="26"/>
          <w:szCs w:val="26"/>
        </w:rPr>
        <w:t xml:space="preserve">7. SCORE CHECK MANAGEMENT</w:t>
      </w:r>
    </w:p>
    <w:p>
      <w:pPr>
        <w:spacing w:after="130"/>
      </w:pPr>
      <w:r>
        <w:rPr>
          <w:b/>
          <w:bCs/>
          <w:sz w:val="20"/>
          <w:szCs w:val="20"/>
        </w:rPr>
        <w:t xml:space="preserve">AECB Score Range</w:t>
      </w:r>
      <w:r>
        <w:rPr>
          <w:sz w:val="20"/>
          <w:szCs w:val="20"/>
        </w:rPr>
        <w:t xml:space="preserve"> becomes an attribute in Score Check Management, alongside the existing numeric </w:t>
      </w:r>
      <w:r>
        <w:rPr>
          <w:b/>
          <w:bCs/>
          <w:sz w:val="20"/>
          <w:szCs w:val="20"/>
        </w:rPr>
        <w:t xml:space="preserve">AECB Score</w:t>
      </w:r>
      <w:r>
        <w:rPr>
          <w:sz w:val="20"/>
          <w:szCs w:val="20"/>
        </w:rPr>
        <w:t xml:space="preserve">, on the Credit Card, Personal Loan and CASA tabs. </w:t>
      </w:r>
      <w:r>
        <w:rPr>
          <w:b/>
          <w:bCs/>
          <w:sz w:val="20"/>
          <w:szCs w:val="20"/>
        </w:rPr>
        <w:t xml:space="preserve">AECB Score Segment</w:t>
      </w:r>
      <w:r>
        <w:rPr>
          <w:sz w:val="20"/>
          <w:szCs w:val="20"/>
        </w:rPr>
        <w:t xml:space="preserve"> is available on the same terms.</w:t>
      </w:r>
    </w:p>
    <w:p>
      <w:pPr>
        <w:pStyle w:val="ListParagraph"/>
        <w:numPr>
          <w:ilvl w:val="0"/>
          <w:numId w:val="1"/>
        </w:numPr>
        <w:spacing w:after="70"/>
      </w:pPr>
      <w:r>
        <w:rPr>
          <w:sz w:val="20"/>
          <w:szCs w:val="20"/>
        </w:rPr>
        <w:t xml:space="preserve">Usable in a group’s Values conditions under Match All / Match Any, on the same footing as the existing attributes.</w:t>
      </w:r>
    </w:p>
    <w:p>
      <w:pPr>
        <w:pStyle w:val="ListParagraph"/>
        <w:numPr>
          <w:ilvl w:val="0"/>
          <w:numId w:val="1"/>
        </w:numPr>
        <w:spacing w:after="70"/>
      </w:pPr>
      <w:r>
        <w:rPr>
          <w:sz w:val="20"/>
          <w:szCs w:val="20"/>
        </w:rPr>
        <w:t xml:space="preserve">Operators as section 5.</w:t>
      </w:r>
    </w:p>
    <w:p>
      <w:pPr>
        <w:pStyle w:val="ListParagraph"/>
        <w:numPr>
          <w:ilvl w:val="0"/>
          <w:numId w:val="1"/>
        </w:numPr>
        <w:spacing w:after="70"/>
      </w:pPr>
      <w:r>
        <w:rPr>
          <w:sz w:val="20"/>
          <w:szCs w:val="20"/>
        </w:rPr>
        <w:t xml:space="preserve">Added through Edit Attributes, so the attribute reaches every group on the product tab.</w:t>
      </w:r>
    </w:p>
    <w:p>
      <w:pPr>
        <w:pStyle w:val="ListParagraph"/>
        <w:numPr>
          <w:ilvl w:val="0"/>
          <w:numId w:val="1"/>
        </w:numPr>
        <w:spacing w:after="70"/>
      </w:pPr>
      <w:r>
        <w:rPr>
          <w:sz w:val="20"/>
          <w:szCs w:val="20"/>
        </w:rPr>
        <w:t xml:space="preserve">Existing groups and value sets are unchanged, and the numeric score condition keeps working.</w:t>
      </w:r>
    </w:p>
    <w:p>
      <w:pPr>
        <w:spacing w:after="0" w:before="120" w:line="240" w:lineRule="atLeast"/>
        <w:jc w:val="center"/>
      </w:pPr>
      <w:r>
        <w:drawing>
          <wp:inline distT="0" distB="0" distL="0" distR="0">
            <wp:extent cx="5905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95575"/>
                    </a:xfrm>
                    <a:prstGeom prst="rect">
                      <a:avLst/>
                    </a:prstGeom>
                  </pic:spPr>
                </pic:pic>
              </a:graphicData>
            </a:graphic>
          </wp:inline>
        </w:drawing>
      </w:r>
    </w:p>
    <w:p>
      <w:pPr>
        <w:spacing w:after="220" w:before="60"/>
        <w:jc w:val="center"/>
      </w:pPr>
      <w:r>
        <w:rPr>
          <w:i/>
          <w:iCs/>
          <w:color w:val="595959"/>
          <w:sz w:val="17"/>
          <w:szCs w:val="17"/>
        </w:rPr>
        <w:t xml:space="preserve">Score Check Management — a value set conditioned on the Score 3.0 codes</w:t>
      </w:r>
    </w:p>
    <w:p>
      <w:r>
        <w:br w:type="page"/>
      </w:r>
    </w:p>
    <w:p>
      <w:pPr>
        <w:spacing w:after="200" w:before="360"/>
      </w:pPr>
      <w:r>
        <w:rPr>
          <w:b/>
          <w:bCs/>
          <w:caps/>
          <w:color w:val="000000"/>
          <w:sz w:val="26"/>
          <w:szCs w:val="26"/>
        </w:rPr>
        <w:t xml:space="preserve">8. ENQUIRY, QUEUES AND THE CREDIT REPORT</w:t>
      </w:r>
    </w:p>
    <w:p>
      <w:pPr>
        <w:spacing w:after="130"/>
      </w:pPr>
      <w:r>
        <w:rPr>
          <w:sz w:val="20"/>
          <w:szCs w:val="20"/>
        </w:rPr>
        <w:t xml:space="preserve">The same banner component serves </w:t>
      </w:r>
      <w:r>
        <w:rPr>
          <w:b/>
          <w:bCs/>
          <w:sz w:val="20"/>
          <w:szCs w:val="20"/>
        </w:rPr>
        <w:t xml:space="preserve">Application Enquiry, Credit Queue detail and Termination Queue detail</w:t>
      </w:r>
      <w:r>
        <w:rPr>
          <w:sz w:val="20"/>
          <w:szCs w:val="20"/>
        </w:rPr>
        <w:t xml:space="preserve">. All three reflect the change, and each is verified separately before sign-off.</w:t>
      </w:r>
    </w:p>
    <w:p>
      <w:pPr>
        <w:spacing w:after="0" w:before="120" w:line="240" w:lineRule="atLeast"/>
        <w:jc w:val="center"/>
      </w:pPr>
      <w:r>
        <w:drawing>
          <wp:inline distT="0" distB="0" distL="0" distR="0">
            <wp:extent cx="5715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81150"/>
                    </a:xfrm>
                    <a:prstGeom prst="rect">
                      <a:avLst/>
                    </a:prstGeom>
                  </pic:spPr>
                </pic:pic>
              </a:graphicData>
            </a:graphic>
          </wp:inline>
        </w:drawing>
      </w:r>
    </w:p>
    <w:p>
      <w:pPr>
        <w:spacing w:after="220" w:before="60"/>
        <w:jc w:val="center"/>
      </w:pPr>
      <w:r>
        <w:rPr>
          <w:i/>
          <w:iCs/>
          <w:color w:val="595959"/>
          <w:sz w:val="17"/>
          <w:szCs w:val="17"/>
        </w:rPr>
        <w:t xml:space="preserve">Score block — the range code and description, and the new segment</w:t>
      </w:r>
    </w:p>
    <w:p>
      <w:pPr>
        <w:spacing w:after="140" w:before="260"/>
      </w:pPr>
      <w:r>
        <w:rPr>
          <w:b/>
          <w:bCs/>
          <w:color w:val="156082"/>
          <w:sz w:val="23"/>
          <w:szCs w:val="23"/>
        </w:rPr>
        <w:t xml:space="preserve">Credit report</w:t>
      </w:r>
    </w:p>
    <w:p>
      <w:pPr>
        <w:spacing w:after="130"/>
      </w:pPr>
      <w:r>
        <w:rPr>
          <w:sz w:val="20"/>
          <w:szCs w:val="20"/>
        </w:rPr>
        <w:t xml:space="preserve">In the Credit Summary block, below the credit score, the report displays </w:t>
      </w:r>
      <w:r>
        <w:rPr>
          <w:b/>
          <w:bCs/>
          <w:sz w:val="20"/>
          <w:szCs w:val="20"/>
        </w:rPr>
        <w:t xml:space="preserve">Score Range = code – description</w:t>
      </w:r>
      <w:r>
        <w:rPr>
          <w:sz w:val="20"/>
          <w:szCs w:val="20"/>
        </w:rPr>
        <w:t xml:space="preserve"> as text, for example “M9 – Excellent”. The star display follows the segment’s own scale.</w:t>
      </w:r>
    </w:p>
    <w:p>
      <w:pPr>
        <w:spacing w:after="40"/>
      </w:pP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2600"/>
        <w:gridCol w:w="2600"/>
        <w:gridCol w:w="3140"/>
      </w:tblGrid>
      <w:tr>
        <w:trPr>
          <w:tblHeader/>
        </w:trPr>
        <w:tc>
          <w:tcPr>
            <w:tcW w:type="dxa" w:w="1300"/>
            <w:shd w:fill="156082" w:color="auto" w:val="clear"/>
            <w:tcMar>
              <w:top w:type="dxa" w:w="80"/>
              <w:left w:type="dxa" w:w="110"/>
              <w:bottom w:type="dxa" w:w="80"/>
              <w:right w:type="dxa" w:w="110"/>
            </w:tcMar>
            <w:vAlign w:val="center"/>
          </w:tcPr>
          <w:p>
            <w:r>
              <w:rPr>
                <w:b/>
                <w:bCs/>
                <w:color w:val="FFFFFF"/>
                <w:sz w:val="19"/>
                <w:szCs w:val="19"/>
              </w:rPr>
              <w:t xml:space="preserve">Stars</w:t>
            </w:r>
          </w:p>
        </w:tc>
        <w:tc>
          <w:tcPr>
            <w:tcW w:type="dxa" w:w="2600"/>
            <w:shd w:fill="156082" w:color="auto" w:val="clear"/>
            <w:tcMar>
              <w:top w:type="dxa" w:w="80"/>
              <w:left w:type="dxa" w:w="110"/>
              <w:bottom w:type="dxa" w:w="80"/>
              <w:right w:type="dxa" w:w="110"/>
            </w:tcMar>
            <w:vAlign w:val="center"/>
          </w:tcPr>
          <w:p>
            <w:r>
              <w:rPr>
                <w:b/>
                <w:bCs/>
                <w:color w:val="FFFFFF"/>
                <w:sz w:val="19"/>
                <w:szCs w:val="19"/>
              </w:rPr>
              <w:t xml:space="preserve">Mature</w:t>
            </w:r>
          </w:p>
        </w:tc>
        <w:tc>
          <w:tcPr>
            <w:tcW w:type="dxa" w:w="2600"/>
            <w:shd w:fill="156082" w:color="auto" w:val="clear"/>
            <w:tcMar>
              <w:top w:type="dxa" w:w="80"/>
              <w:left w:type="dxa" w:w="110"/>
              <w:bottom w:type="dxa" w:w="80"/>
              <w:right w:type="dxa" w:w="110"/>
            </w:tcMar>
            <w:vAlign w:val="center"/>
          </w:tcPr>
          <w:p>
            <w:r>
              <w:rPr>
                <w:b/>
                <w:bCs/>
                <w:color w:val="FFFFFF"/>
                <w:sz w:val="19"/>
                <w:szCs w:val="19"/>
              </w:rPr>
              <w:t xml:space="preserve">New to Credit</w:t>
            </w:r>
          </w:p>
        </w:tc>
        <w:tc>
          <w:tcPr>
            <w:tcW w:type="dxa" w:w="3140"/>
            <w:shd w:fill="156082" w:color="auto" w:val="clear"/>
            <w:tcMar>
              <w:top w:type="dxa" w:w="80"/>
              <w:left w:type="dxa" w:w="110"/>
              <w:bottom w:type="dxa" w:w="80"/>
              <w:right w:type="dxa" w:w="110"/>
            </w:tcMar>
            <w:vAlign w:val="center"/>
          </w:tcPr>
          <w:p>
            <w:r>
              <w:rPr>
                <w:b/>
                <w:bCs/>
                <w:color w:val="FFFFFF"/>
                <w:sz w:val="19"/>
                <w:szCs w:val="19"/>
              </w:rPr>
              <w:t xml:space="preserve">Equivalent risk group</w:t>
            </w:r>
          </w:p>
        </w:tc>
      </w:tr>
      <w:tr>
        <w:tc>
          <w:tcPr>
            <w:tcW w:type="dxa" w:w="1300"/>
            <w:tcMar>
              <w:top w:type="dxa" w:w="80"/>
              <w:left w:type="dxa" w:w="110"/>
              <w:bottom w:type="dxa" w:w="80"/>
              <w:right w:type="dxa" w:w="110"/>
            </w:tcMar>
            <w:vAlign w:val="top"/>
          </w:tcPr>
          <w:p>
            <w:pPr>
              <w:spacing w:after="0"/>
            </w:pPr>
            <w:r>
              <w:rPr>
                <w:sz w:val="18"/>
                <w:szCs w:val="18"/>
              </w:rPr>
              <w:t xml:space="preserve">1</w:t>
            </w:r>
          </w:p>
        </w:tc>
        <w:tc>
          <w:tcPr>
            <w:tcW w:type="dxa" w:w="2600"/>
            <w:tcMar>
              <w:top w:type="dxa" w:w="80"/>
              <w:left w:type="dxa" w:w="110"/>
              <w:bottom w:type="dxa" w:w="80"/>
              <w:right w:type="dxa" w:w="110"/>
            </w:tcMar>
            <w:vAlign w:val="top"/>
          </w:tcPr>
          <w:p>
            <w:pPr>
              <w:spacing w:after="0"/>
            </w:pPr>
            <w:r>
              <w:rPr>
                <w:sz w:val="18"/>
                <w:szCs w:val="18"/>
              </w:rPr>
              <w:t xml:space="preserve">300 – 523</w:t>
            </w:r>
          </w:p>
        </w:tc>
        <w:tc>
          <w:tcPr>
            <w:tcW w:type="dxa" w:w="2600"/>
            <w:tcMar>
              <w:top w:type="dxa" w:w="80"/>
              <w:left w:type="dxa" w:w="110"/>
              <w:bottom w:type="dxa" w:w="80"/>
              <w:right w:type="dxa" w:w="110"/>
            </w:tcMar>
            <w:vAlign w:val="top"/>
          </w:tcPr>
          <w:p>
            <w:pPr>
              <w:spacing w:after="0"/>
            </w:pPr>
            <w:r>
              <w:rPr>
                <w:sz w:val="18"/>
                <w:szCs w:val="18"/>
              </w:rPr>
              <w:t xml:space="preserve">300 – 450</w:t>
            </w:r>
          </w:p>
        </w:tc>
        <w:tc>
          <w:tcPr>
            <w:tcW w:type="dxa" w:w="3140"/>
            <w:tcMar>
              <w:top w:type="dxa" w:w="80"/>
              <w:left w:type="dxa" w:w="110"/>
              <w:bottom w:type="dxa" w:w="80"/>
              <w:right w:type="dxa" w:w="110"/>
            </w:tcMar>
            <w:vAlign w:val="top"/>
          </w:tcPr>
          <w:p>
            <w:pPr>
              <w:spacing w:after="0"/>
            </w:pPr>
            <w:r>
              <w:rPr>
                <w:sz w:val="18"/>
                <w:szCs w:val="18"/>
              </w:rPr>
              <w:t xml:space="preserve">Very High Risk</w:t>
            </w:r>
          </w:p>
        </w:tc>
      </w:tr>
      <w:tr>
        <w:tc>
          <w:tcPr>
            <w:tcW w:type="dxa" w:w="1300"/>
            <w:tcMar>
              <w:top w:type="dxa" w:w="80"/>
              <w:left w:type="dxa" w:w="110"/>
              <w:bottom w:type="dxa" w:w="80"/>
              <w:right w:type="dxa" w:w="110"/>
            </w:tcMar>
            <w:vAlign w:val="top"/>
          </w:tcPr>
          <w:p>
            <w:pPr>
              <w:spacing w:after="0"/>
            </w:pPr>
            <w:r>
              <w:rPr>
                <w:sz w:val="18"/>
                <w:szCs w:val="18"/>
              </w:rPr>
              <w:t xml:space="preserve">2</w:t>
            </w:r>
          </w:p>
        </w:tc>
        <w:tc>
          <w:tcPr>
            <w:tcW w:type="dxa" w:w="2600"/>
            <w:tcMar>
              <w:top w:type="dxa" w:w="80"/>
              <w:left w:type="dxa" w:w="110"/>
              <w:bottom w:type="dxa" w:w="80"/>
              <w:right w:type="dxa" w:w="110"/>
            </w:tcMar>
            <w:vAlign w:val="top"/>
          </w:tcPr>
          <w:p>
            <w:pPr>
              <w:spacing w:after="0"/>
            </w:pPr>
            <w:r>
              <w:rPr>
                <w:sz w:val="18"/>
                <w:szCs w:val="18"/>
              </w:rPr>
              <w:t xml:space="preserve">524 – 673</w:t>
            </w:r>
          </w:p>
        </w:tc>
        <w:tc>
          <w:tcPr>
            <w:tcW w:type="dxa" w:w="2600"/>
            <w:tcMar>
              <w:top w:type="dxa" w:w="80"/>
              <w:left w:type="dxa" w:w="110"/>
              <w:bottom w:type="dxa" w:w="80"/>
              <w:right w:type="dxa" w:w="110"/>
            </w:tcMar>
            <w:vAlign w:val="top"/>
          </w:tcPr>
          <w:p>
            <w:pPr>
              <w:spacing w:after="0"/>
            </w:pPr>
            <w:r>
              <w:rPr>
                <w:sz w:val="18"/>
                <w:szCs w:val="18"/>
              </w:rPr>
              <w:t xml:space="preserve">451 – 491</w:t>
            </w:r>
          </w:p>
        </w:tc>
        <w:tc>
          <w:tcPr>
            <w:tcW w:type="dxa" w:w="3140"/>
            <w:tcMar>
              <w:top w:type="dxa" w:w="80"/>
              <w:left w:type="dxa" w:w="110"/>
              <w:bottom w:type="dxa" w:w="80"/>
              <w:right w:type="dxa" w:w="110"/>
            </w:tcMar>
            <w:vAlign w:val="top"/>
          </w:tcPr>
          <w:p>
            <w:pPr>
              <w:spacing w:after="0"/>
            </w:pPr>
            <w:r>
              <w:rPr>
                <w:sz w:val="18"/>
                <w:szCs w:val="18"/>
              </w:rPr>
              <w:t xml:space="preserve">High Risk</w:t>
            </w:r>
          </w:p>
        </w:tc>
      </w:tr>
      <w:tr>
        <w:tc>
          <w:tcPr>
            <w:tcW w:type="dxa" w:w="1300"/>
            <w:tcMar>
              <w:top w:type="dxa" w:w="80"/>
              <w:left w:type="dxa" w:w="110"/>
              <w:bottom w:type="dxa" w:w="80"/>
              <w:right w:type="dxa" w:w="110"/>
            </w:tcMar>
            <w:vAlign w:val="top"/>
          </w:tcPr>
          <w:p>
            <w:pPr>
              <w:spacing w:after="0"/>
            </w:pPr>
            <w:r>
              <w:rPr>
                <w:sz w:val="18"/>
                <w:szCs w:val="18"/>
              </w:rPr>
              <w:t xml:space="preserve">3</w:t>
            </w:r>
          </w:p>
        </w:tc>
        <w:tc>
          <w:tcPr>
            <w:tcW w:type="dxa" w:w="2600"/>
            <w:tcMar>
              <w:top w:type="dxa" w:w="80"/>
              <w:left w:type="dxa" w:w="110"/>
              <w:bottom w:type="dxa" w:w="80"/>
              <w:right w:type="dxa" w:w="110"/>
            </w:tcMar>
            <w:vAlign w:val="top"/>
          </w:tcPr>
          <w:p>
            <w:pPr>
              <w:spacing w:after="0"/>
            </w:pPr>
            <w:r>
              <w:rPr>
                <w:sz w:val="18"/>
                <w:szCs w:val="18"/>
              </w:rPr>
              <w:t xml:space="preserve">674 – 755</w:t>
            </w:r>
          </w:p>
        </w:tc>
        <w:tc>
          <w:tcPr>
            <w:tcW w:type="dxa" w:w="2600"/>
            <w:tcMar>
              <w:top w:type="dxa" w:w="80"/>
              <w:left w:type="dxa" w:w="110"/>
              <w:bottom w:type="dxa" w:w="80"/>
              <w:right w:type="dxa" w:w="110"/>
            </w:tcMar>
            <w:vAlign w:val="top"/>
          </w:tcPr>
          <w:p>
            <w:pPr>
              <w:spacing w:after="0"/>
            </w:pPr>
            <w:r>
              <w:rPr>
                <w:sz w:val="18"/>
                <w:szCs w:val="18"/>
              </w:rPr>
              <w:t xml:space="preserve">492 – 519</w:t>
            </w:r>
          </w:p>
        </w:tc>
        <w:tc>
          <w:tcPr>
            <w:tcW w:type="dxa" w:w="3140"/>
            <w:tcMar>
              <w:top w:type="dxa" w:w="80"/>
              <w:left w:type="dxa" w:w="110"/>
              <w:bottom w:type="dxa" w:w="80"/>
              <w:right w:type="dxa" w:w="110"/>
            </w:tcMar>
            <w:vAlign w:val="top"/>
          </w:tcPr>
          <w:p>
            <w:pPr>
              <w:spacing w:after="0"/>
            </w:pPr>
            <w:r>
              <w:rPr>
                <w:sz w:val="18"/>
                <w:szCs w:val="18"/>
              </w:rPr>
              <w:t xml:space="preserve">Medium Risk</w:t>
            </w:r>
          </w:p>
        </w:tc>
      </w:tr>
      <w:tr>
        <w:tc>
          <w:tcPr>
            <w:tcW w:type="dxa" w:w="1300"/>
            <w:tcMar>
              <w:top w:type="dxa" w:w="80"/>
              <w:left w:type="dxa" w:w="110"/>
              <w:bottom w:type="dxa" w:w="80"/>
              <w:right w:type="dxa" w:w="110"/>
            </w:tcMar>
            <w:vAlign w:val="top"/>
          </w:tcPr>
          <w:p>
            <w:pPr>
              <w:spacing w:after="0"/>
            </w:pPr>
            <w:r>
              <w:rPr>
                <w:sz w:val="18"/>
                <w:szCs w:val="18"/>
              </w:rPr>
              <w:t xml:space="preserve">4</w:t>
            </w:r>
          </w:p>
        </w:tc>
        <w:tc>
          <w:tcPr>
            <w:tcW w:type="dxa" w:w="2600"/>
            <w:tcMar>
              <w:top w:type="dxa" w:w="80"/>
              <w:left w:type="dxa" w:w="110"/>
              <w:bottom w:type="dxa" w:w="80"/>
              <w:right w:type="dxa" w:w="110"/>
            </w:tcMar>
            <w:vAlign w:val="top"/>
          </w:tcPr>
          <w:p>
            <w:pPr>
              <w:spacing w:after="0"/>
            </w:pPr>
            <w:r>
              <w:rPr>
                <w:sz w:val="18"/>
                <w:szCs w:val="18"/>
              </w:rPr>
              <w:t xml:space="preserve">756 – 789</w:t>
            </w:r>
          </w:p>
        </w:tc>
        <w:tc>
          <w:tcPr>
            <w:tcW w:type="dxa" w:w="2600"/>
            <w:tcMar>
              <w:top w:type="dxa" w:w="80"/>
              <w:left w:type="dxa" w:w="110"/>
              <w:bottom w:type="dxa" w:w="80"/>
              <w:right w:type="dxa" w:w="110"/>
            </w:tcMar>
            <w:vAlign w:val="top"/>
          </w:tcPr>
          <w:p>
            <w:pPr>
              <w:spacing w:after="0"/>
            </w:pPr>
            <w:r>
              <w:rPr>
                <w:sz w:val="18"/>
                <w:szCs w:val="18"/>
              </w:rPr>
              <w:t xml:space="preserve">520 – 650</w:t>
            </w:r>
          </w:p>
        </w:tc>
        <w:tc>
          <w:tcPr>
            <w:tcW w:type="dxa" w:w="3140"/>
            <w:tcMar>
              <w:top w:type="dxa" w:w="80"/>
              <w:left w:type="dxa" w:w="110"/>
              <w:bottom w:type="dxa" w:w="80"/>
              <w:right w:type="dxa" w:w="110"/>
            </w:tcMar>
            <w:vAlign w:val="top"/>
          </w:tcPr>
          <w:p>
            <w:pPr>
              <w:spacing w:after="0"/>
            </w:pPr>
            <w:r>
              <w:rPr>
                <w:sz w:val="18"/>
                <w:szCs w:val="18"/>
              </w:rPr>
              <w:t xml:space="preserve">Low Risk</w:t>
            </w:r>
          </w:p>
        </w:tc>
      </w:tr>
      <w:tr>
        <w:tc>
          <w:tcPr>
            <w:tcW w:type="dxa" w:w="1300"/>
            <w:tcMar>
              <w:top w:type="dxa" w:w="80"/>
              <w:left w:type="dxa" w:w="110"/>
              <w:bottom w:type="dxa" w:w="80"/>
              <w:right w:type="dxa" w:w="110"/>
            </w:tcMar>
            <w:vAlign w:val="top"/>
          </w:tcPr>
          <w:p>
            <w:pPr>
              <w:spacing w:after="0"/>
            </w:pPr>
            <w:r>
              <w:rPr>
                <w:sz w:val="18"/>
                <w:szCs w:val="18"/>
              </w:rPr>
              <w:t xml:space="preserve">5</w:t>
            </w:r>
          </w:p>
        </w:tc>
        <w:tc>
          <w:tcPr>
            <w:tcW w:type="dxa" w:w="2600"/>
            <w:tcMar>
              <w:top w:type="dxa" w:w="80"/>
              <w:left w:type="dxa" w:w="110"/>
              <w:bottom w:type="dxa" w:w="80"/>
              <w:right w:type="dxa" w:w="110"/>
            </w:tcMar>
            <w:vAlign w:val="top"/>
          </w:tcPr>
          <w:p>
            <w:pPr>
              <w:spacing w:after="0"/>
            </w:pPr>
            <w:r>
              <w:rPr>
                <w:sz w:val="18"/>
                <w:szCs w:val="18"/>
              </w:rPr>
              <w:t xml:space="preserve">790 – 850</w:t>
            </w:r>
          </w:p>
        </w:tc>
        <w:tc>
          <w:tcPr>
            <w:tcW w:type="dxa" w:w="2600"/>
            <w:tcMar>
              <w:top w:type="dxa" w:w="80"/>
              <w:left w:type="dxa" w:w="110"/>
              <w:bottom w:type="dxa" w:w="80"/>
              <w:right w:type="dxa" w:w="110"/>
            </w:tcMar>
            <w:vAlign w:val="top"/>
          </w:tcPr>
          <w:p>
            <w:pPr>
              <w:spacing w:after="0"/>
            </w:pPr>
            <w:r>
              <w:rPr>
                <w:b/>
                <w:bCs/>
                <w:sz w:val="18"/>
                <w:szCs w:val="18"/>
              </w:rPr>
              <w:t xml:space="preserve">NA</w:t>
            </w:r>
          </w:p>
        </w:tc>
        <w:tc>
          <w:tcPr>
            <w:tcW w:type="dxa" w:w="3140"/>
            <w:tcMar>
              <w:top w:type="dxa" w:w="80"/>
              <w:left w:type="dxa" w:w="110"/>
              <w:bottom w:type="dxa" w:w="80"/>
              <w:right w:type="dxa" w:w="110"/>
            </w:tcMar>
            <w:vAlign w:val="top"/>
          </w:tcPr>
          <w:p>
            <w:pPr>
              <w:spacing w:after="0"/>
            </w:pPr>
            <w:r>
              <w:rPr>
                <w:sz w:val="18"/>
                <w:szCs w:val="18"/>
              </w:rPr>
              <w:t xml:space="preserve">Very Low Risk</w:t>
            </w:r>
          </w:p>
        </w:tc>
      </w:tr>
    </w:tbl>
    <w:p>
      <w:pPr>
        <w:spacing w:after="120"/>
      </w:pPr>
    </w:p>
    <w:p>
      <w:pPr>
        <w:spacing w:after="130"/>
      </w:pPr>
      <w:r>
        <w:rPr>
          <w:sz w:val="20"/>
          <w:szCs w:val="20"/>
        </w:rPr>
        <w:t xml:space="preserve">The star bands align exactly with the risk groups held on the master, so the star count is derived from the risk group rather than from a second hard-coded band table. </w:t>
      </w:r>
      <w:r>
        <w:rPr>
          <w:b/>
          <w:bCs/>
          <w:sz w:val="20"/>
          <w:szCs w:val="20"/>
        </w:rPr>
        <w:t xml:space="preserve">New to Credit has no five-star band</w:t>
      </w:r>
      <w:r>
        <w:rPr>
          <w:sz w:val="20"/>
          <w:szCs w:val="20"/>
        </w:rPr>
        <w:t xml:space="preserve">, because the scale has no Very Low Risk code — see section 10.</w:t>
      </w:r>
    </w:p>
    <w:p>
      <w:r>
        <w:br w:type="page"/>
      </w:r>
    </w:p>
    <w:p>
      <w:pPr>
        <w:spacing w:after="200" w:before="360"/>
      </w:pPr>
      <w:r>
        <w:rPr>
          <w:b/>
          <w:bCs/>
          <w:caps/>
          <w:color w:val="000000"/>
          <w:sz w:val="26"/>
          <w:szCs w:val="26"/>
        </w:rPr>
        <w:t xml:space="preserve">9. RELEASE PLAN</w:t>
      </w:r>
    </w:p>
    <w:p>
      <w:pPr>
        <w:spacing w:after="40"/>
      </w:pP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3900"/>
        <w:gridCol w:w="3340"/>
        <w:gridCol w:w="2400"/>
      </w:tblGrid>
      <w:tr>
        <w:trPr>
          <w:tblHeader/>
        </w:trPr>
        <w:tc>
          <w:tcPr>
            <w:tcW w:type="dxa" w:w="3900"/>
            <w:shd w:fill="156082" w:color="auto" w:val="clear"/>
            <w:tcMar>
              <w:top w:type="dxa" w:w="80"/>
              <w:left w:type="dxa" w:w="110"/>
              <w:bottom w:type="dxa" w:w="80"/>
              <w:right w:type="dxa" w:w="110"/>
            </w:tcMar>
            <w:vAlign w:val="center"/>
          </w:tcPr>
          <w:p>
            <w:r>
              <w:rPr>
                <w:b/>
                <w:bCs/>
                <w:color w:val="FFFFFF"/>
                <w:sz w:val="19"/>
                <w:szCs w:val="19"/>
              </w:rPr>
              <w:t xml:space="preserve">Milestone</w:t>
            </w:r>
          </w:p>
        </w:tc>
        <w:tc>
          <w:tcPr>
            <w:tcW w:type="dxa" w:w="3340"/>
            <w:shd w:fill="156082" w:color="auto" w:val="clear"/>
            <w:tcMar>
              <w:top w:type="dxa" w:w="80"/>
              <w:left w:type="dxa" w:w="110"/>
              <w:bottom w:type="dxa" w:w="80"/>
              <w:right w:type="dxa" w:w="110"/>
            </w:tcMar>
            <w:vAlign w:val="center"/>
          </w:tcPr>
          <w:p>
            <w:r>
              <w:rPr>
                <w:b/>
                <w:bCs/>
                <w:color w:val="FFFFFF"/>
                <w:sz w:val="19"/>
                <w:szCs w:val="19"/>
              </w:rPr>
              <w:t xml:space="preserve">Date</w:t>
            </w:r>
          </w:p>
        </w:tc>
        <w:tc>
          <w:tcPr>
            <w:tcW w:type="dxa" w:w="2400"/>
            <w:shd w:fill="156082" w:color="auto" w:val="clear"/>
            <w:tcMar>
              <w:top w:type="dxa" w:w="80"/>
              <w:left w:type="dxa" w:w="110"/>
              <w:bottom w:type="dxa" w:w="80"/>
              <w:right w:type="dxa" w:w="110"/>
            </w:tcMar>
            <w:vAlign w:val="center"/>
          </w:tcPr>
          <w:p>
            <w:r>
              <w:rPr>
                <w:b/>
                <w:bCs/>
                <w:color w:val="FFFFFF"/>
                <w:sz w:val="19"/>
                <w:szCs w:val="19"/>
              </w:rPr>
              <w:t xml:space="preserve">Owner</w:t>
            </w:r>
          </w:p>
        </w:tc>
      </w:tr>
      <w:tr>
        <w:tc>
          <w:tcPr>
            <w:tcW w:type="dxa" w:w="3900"/>
            <w:tcMar>
              <w:top w:type="dxa" w:w="80"/>
              <w:left w:type="dxa" w:w="110"/>
              <w:bottom w:type="dxa" w:w="80"/>
              <w:right w:type="dxa" w:w="110"/>
            </w:tcMar>
            <w:vAlign w:val="top"/>
          </w:tcPr>
          <w:p>
            <w:pPr>
              <w:spacing w:after="0"/>
            </w:pPr>
            <w:r>
              <w:rPr>
                <w:sz w:val="18"/>
                <w:szCs w:val="18"/>
              </w:rPr>
              <w:t xml:space="preserve">Build available in </w:t>
            </w:r>
            <w:r>
              <w:rPr>
                <w:b/>
                <w:bCs/>
                <w:sz w:val="18"/>
                <w:szCs w:val="18"/>
              </w:rPr>
              <w:t xml:space="preserve">UAT</w:t>
            </w:r>
          </w:p>
        </w:tc>
        <w:tc>
          <w:tcPr>
            <w:tcW w:type="dxa" w:w="3340"/>
            <w:tcMar>
              <w:top w:type="dxa" w:w="80"/>
              <w:left w:type="dxa" w:w="110"/>
              <w:bottom w:type="dxa" w:w="80"/>
              <w:right w:type="dxa" w:w="110"/>
            </w:tcMar>
            <w:vAlign w:val="top"/>
          </w:tcPr>
          <w:p>
            <w:pPr>
              <w:spacing w:after="0"/>
            </w:pPr>
            <w:r>
              <w:rPr>
                <w:b/>
                <w:bCs/>
                <w:sz w:val="18"/>
                <w:szCs w:val="18"/>
              </w:rPr>
              <w:t xml:space="preserve">26 September 2026</w:t>
            </w:r>
          </w:p>
        </w:tc>
        <w:tc>
          <w:tcPr>
            <w:tcW w:type="dxa" w:w="2400"/>
            <w:tcMar>
              <w:top w:type="dxa" w:w="80"/>
              <w:left w:type="dxa" w:w="110"/>
              <w:bottom w:type="dxa" w:w="80"/>
              <w:right w:type="dxa" w:w="110"/>
            </w:tcMar>
            <w:vAlign w:val="top"/>
          </w:tcPr>
          <w:p>
            <w:pPr>
              <w:spacing w:after="0"/>
            </w:pPr>
            <w:r>
              <w:rPr>
                <w:sz w:val="18"/>
                <w:szCs w:val="18"/>
              </w:rPr>
              <w:t xml:space="preserve">Appro</w:t>
            </w:r>
          </w:p>
        </w:tc>
      </w:tr>
      <w:tr>
        <w:tc>
          <w:tcPr>
            <w:tcW w:type="dxa" w:w="3900"/>
            <w:tcMar>
              <w:top w:type="dxa" w:w="80"/>
              <w:left w:type="dxa" w:w="110"/>
              <w:bottom w:type="dxa" w:w="80"/>
              <w:right w:type="dxa" w:w="110"/>
            </w:tcMar>
            <w:vAlign w:val="top"/>
          </w:tcPr>
          <w:p>
            <w:pPr>
              <w:spacing w:after="0"/>
            </w:pPr>
            <w:r>
              <w:rPr>
                <w:sz w:val="18"/>
                <w:szCs w:val="18"/>
              </w:rPr>
              <w:t xml:space="preserve">UAT verification</w:t>
            </w:r>
          </w:p>
        </w:tc>
        <w:tc>
          <w:tcPr>
            <w:tcW w:type="dxa" w:w="3340"/>
            <w:tcMar>
              <w:top w:type="dxa" w:w="80"/>
              <w:left w:type="dxa" w:w="110"/>
              <w:bottom w:type="dxa" w:w="80"/>
              <w:right w:type="dxa" w:w="110"/>
            </w:tcMar>
            <w:vAlign w:val="top"/>
          </w:tcPr>
          <w:p>
            <w:pPr>
              <w:spacing w:after="0"/>
            </w:pPr>
            <w:r>
              <w:rPr>
                <w:sz w:val="18"/>
                <w:szCs w:val="18"/>
              </w:rPr>
              <w:t xml:space="preserve">From 26 September 2026</w:t>
            </w:r>
          </w:p>
        </w:tc>
        <w:tc>
          <w:tcPr>
            <w:tcW w:type="dxa" w:w="2400"/>
            <w:tcMar>
              <w:top w:type="dxa" w:w="80"/>
              <w:left w:type="dxa" w:w="110"/>
              <w:bottom w:type="dxa" w:w="80"/>
              <w:right w:type="dxa" w:w="110"/>
            </w:tcMar>
            <w:vAlign w:val="top"/>
          </w:tcPr>
          <w:p>
            <w:pPr>
              <w:spacing w:after="0"/>
            </w:pPr>
            <w:r>
              <w:rPr>
                <w:sz w:val="18"/>
                <w:szCs w:val="18"/>
              </w:rPr>
              <w:t xml:space="preserve">Reem Bank and Expleo</w:t>
            </w:r>
          </w:p>
        </w:tc>
      </w:tr>
      <w:tr>
        <w:tc>
          <w:tcPr>
            <w:tcW w:type="dxa" w:w="3900"/>
            <w:tcMar>
              <w:top w:type="dxa" w:w="80"/>
              <w:left w:type="dxa" w:w="110"/>
              <w:bottom w:type="dxa" w:w="80"/>
              <w:right w:type="dxa" w:w="110"/>
            </w:tcMar>
            <w:vAlign w:val="top"/>
          </w:tcPr>
          <w:p>
            <w:pPr>
              <w:spacing w:after="0"/>
            </w:pPr>
            <w:r>
              <w:rPr>
                <w:sz w:val="18"/>
                <w:szCs w:val="18"/>
              </w:rPr>
              <w:t xml:space="preserve">Bureau go-live — Consumer Score 3.0 in production</w:t>
            </w:r>
          </w:p>
        </w:tc>
        <w:tc>
          <w:tcPr>
            <w:tcW w:type="dxa" w:w="3340"/>
            <w:tcMar>
              <w:top w:type="dxa" w:w="80"/>
              <w:left w:type="dxa" w:w="110"/>
              <w:bottom w:type="dxa" w:w="80"/>
              <w:right w:type="dxa" w:w="110"/>
            </w:tcMar>
            <w:vAlign w:val="top"/>
          </w:tcPr>
          <w:p>
            <w:pPr>
              <w:spacing w:after="0"/>
            </w:pPr>
            <w:r>
              <w:rPr>
                <w:b/>
                <w:bCs/>
                <w:sz w:val="18"/>
                <w:szCs w:val="18"/>
              </w:rPr>
              <w:t xml:space="preserve">27 September 2026 (tentative, bureau-set)</w:t>
            </w:r>
          </w:p>
        </w:tc>
        <w:tc>
          <w:tcPr>
            <w:tcW w:type="dxa" w:w="2400"/>
            <w:tcMar>
              <w:top w:type="dxa" w:w="80"/>
              <w:left w:type="dxa" w:w="110"/>
              <w:bottom w:type="dxa" w:w="80"/>
              <w:right w:type="dxa" w:w="110"/>
            </w:tcMar>
            <w:vAlign w:val="top"/>
          </w:tcPr>
          <w:p>
            <w:pPr>
              <w:spacing w:after="0"/>
            </w:pPr>
            <w:r>
              <w:rPr>
                <w:sz w:val="18"/>
                <w:szCs w:val="18"/>
              </w:rPr>
              <w:t xml:space="preserve">Etihad Credit Bureau</w:t>
            </w:r>
          </w:p>
        </w:tc>
      </w:tr>
      <w:tr>
        <w:tc>
          <w:tcPr>
            <w:tcW w:type="dxa" w:w="3900"/>
            <w:tcMar>
              <w:top w:type="dxa" w:w="80"/>
              <w:left w:type="dxa" w:w="110"/>
              <w:bottom w:type="dxa" w:w="80"/>
              <w:right w:type="dxa" w:w="110"/>
            </w:tcMar>
            <w:vAlign w:val="top"/>
          </w:tcPr>
          <w:p>
            <w:pPr>
              <w:spacing w:after="0"/>
            </w:pPr>
            <w:r>
              <w:rPr>
                <w:sz w:val="18"/>
                <w:szCs w:val="18"/>
              </w:rPr>
              <w:t xml:space="preserve">Production deployment of this change</w:t>
            </w:r>
          </w:p>
        </w:tc>
        <w:tc>
          <w:tcPr>
            <w:tcW w:type="dxa" w:w="3340"/>
            <w:tcMar>
              <w:top w:type="dxa" w:w="80"/>
              <w:left w:type="dxa" w:w="110"/>
              <w:bottom w:type="dxa" w:w="80"/>
              <w:right w:type="dxa" w:w="110"/>
            </w:tcMar>
            <w:vAlign w:val="top"/>
          </w:tcPr>
          <w:p>
            <w:pPr>
              <w:spacing w:after="0"/>
            </w:pPr>
            <w:r>
              <w:rPr>
                <w:sz w:val="18"/>
                <w:szCs w:val="18"/>
              </w:rPr>
              <w:t xml:space="preserve">After bureau go-live, once UAT verification is complete</w:t>
            </w:r>
          </w:p>
        </w:tc>
        <w:tc>
          <w:tcPr>
            <w:tcW w:type="dxa" w:w="2400"/>
            <w:tcMar>
              <w:top w:type="dxa" w:w="80"/>
              <w:left w:type="dxa" w:w="110"/>
              <w:bottom w:type="dxa" w:w="80"/>
              <w:right w:type="dxa" w:w="110"/>
            </w:tcMar>
            <w:vAlign w:val="top"/>
          </w:tcPr>
          <w:p>
            <w:pPr>
              <w:spacing w:after="0"/>
            </w:pPr>
            <w:r>
              <w:rPr>
                <w:sz w:val="18"/>
                <w:szCs w:val="18"/>
              </w:rPr>
              <w:t xml:space="preserve">Appro</w:t>
            </w:r>
          </w:p>
        </w:tc>
      </w:tr>
      <w:tr>
        <w:tc>
          <w:tcPr>
            <w:tcW w:type="dxa" w:w="3900"/>
            <w:tcMar>
              <w:top w:type="dxa" w:w="80"/>
              <w:left w:type="dxa" w:w="110"/>
              <w:bottom w:type="dxa" w:w="80"/>
              <w:right w:type="dxa" w:w="110"/>
            </w:tcMar>
            <w:vAlign w:val="top"/>
          </w:tcPr>
          <w:p>
            <w:pPr>
              <w:spacing w:after="0"/>
            </w:pPr>
            <w:r>
              <w:rPr>
                <w:sz w:val="18"/>
                <w:szCs w:val="18"/>
              </w:rPr>
              <w:t xml:space="preserve">Updated data points and upgraded report format</w:t>
            </w:r>
          </w:p>
        </w:tc>
        <w:tc>
          <w:tcPr>
            <w:tcW w:type="dxa" w:w="3340"/>
            <w:tcMar>
              <w:top w:type="dxa" w:w="80"/>
              <w:left w:type="dxa" w:w="110"/>
              <w:bottom w:type="dxa" w:w="80"/>
              <w:right w:type="dxa" w:w="110"/>
            </w:tcMar>
            <w:vAlign w:val="top"/>
          </w:tcPr>
          <w:p>
            <w:pPr>
              <w:spacing w:after="0"/>
            </w:pPr>
            <w:r>
              <w:rPr>
                <w:sz w:val="18"/>
                <w:szCs w:val="18"/>
              </w:rPr>
              <w:t xml:space="preserve">October release</w:t>
            </w:r>
          </w:p>
        </w:tc>
        <w:tc>
          <w:tcPr>
            <w:tcW w:type="dxa" w:w="2400"/>
            <w:tcMar>
              <w:top w:type="dxa" w:w="80"/>
              <w:left w:type="dxa" w:w="110"/>
              <w:bottom w:type="dxa" w:w="80"/>
              <w:right w:type="dxa" w:w="110"/>
            </w:tcMar>
            <w:vAlign w:val="top"/>
          </w:tcPr>
          <w:p>
            <w:pPr>
              <w:spacing w:after="0"/>
            </w:pPr>
            <w:r>
              <w:rPr>
                <w:sz w:val="18"/>
                <w:szCs w:val="18"/>
              </w:rPr>
              <w:t xml:space="preserve">Appro</w:t>
            </w:r>
          </w:p>
        </w:tc>
      </w:tr>
    </w:tbl>
    <w:p>
      <w:pPr>
        <w:spacing w:after="160"/>
      </w:pPr>
    </w:p>
    <w:p>
      <w:pPr>
        <w:spacing w:after="130"/>
      </w:pPr>
      <w:r>
        <w:rPr>
          <w:b/>
          <w:bCs/>
          <w:sz w:val="20"/>
          <w:szCs w:val="20"/>
        </w:rPr>
        <w:t xml:space="preserve">Sequencing.</w:t>
      </w:r>
      <w:r>
        <w:rPr>
          <w:sz w:val="20"/>
          <w:szCs w:val="20"/>
        </w:rPr>
        <w:t xml:space="preserve"> The production deployment follows the bureau go-live. Releasing ahead of it would put Score 3.0 codes in front of credit users while the bureau is still returning Score 2.1 values.</w:t>
      </w:r>
    </w:p>
    <w:p>
      <w:pPr>
        <w:spacing w:after="130"/>
      </w:pPr>
      <w:r>
        <w:rPr>
          <w:b/>
          <w:bCs/>
          <w:sz w:val="20"/>
          <w:szCs w:val="20"/>
        </w:rPr>
        <w:t xml:space="preserve">Production impact today: none.</w:t>
      </w:r>
      <w:r>
        <w:rPr>
          <w:sz w:val="20"/>
          <w:szCs w:val="20"/>
        </w:rPr>
        <w:t xml:space="preserve"> With the Rule Engine configured as it is now and the bureau response structured as it is now, this change does not alter any live decision. It adds codes, one variable and two attributes; it retires nothing and remaps nothing.</w:t>
      </w:r>
    </w:p>
    <w:p>
      <w:pPr>
        <w:spacing w:after="130"/>
      </w:pPr>
      <w:r>
        <w:rPr>
          <w:b/>
          <w:bCs/>
          <w:sz w:val="20"/>
          <w:szCs w:val="20"/>
        </w:rPr>
        <w:t xml:space="preserve">Where the impact lands: credit policy setup.</w:t>
      </w:r>
      <w:r>
        <w:rPr>
          <w:sz w:val="20"/>
          <w:szCs w:val="20"/>
        </w:rPr>
        <w:t xml:space="preserve"> The new calibration, the new score ranges and the second scorecard change the way cut-offs, tiers and eligibility rules have to be written. A Score 2.1 threshold carried forward unchanged will not produce the approval rate the bank expects. That work is the bank’s, and it is the reason the platform change is delivered ahead of the bureau date.</w:t>
      </w:r>
    </w:p>
    <w:p>
      <w:r>
        <w:br w:type="page"/>
      </w:r>
    </w:p>
    <w:p>
      <w:pPr>
        <w:spacing w:after="200" w:before="360"/>
      </w:pPr>
      <w:r>
        <w:rPr>
          <w:b/>
          <w:bCs/>
          <w:caps/>
          <w:color w:val="000000"/>
          <w:sz w:val="26"/>
          <w:szCs w:val="26"/>
        </w:rPr>
        <w:t xml:space="preserve">10. IMPACT ANALYSIS</w:t>
      </w:r>
    </w:p>
    <w:p>
      <w:pPr>
        <w:spacing w:after="40"/>
      </w:pP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4540"/>
        <w:gridCol w:w="3200"/>
      </w:tblGrid>
      <w:tr>
        <w:trPr>
          <w:tblHeader/>
        </w:trPr>
        <w:tc>
          <w:tcPr>
            <w:tcW w:type="dxa" w:w="1900"/>
            <w:shd w:fill="156082" w:color="auto" w:val="clear"/>
            <w:tcMar>
              <w:top w:type="dxa" w:w="80"/>
              <w:left w:type="dxa" w:w="110"/>
              <w:bottom w:type="dxa" w:w="80"/>
              <w:right w:type="dxa" w:w="110"/>
            </w:tcMar>
            <w:vAlign w:val="center"/>
          </w:tcPr>
          <w:p>
            <w:r>
              <w:rPr>
                <w:b/>
                <w:bCs/>
                <w:color w:val="FFFFFF"/>
                <w:sz w:val="19"/>
                <w:szCs w:val="19"/>
              </w:rPr>
              <w:t xml:space="preserve">Area</w:t>
            </w:r>
          </w:p>
        </w:tc>
        <w:tc>
          <w:tcPr>
            <w:tcW w:type="dxa" w:w="4540"/>
            <w:shd w:fill="156082" w:color="auto" w:val="clear"/>
            <w:tcMar>
              <w:top w:type="dxa" w:w="80"/>
              <w:left w:type="dxa" w:w="110"/>
              <w:bottom w:type="dxa" w:w="80"/>
              <w:right w:type="dxa" w:w="110"/>
            </w:tcMar>
            <w:vAlign w:val="center"/>
          </w:tcPr>
          <w:p>
            <w:r>
              <w:rPr>
                <w:b/>
                <w:bCs/>
                <w:color w:val="FFFFFF"/>
                <w:sz w:val="19"/>
                <w:szCs w:val="19"/>
              </w:rPr>
              <w:t xml:space="preserve">Impact</w:t>
            </w:r>
          </w:p>
        </w:tc>
        <w:tc>
          <w:tcPr>
            <w:tcW w:type="dxa" w:w="3200"/>
            <w:shd w:fill="156082" w:color="auto" w:val="clear"/>
            <w:tcMar>
              <w:top w:type="dxa" w:w="80"/>
              <w:left w:type="dxa" w:w="110"/>
              <w:bottom w:type="dxa" w:w="80"/>
              <w:right w:type="dxa" w:w="110"/>
            </w:tcMar>
            <w:vAlign w:val="center"/>
          </w:tcPr>
          <w:p>
            <w:r>
              <w:rPr>
                <w:b/>
                <w:bCs/>
                <w:color w:val="FFFFFF"/>
                <w:sz w:val="19"/>
                <w:szCs w:val="19"/>
              </w:rPr>
              <w:t xml:space="preserve">Screen</w:t>
            </w:r>
          </w:p>
        </w:tc>
      </w:tr>
      <w:tr>
        <w:tc>
          <w:tcPr>
            <w:tcW w:type="dxa" w:w="1900"/>
            <w:tcMar>
              <w:top w:type="dxa" w:w="80"/>
              <w:left w:type="dxa" w:w="110"/>
              <w:bottom w:type="dxa" w:w="80"/>
              <w:right w:type="dxa" w:w="110"/>
            </w:tcMar>
            <w:vAlign w:val="top"/>
          </w:tcPr>
          <w:p>
            <w:pPr>
              <w:spacing w:after="0"/>
            </w:pPr>
            <w:r>
              <w:rPr>
                <w:b/>
                <w:bCs/>
                <w:sz w:val="18"/>
                <w:szCs w:val="18"/>
              </w:rPr>
              <w:t xml:space="preserve">Rule Engine — Strategies</w:t>
            </w:r>
          </w:p>
        </w:tc>
        <w:tc>
          <w:tcPr>
            <w:tcW w:type="dxa" w:w="4540"/>
            <w:tcMar>
              <w:top w:type="dxa" w:w="80"/>
              <w:left w:type="dxa" w:w="110"/>
              <w:bottom w:type="dxa" w:w="80"/>
              <w:right w:type="dxa" w:w="110"/>
            </w:tcMar>
            <w:vAlign w:val="top"/>
          </w:tcPr>
          <w:p>
            <w:pPr>
              <w:spacing w:after="0"/>
            </w:pPr>
            <w:r>
              <w:rPr>
                <w:sz w:val="18"/>
                <w:szCs w:val="18"/>
              </w:rPr>
              <w:t xml:space="preserve">The value list is sourced from the master and extended with twenty codes across Segmentation, Filtration and Deviation. Published versions keep working unchanged; nothing is retired or remapped.</w:t>
            </w:r>
          </w:p>
        </w:tc>
        <w:tc>
          <w:tcPr>
            <w:tcW w:type="dxa" w:w="3200"/>
            <w:tcMar>
              <w:top w:type="dxa" w:w="80"/>
              <w:left w:type="dxa" w:w="110"/>
              <w:bottom w:type="dxa" w:w="80"/>
              <w:right w:type="dxa" w:w="110"/>
            </w:tcMar>
            <w:vAlign w:val="center"/>
          </w:tcPr>
          <w:p>
            <w:pPr>
              <w:spacing w:after="0" w:line="240" w:lineRule="atLeast"/>
              <w:jc w:val="center"/>
            </w:pPr>
            <w:r>
              <w:drawing>
                <wp:inline distT="0" distB="0" distL="0" distR="0">
                  <wp:extent cx="18097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781175"/>
                          </a:xfrm>
                          <a:prstGeom prst="rect">
                            <a:avLst/>
                          </a:prstGeom>
                        </pic:spPr>
                      </pic:pic>
                    </a:graphicData>
                  </a:graphic>
                </wp:inline>
              </w:drawing>
            </w:r>
          </w:p>
        </w:tc>
      </w:tr>
      <w:tr>
        <w:tc>
          <w:tcPr>
            <w:tcW w:type="dxa" w:w="1900"/>
            <w:tcMar>
              <w:top w:type="dxa" w:w="80"/>
              <w:left w:type="dxa" w:w="110"/>
              <w:bottom w:type="dxa" w:w="80"/>
              <w:right w:type="dxa" w:w="110"/>
            </w:tcMar>
            <w:vAlign w:val="top"/>
          </w:tcPr>
          <w:p>
            <w:pPr>
              <w:spacing w:after="0"/>
            </w:pPr>
            <w:r>
              <w:rPr>
                <w:b/>
                <w:bCs/>
                <w:sz w:val="18"/>
                <w:szCs w:val="18"/>
              </w:rPr>
              <w:t xml:space="preserve">Rule Engine — new variable</w:t>
            </w:r>
          </w:p>
        </w:tc>
        <w:tc>
          <w:tcPr>
            <w:tcW w:type="dxa" w:w="4540"/>
            <w:tcMar>
              <w:top w:type="dxa" w:w="80"/>
              <w:left w:type="dxa" w:w="110"/>
              <w:bottom w:type="dxa" w:w="80"/>
              <w:right w:type="dxa" w:w="110"/>
            </w:tcMar>
            <w:vAlign w:val="top"/>
          </w:tcPr>
          <w:p>
            <w:pPr>
              <w:spacing w:after="0"/>
            </w:pPr>
            <w:r>
              <w:rPr>
                <w:sz w:val="18"/>
                <w:szCs w:val="18"/>
              </w:rPr>
              <w:t xml:space="preserve">AECB Score Segment is added as a variable with two values. Without it a strategy cannot distinguish the two populations, whose scales end 200 points apart.</w:t>
            </w:r>
          </w:p>
        </w:tc>
        <w:tc>
          <w:tcPr>
            <w:tcW w:type="dxa" w:w="3200"/>
            <w:tcMar>
              <w:top w:type="dxa" w:w="80"/>
              <w:left w:type="dxa" w:w="110"/>
              <w:bottom w:type="dxa" w:w="80"/>
              <w:right w:type="dxa" w:w="110"/>
            </w:tcMar>
            <w:vAlign w:val="center"/>
          </w:tcPr>
          <w:p>
            <w:pPr>
              <w:spacing w:after="0" w:line="240" w:lineRule="atLeast"/>
              <w:jc w:val="center"/>
            </w:pPr>
            <w:r>
              <w:drawing>
                <wp:inline distT="0" distB="0" distL="0" distR="0">
                  <wp:extent cx="18097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600075"/>
                          </a:xfrm>
                          <a:prstGeom prst="rect">
                            <a:avLst/>
                          </a:prstGeom>
                        </pic:spPr>
                      </pic:pic>
                    </a:graphicData>
                  </a:graphic>
                </wp:inline>
              </w:drawing>
            </w:r>
          </w:p>
        </w:tc>
      </w:tr>
      <w:tr>
        <w:tc>
          <w:tcPr>
            <w:tcW w:type="dxa" w:w="1900"/>
            <w:tcMar>
              <w:top w:type="dxa" w:w="80"/>
              <w:left w:type="dxa" w:w="110"/>
              <w:bottom w:type="dxa" w:w="80"/>
              <w:right w:type="dxa" w:w="110"/>
            </w:tcMar>
            <w:vAlign w:val="top"/>
          </w:tcPr>
          <w:p>
            <w:pPr>
              <w:spacing w:after="0"/>
            </w:pPr>
            <w:r>
              <w:rPr>
                <w:b/>
                <w:bCs/>
                <w:sz w:val="18"/>
                <w:szCs w:val="18"/>
              </w:rPr>
              <w:t xml:space="preserve">Score Check Management</w:t>
            </w:r>
          </w:p>
        </w:tc>
        <w:tc>
          <w:tcPr>
            <w:tcW w:type="dxa" w:w="4540"/>
            <w:tcMar>
              <w:top w:type="dxa" w:w="80"/>
              <w:left w:type="dxa" w:w="110"/>
              <w:bottom w:type="dxa" w:w="80"/>
              <w:right w:type="dxa" w:w="110"/>
            </w:tcMar>
            <w:vAlign w:val="top"/>
          </w:tcPr>
          <w:p>
            <w:pPr>
              <w:spacing w:after="0"/>
            </w:pPr>
            <w:r>
              <w:rPr>
                <w:sz w:val="18"/>
                <w:szCs w:val="18"/>
              </w:rPr>
              <w:t xml:space="preserve">Two new attributes on the Credit Card, Personal Loan and CASA tabs. Existing groups and value sets are unchanged and the numeric score condition keeps working.</w:t>
            </w:r>
          </w:p>
        </w:tc>
        <w:tc>
          <w:tcPr>
            <w:tcW w:type="dxa" w:w="3200"/>
            <w:tcMar>
              <w:top w:type="dxa" w:w="80"/>
              <w:left w:type="dxa" w:w="110"/>
              <w:bottom w:type="dxa" w:w="80"/>
              <w:right w:type="dxa" w:w="110"/>
            </w:tcMar>
            <w:vAlign w:val="center"/>
          </w:tcPr>
          <w:p>
            <w:pPr>
              <w:spacing w:after="0" w:line="240" w:lineRule="atLeast"/>
              <w:jc w:val="center"/>
            </w:pPr>
            <w:r>
              <w:drawing>
                <wp:inline distT="0" distB="0" distL="0" distR="0">
                  <wp:extent cx="18097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409575"/>
                          </a:xfrm>
                          <a:prstGeom prst="rect">
                            <a:avLst/>
                          </a:prstGeom>
                        </pic:spPr>
                      </pic:pic>
                    </a:graphicData>
                  </a:graphic>
                </wp:inline>
              </w:drawing>
            </w:r>
          </w:p>
        </w:tc>
      </w:tr>
      <w:tr>
        <w:tc>
          <w:tcPr>
            <w:tcW w:type="dxa" w:w="1900"/>
            <w:tcMar>
              <w:top w:type="dxa" w:w="80"/>
              <w:left w:type="dxa" w:w="110"/>
              <w:bottom w:type="dxa" w:w="80"/>
              <w:right w:type="dxa" w:w="110"/>
            </w:tcMar>
            <w:vAlign w:val="top"/>
          </w:tcPr>
          <w:p>
            <w:pPr>
              <w:spacing w:after="0"/>
            </w:pPr>
            <w:r>
              <w:rPr>
                <w:b/>
                <w:bCs/>
                <w:sz w:val="18"/>
                <w:szCs w:val="18"/>
              </w:rPr>
              <w:t xml:space="preserve">Credit policy and cut-offs</w:t>
            </w:r>
          </w:p>
        </w:tc>
        <w:tc>
          <w:tcPr>
            <w:tcW w:type="dxa" w:w="4540"/>
            <w:tcMar>
              <w:top w:type="dxa" w:w="80"/>
              <w:left w:type="dxa" w:w="110"/>
              <w:bottom w:type="dxa" w:w="80"/>
              <w:right w:type="dxa" w:w="110"/>
            </w:tcMar>
            <w:vAlign w:val="top"/>
          </w:tcPr>
          <w:p>
            <w:pPr>
              <w:spacing w:after="0"/>
            </w:pPr>
            <w:r>
              <w:rPr>
                <w:sz w:val="18"/>
                <w:szCs w:val="18"/>
              </w:rPr>
              <w:t xml:space="preserve">Granularity moves to ten codes per segment, so an application can fall on a different side of a threshold than before. A shared numeric threshold over-approves one population and over-declines the other. Published strategies are re-validated before go-live.</w:t>
            </w:r>
          </w:p>
        </w:tc>
        <w:tc>
          <w:tcPr>
            <w:tcW w:type="dxa" w:w="3200"/>
            <w:tcMar>
              <w:top w:type="dxa" w:w="80"/>
              <w:left w:type="dxa" w:w="110"/>
              <w:bottom w:type="dxa" w:w="80"/>
              <w:right w:type="dxa" w:w="110"/>
            </w:tcMar>
            <w:vAlign w:val="center"/>
          </w:tcPr>
          <w:p>
            <w:pPr>
              <w:spacing w:after="0" w:line="240" w:lineRule="atLeast"/>
              <w:jc w:val="center"/>
            </w:pPr>
            <w:r>
              <w:drawing>
                <wp:inline distT="0" distB="0" distL="0" distR="0">
                  <wp:extent cx="18097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600075"/>
                          </a:xfrm>
                          <a:prstGeom prst="rect">
                            <a:avLst/>
                          </a:prstGeom>
                        </pic:spPr>
                      </pic:pic>
                    </a:graphicData>
                  </a:graphic>
                </wp:inline>
              </w:drawing>
            </w:r>
          </w:p>
        </w:tc>
      </w:tr>
      <w:tr>
        <w:tc>
          <w:tcPr>
            <w:tcW w:type="dxa" w:w="1900"/>
            <w:tcMar>
              <w:top w:type="dxa" w:w="80"/>
              <w:left w:type="dxa" w:w="110"/>
              <w:bottom w:type="dxa" w:w="80"/>
              <w:right w:type="dxa" w:w="110"/>
            </w:tcMar>
            <w:vAlign w:val="top"/>
          </w:tcPr>
          <w:p>
            <w:pPr>
              <w:spacing w:after="0"/>
            </w:pPr>
            <w:r>
              <w:rPr>
                <w:b/>
                <w:bCs/>
                <w:sz w:val="18"/>
                <w:szCs w:val="18"/>
              </w:rPr>
              <w:t xml:space="preserve">New-to-Credit applicants</w:t>
            </w:r>
          </w:p>
        </w:tc>
        <w:tc>
          <w:tcPr>
            <w:tcW w:type="dxa" w:w="4540"/>
            <w:tcMar>
              <w:top w:type="dxa" w:w="80"/>
              <w:left w:type="dxa" w:w="110"/>
              <w:bottom w:type="dxa" w:w="80"/>
              <w:right w:type="dxa" w:w="110"/>
            </w:tcMar>
            <w:vAlign w:val="top"/>
          </w:tcPr>
          <w:p>
            <w:pPr>
              <w:spacing w:after="0"/>
            </w:pPr>
            <w:r>
              <w:rPr>
                <w:sz w:val="18"/>
                <w:szCs w:val="18"/>
              </w:rPr>
              <w:t xml:space="preserve">The scale ends at 650 and the top code N9 is Low Risk — there is no Excellent / Very Low Risk code and no five-star band. Any criterion selecting Very Low Risk, and any numeric threshold above 650, can never be met by a New-to-Credit applicant. Existing thresholds are reviewed against this.</w:t>
            </w:r>
          </w:p>
        </w:tc>
        <w:tc>
          <w:tcPr>
            <w:tcW w:type="dxa" w:w="3200"/>
            <w:tcMar>
              <w:top w:type="dxa" w:w="80"/>
              <w:left w:type="dxa" w:w="110"/>
              <w:bottom w:type="dxa" w:w="80"/>
              <w:right w:type="dxa" w:w="110"/>
            </w:tcMar>
            <w:vAlign w:val="center"/>
          </w:tcPr>
          <w:p>
            <w:pPr>
              <w:spacing w:after="0" w:line="240" w:lineRule="atLeast"/>
              <w:jc w:val="center"/>
            </w:pPr>
            <w:r>
              <w:drawing>
                <wp:inline distT="0" distB="0" distL="0" distR="0">
                  <wp:extent cx="18097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333375"/>
                          </a:xfrm>
                          <a:prstGeom prst="rect">
                            <a:avLst/>
                          </a:prstGeom>
                        </pic:spPr>
                      </pic:pic>
                    </a:graphicData>
                  </a:graphic>
                </wp:inline>
              </w:drawing>
            </w:r>
          </w:p>
        </w:tc>
      </w:tr>
      <w:tr>
        <w:tc>
          <w:tcPr>
            <w:tcW w:type="dxa" w:w="1900"/>
            <w:tcMar>
              <w:top w:type="dxa" w:w="80"/>
              <w:left w:type="dxa" w:w="110"/>
              <w:bottom w:type="dxa" w:w="80"/>
              <w:right w:type="dxa" w:w="110"/>
            </w:tcMar>
            <w:vAlign w:val="top"/>
          </w:tcPr>
          <w:p>
            <w:pPr>
              <w:spacing w:after="0"/>
            </w:pPr>
            <w:r>
              <w:rPr>
                <w:b/>
                <w:bCs/>
                <w:sz w:val="18"/>
                <w:szCs w:val="18"/>
              </w:rPr>
              <w:t xml:space="preserve">Enquiry, reporting and audit</w:t>
            </w:r>
          </w:p>
        </w:tc>
        <w:tc>
          <w:tcPr>
            <w:tcW w:type="dxa" w:w="4540"/>
            <w:tcMar>
              <w:top w:type="dxa" w:w="80"/>
              <w:left w:type="dxa" w:w="110"/>
              <w:bottom w:type="dxa" w:w="80"/>
              <w:right w:type="dxa" w:w="110"/>
            </w:tcMar>
            <w:vAlign w:val="top"/>
          </w:tcPr>
          <w:p>
            <w:pPr>
              <w:spacing w:after="0"/>
            </w:pPr>
            <w:r>
              <w:rPr>
                <w:sz w:val="18"/>
                <w:szCs w:val="18"/>
              </w:rPr>
              <w:t xml:space="preserve">Every surface that carries the score displays the code, the description and the segment. Historical applications keep the value they were decisioned under. The score step records the range code, the description and the segment.</w:t>
            </w:r>
          </w:p>
        </w:tc>
        <w:tc>
          <w:tcPr>
            <w:tcW w:type="dxa" w:w="3200"/>
            <w:tcMar>
              <w:top w:type="dxa" w:w="80"/>
              <w:left w:type="dxa" w:w="110"/>
              <w:bottom w:type="dxa" w:w="80"/>
              <w:right w:type="dxa" w:w="110"/>
            </w:tcMar>
            <w:vAlign w:val="center"/>
          </w:tcPr>
          <w:p>
            <w:pPr>
              <w:spacing w:after="0" w:line="240" w:lineRule="atLeast"/>
              <w:jc w:val="center"/>
            </w:pPr>
            <w:r>
              <w:drawing>
                <wp:inline distT="0" distB="0" distL="0" distR="0">
                  <wp:extent cx="18097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0" cy="504825"/>
                          </a:xfrm>
                          <a:prstGeom prst="rect">
                            <a:avLst/>
                          </a:prstGeom>
                        </pic:spPr>
                      </pic:pic>
                    </a:graphicData>
                  </a:graphic>
                </wp:inline>
              </w:drawing>
            </w:r>
          </w:p>
        </w:tc>
      </w:tr>
    </w:tbl>
    <w:p>
      <w:r>
        <w:br w:type="page"/>
      </w:r>
    </w:p>
    <w:p>
      <w:pPr>
        <w:spacing w:after="200" w:before="360"/>
      </w:pPr>
      <w:r>
        <w:rPr>
          <w:b/>
          <w:bCs/>
          <w:caps/>
          <w:color w:val="000000"/>
          <w:sz w:val="26"/>
          <w:szCs w:val="26"/>
        </w:rPr>
        <w:t xml:space="preserve">11. OPEN QUESTIONS</w:t>
      </w:r>
    </w:p>
    <w:p>
      <w:pPr>
        <w:spacing w:after="130"/>
      </w:pPr>
      <w:r>
        <w:rPr>
          <w:sz w:val="20"/>
          <w:szCs w:val="20"/>
        </w:rPr>
        <w:t xml:space="preserve">Each item below has a recommended default. Confirming the defaults is enough to proceed.</w:t>
      </w:r>
    </w:p>
    <w:p>
      <w:pPr>
        <w:spacing w:after="40"/>
      </w:pPr>
    </w:p>
    <w:tbl>
      <w:tblPr>
        <w:tblW w:type="dxa" w:w="9640"/>
        <w:tblBorders>
          <w:top w:val="single" w:color="A6A6A6" w:sz="4"/>
          <w:left w:val="single" w:color="A6A6A6" w:sz="4"/>
          <w:bottom w:val="single" w:color="A6A6A6" w:sz="4"/>
          <w:right w:val="single" w:color="A6A6A6" w:sz="4"/>
          <w:insideH w:val="single" w:color="A6A6A6" w:sz="4"/>
          <w:insideV w:val="single" w:color="A6A6A6" w:sz="4"/>
        </w:tblBorders>
      </w:tblPr>
      <w:tblGrid>
        <w:gridCol w:w="620"/>
        <w:gridCol w:w="4860"/>
        <w:gridCol w:w="4160"/>
      </w:tblGrid>
      <w:tr>
        <w:trPr>
          <w:tblHeader/>
        </w:trPr>
        <w:tc>
          <w:tcPr>
            <w:tcW w:type="dxa" w:w="620"/>
            <w:shd w:fill="156082" w:color="auto" w:val="clear"/>
            <w:tcMar>
              <w:top w:type="dxa" w:w="80"/>
              <w:left w:type="dxa" w:w="110"/>
              <w:bottom w:type="dxa" w:w="80"/>
              <w:right w:type="dxa" w:w="110"/>
            </w:tcMar>
            <w:vAlign w:val="center"/>
          </w:tcPr>
          <w:p>
            <w:r>
              <w:rPr>
                <w:b/>
                <w:bCs/>
                <w:color w:val="FFFFFF"/>
                <w:sz w:val="19"/>
                <w:szCs w:val="19"/>
              </w:rPr>
              <w:t xml:space="preserve">#</w:t>
            </w:r>
          </w:p>
        </w:tc>
        <w:tc>
          <w:tcPr>
            <w:tcW w:type="dxa" w:w="4860"/>
            <w:shd w:fill="156082" w:color="auto" w:val="clear"/>
            <w:tcMar>
              <w:top w:type="dxa" w:w="80"/>
              <w:left w:type="dxa" w:w="110"/>
              <w:bottom w:type="dxa" w:w="80"/>
              <w:right w:type="dxa" w:w="110"/>
            </w:tcMar>
            <w:vAlign w:val="center"/>
          </w:tcPr>
          <w:p>
            <w:r>
              <w:rPr>
                <w:b/>
                <w:bCs/>
                <w:color w:val="FFFFFF"/>
                <w:sz w:val="19"/>
                <w:szCs w:val="19"/>
              </w:rPr>
              <w:t xml:space="preserve">Question</w:t>
            </w:r>
          </w:p>
        </w:tc>
        <w:tc>
          <w:tcPr>
            <w:tcW w:type="dxa" w:w="4160"/>
            <w:shd w:fill="156082" w:color="auto" w:val="clear"/>
            <w:tcMar>
              <w:top w:type="dxa" w:w="80"/>
              <w:left w:type="dxa" w:w="110"/>
              <w:bottom w:type="dxa" w:w="80"/>
              <w:right w:type="dxa" w:w="110"/>
            </w:tcMar>
            <w:vAlign w:val="center"/>
          </w:tcPr>
          <w:p>
            <w:r>
              <w:rPr>
                <w:b/>
                <w:bCs/>
                <w:color w:val="FFFFFF"/>
                <w:sz w:val="19"/>
                <w:szCs w:val="19"/>
              </w:rPr>
              <w:t xml:space="preserve">Recommended default</w:t>
            </w:r>
          </w:p>
        </w:tc>
      </w:tr>
      <w:tr>
        <w:tc>
          <w:tcPr>
            <w:tcW w:type="dxa" w:w="620"/>
            <w:tcMar>
              <w:top w:type="dxa" w:w="80"/>
              <w:left w:type="dxa" w:w="110"/>
              <w:bottom w:type="dxa" w:w="80"/>
              <w:right w:type="dxa" w:w="110"/>
            </w:tcMar>
            <w:vAlign w:val="top"/>
          </w:tcPr>
          <w:p>
            <w:pPr>
              <w:spacing w:after="0"/>
            </w:pPr>
            <w:r>
              <w:rPr>
                <w:sz w:val="18"/>
                <w:szCs w:val="18"/>
              </w:rPr>
              <w:t xml:space="preserve">1</w:t>
            </w:r>
          </w:p>
        </w:tc>
        <w:tc>
          <w:tcPr>
            <w:tcW w:type="dxa" w:w="4860"/>
            <w:tcMar>
              <w:top w:type="dxa" w:w="80"/>
              <w:left w:type="dxa" w:w="110"/>
              <w:bottom w:type="dxa" w:w="80"/>
              <w:right w:type="dxa" w:w="110"/>
            </w:tcMar>
            <w:vAlign w:val="top"/>
          </w:tcPr>
          <w:p>
            <w:pPr>
              <w:spacing w:after="0"/>
            </w:pPr>
            <w:r>
              <w:rPr>
                <w:sz w:val="18"/>
                <w:szCs w:val="18"/>
              </w:rPr>
              <w:t xml:space="preserve">Are the existing range codes in the current production configuration confirmed for migration into the master, with their present risk groups?</w:t>
            </w:r>
          </w:p>
        </w:tc>
        <w:tc>
          <w:tcPr>
            <w:tcW w:type="dxa" w:w="4160"/>
            <w:tcMar>
              <w:top w:type="dxa" w:w="80"/>
              <w:left w:type="dxa" w:w="110"/>
              <w:bottom w:type="dxa" w:w="80"/>
              <w:right w:type="dxa" w:w="110"/>
            </w:tcMar>
            <w:vAlign w:val="top"/>
          </w:tcPr>
          <w:p>
            <w:pPr>
              <w:spacing w:after="0"/>
            </w:pPr>
            <w:r>
              <w:rPr>
                <w:sz w:val="18"/>
                <w:szCs w:val="18"/>
              </w:rPr>
              <w:t xml:space="preserve">Enumerate from the live configuration and confirm before build. No code is assumed.</w:t>
            </w:r>
          </w:p>
        </w:tc>
      </w:tr>
      <w:tr>
        <w:tc>
          <w:tcPr>
            <w:tcW w:type="dxa" w:w="620"/>
            <w:tcMar>
              <w:top w:type="dxa" w:w="80"/>
              <w:left w:type="dxa" w:w="110"/>
              <w:bottom w:type="dxa" w:w="80"/>
              <w:right w:type="dxa" w:w="110"/>
            </w:tcMar>
            <w:vAlign w:val="top"/>
          </w:tcPr>
          <w:p>
            <w:pPr>
              <w:spacing w:after="0"/>
            </w:pPr>
            <w:r>
              <w:rPr>
                <w:sz w:val="18"/>
                <w:szCs w:val="18"/>
              </w:rPr>
              <w:t xml:space="preserve">2</w:t>
            </w:r>
          </w:p>
        </w:tc>
        <w:tc>
          <w:tcPr>
            <w:tcW w:type="dxa" w:w="4860"/>
            <w:tcMar>
              <w:top w:type="dxa" w:w="80"/>
              <w:left w:type="dxa" w:w="110"/>
              <w:bottom w:type="dxa" w:w="80"/>
              <w:right w:type="dxa" w:w="110"/>
            </w:tcMar>
            <w:vAlign w:val="top"/>
          </w:tcPr>
          <w:p>
            <w:pPr>
              <w:spacing w:after="0"/>
            </w:pPr>
            <w:r>
              <w:rPr>
                <w:sz w:val="18"/>
                <w:szCs w:val="18"/>
              </w:rPr>
              <w:t xml:space="preserve">How are New-to-Credit applicants treated in policy — the same cut-off table, a separate table, or refer?</w:t>
            </w:r>
          </w:p>
        </w:tc>
        <w:tc>
          <w:tcPr>
            <w:tcW w:type="dxa" w:w="4160"/>
            <w:tcMar>
              <w:top w:type="dxa" w:w="80"/>
              <w:left w:type="dxa" w:w="110"/>
              <w:bottom w:type="dxa" w:w="80"/>
              <w:right w:type="dxa" w:w="110"/>
            </w:tcMar>
            <w:vAlign w:val="top"/>
          </w:tcPr>
          <w:p>
            <w:pPr>
              <w:spacing w:after="0"/>
            </w:pPr>
            <w:r>
              <w:rPr>
                <w:sz w:val="18"/>
                <w:szCs w:val="18"/>
              </w:rPr>
              <w:t xml:space="preserve">A separate table. One shared table mis-decisions one of the two populations.</w:t>
            </w:r>
          </w:p>
        </w:tc>
      </w:tr>
      <w:tr>
        <w:tc>
          <w:tcPr>
            <w:tcW w:type="dxa" w:w="620"/>
            <w:tcMar>
              <w:top w:type="dxa" w:w="80"/>
              <w:left w:type="dxa" w:w="110"/>
              <w:bottom w:type="dxa" w:w="80"/>
              <w:right w:type="dxa" w:w="110"/>
            </w:tcMar>
            <w:vAlign w:val="top"/>
          </w:tcPr>
          <w:p>
            <w:pPr>
              <w:spacing w:after="0"/>
            </w:pPr>
            <w:r>
              <w:rPr>
                <w:sz w:val="18"/>
                <w:szCs w:val="18"/>
              </w:rPr>
              <w:t xml:space="preserve">3</w:t>
            </w:r>
          </w:p>
        </w:tc>
        <w:tc>
          <w:tcPr>
            <w:tcW w:type="dxa" w:w="4860"/>
            <w:tcMar>
              <w:top w:type="dxa" w:w="80"/>
              <w:left w:type="dxa" w:w="110"/>
              <w:bottom w:type="dxa" w:w="80"/>
              <w:right w:type="dxa" w:w="110"/>
            </w:tcMar>
            <w:vAlign w:val="top"/>
          </w:tcPr>
          <w:p>
            <w:pPr>
              <w:spacing w:after="0"/>
            </w:pPr>
            <w:r>
              <w:rPr>
                <w:sz w:val="18"/>
                <w:szCs w:val="18"/>
              </w:rPr>
              <w:t xml:space="preserve">Which existing criteria select Very Low Risk, or test a numeric threshold above 650?</w:t>
            </w:r>
          </w:p>
        </w:tc>
        <w:tc>
          <w:tcPr>
            <w:tcW w:type="dxa" w:w="4160"/>
            <w:tcMar>
              <w:top w:type="dxa" w:w="80"/>
              <w:left w:type="dxa" w:w="110"/>
              <w:bottom w:type="dxa" w:w="80"/>
              <w:right w:type="dxa" w:w="110"/>
            </w:tcMar>
            <w:vAlign w:val="top"/>
          </w:tcPr>
          <w:p>
            <w:pPr>
              <w:spacing w:after="0"/>
            </w:pPr>
            <w:r>
              <w:rPr>
                <w:sz w:val="18"/>
                <w:szCs w:val="18"/>
              </w:rPr>
              <w:t xml:space="preserve">Reviewed before go-live. Under Score 3.0 no New-to-Credit applicant can satisfy either.</w:t>
            </w:r>
          </w:p>
        </w:tc>
      </w:tr>
      <w:tr>
        <w:tc>
          <w:tcPr>
            <w:tcW w:type="dxa" w:w="620"/>
            <w:tcMar>
              <w:top w:type="dxa" w:w="80"/>
              <w:left w:type="dxa" w:w="110"/>
              <w:bottom w:type="dxa" w:w="80"/>
              <w:right w:type="dxa" w:w="110"/>
            </w:tcMar>
            <w:vAlign w:val="top"/>
          </w:tcPr>
          <w:p>
            <w:pPr>
              <w:spacing w:after="0"/>
            </w:pPr>
            <w:r>
              <w:rPr>
                <w:sz w:val="18"/>
                <w:szCs w:val="18"/>
              </w:rPr>
              <w:t xml:space="preserve">4</w:t>
            </w:r>
          </w:p>
        </w:tc>
        <w:tc>
          <w:tcPr>
            <w:tcW w:type="dxa" w:w="4860"/>
            <w:tcMar>
              <w:top w:type="dxa" w:w="80"/>
              <w:left w:type="dxa" w:w="110"/>
              <w:bottom w:type="dxa" w:w="80"/>
              <w:right w:type="dxa" w:w="110"/>
            </w:tcMar>
            <w:vAlign w:val="top"/>
          </w:tcPr>
          <w:p>
            <w:pPr>
              <w:spacing w:after="0"/>
            </w:pPr>
            <w:r>
              <w:rPr>
                <w:sz w:val="18"/>
                <w:szCs w:val="18"/>
              </w:rPr>
              <w:t xml:space="preserve">Should a range that is absent from the master block the decision, or pass through as no value?</w:t>
            </w:r>
          </w:p>
        </w:tc>
        <w:tc>
          <w:tcPr>
            <w:tcW w:type="dxa" w:w="4160"/>
            <w:tcMar>
              <w:top w:type="dxa" w:w="80"/>
              <w:left w:type="dxa" w:w="110"/>
              <w:bottom w:type="dxa" w:w="80"/>
              <w:right w:type="dxa" w:w="110"/>
            </w:tcMar>
            <w:vAlign w:val="top"/>
          </w:tcPr>
          <w:p>
            <w:pPr>
              <w:spacing w:after="0"/>
            </w:pPr>
            <w:r>
              <w:rPr>
                <w:sz w:val="18"/>
                <w:szCs w:val="18"/>
              </w:rPr>
              <w:t xml:space="preserve">Pass through as no value, never defaulted to the lowest band, and recorded on the audit trail.</w:t>
            </w:r>
          </w:p>
        </w:tc>
      </w:tr>
      <w:tr>
        <w:tc>
          <w:tcPr>
            <w:tcW w:type="dxa" w:w="620"/>
            <w:tcMar>
              <w:top w:type="dxa" w:w="80"/>
              <w:left w:type="dxa" w:w="110"/>
              <w:bottom w:type="dxa" w:w="80"/>
              <w:right w:type="dxa" w:w="110"/>
            </w:tcMar>
            <w:vAlign w:val="top"/>
          </w:tcPr>
          <w:p>
            <w:pPr>
              <w:spacing w:after="0"/>
            </w:pPr>
            <w:r>
              <w:rPr>
                <w:sz w:val="18"/>
                <w:szCs w:val="18"/>
              </w:rPr>
              <w:t xml:space="preserve">5</w:t>
            </w:r>
          </w:p>
        </w:tc>
        <w:tc>
          <w:tcPr>
            <w:tcW w:type="dxa" w:w="4860"/>
            <w:tcMar>
              <w:top w:type="dxa" w:w="80"/>
              <w:left w:type="dxa" w:w="110"/>
              <w:bottom w:type="dxa" w:w="80"/>
              <w:right w:type="dxa" w:w="110"/>
            </w:tcMar>
            <w:vAlign w:val="top"/>
          </w:tcPr>
          <w:p>
            <w:pPr>
              <w:spacing w:after="0"/>
            </w:pPr>
            <w:r>
              <w:rPr>
                <w:sz w:val="18"/>
                <w:szCs w:val="18"/>
              </w:rPr>
              <w:t xml:space="preserve">Which downstream reports carry the score range and need the code, description and segment?</w:t>
            </w:r>
          </w:p>
        </w:tc>
        <w:tc>
          <w:tcPr>
            <w:tcW w:type="dxa" w:w="4160"/>
            <w:tcMar>
              <w:top w:type="dxa" w:w="80"/>
              <w:left w:type="dxa" w:w="110"/>
              <w:bottom w:type="dxa" w:w="80"/>
              <w:right w:type="dxa" w:w="110"/>
            </w:tcMar>
            <w:vAlign w:val="top"/>
          </w:tcPr>
          <w:p>
            <w:pPr>
              <w:spacing w:after="0"/>
            </w:pPr>
            <w:r>
              <w:rPr>
                <w:sz w:val="18"/>
                <w:szCs w:val="18"/>
              </w:rPr>
              <w:t xml:space="preserve">Enumerated with the bank and confirmed during UAT.</w:t>
            </w:r>
          </w:p>
        </w:tc>
      </w:tr>
    </w:tbl>
    <w:p>
      <w:r>
        <w:br w:type="page"/>
      </w:r>
    </w:p>
    <w:p>
      <w:pPr>
        <w:spacing w:after="180" w:before="2600"/>
        <w:jc w:val="center"/>
      </w:pPr>
      <w:r>
        <w:rPr>
          <w:b/>
          <w:bCs/>
          <w:color w:val="3B7EF6"/>
          <w:sz w:val="60"/>
          <w:szCs w:val="60"/>
        </w:rPr>
        <w:t xml:space="preserve">THANK YOU</w:t>
      </w:r>
    </w:p>
    <w:p>
      <w:pPr>
        <w:spacing w:after="120"/>
        <w:jc w:val="center"/>
      </w:pPr>
      <w:r>
        <w:rPr>
          <w:b/>
          <w:bCs/>
          <w:color w:val="1A214D"/>
          <w:sz w:val="22"/>
          <w:szCs w:val="22"/>
        </w:rPr>
        <w:t xml:space="preserve">Appro Onboarding Solutions FZ-LLC</w:t>
      </w:r>
    </w:p>
    <w:p>
      <w:pPr>
        <w:spacing w:after="320"/>
        <w:jc w:val="center"/>
      </w:pPr>
      <w:r>
        <w:rPr>
          <w:color w:val="595959"/>
          <w:sz w:val="20"/>
          <w:szCs w:val="20"/>
        </w:rPr>
        <w:t xml:space="preserve">Credit Bureau &amp; Decisioning</w:t>
      </w:r>
    </w:p>
    <w:p>
      <w:pPr>
        <w:spacing w:line="240" w:lineRule="atLeast"/>
        <w:jc w:val="center"/>
      </w:pPr>
      <w:r>
        <w:drawing>
          <wp:inline distT="0" distB="0" distL="0" distR="0">
            <wp:extent cx="1238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361950"/>
                    </a:xfrm>
                    <a:prstGeom prst="rect">
                      <a:avLst/>
                    </a:prstGeom>
                  </pic:spPr>
                </pic:pic>
              </a:graphicData>
            </a:graphic>
          </wp:inline>
        </w:drawing>
      </w:r>
    </w:p>
    <w:sectPr>
      <w:footerReference w:type="default" r:id="rId7"/>
      <w:pgSz w:w="11906" w:h="16838" w:orient="portrait"/>
      <w:pgMar w:top="1224" w:right="1137" w:bottom="1224" w:left="11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after="20" w:before="60"/>
    </w:pPr>
  </w:p>
  <w:tbl>
    <w:tblPr>
      <w:tblW w:type="dxa" w:w="9640"/>
      <w:tblBorders>
        <w:top w:val="none"/>
        <w:left w:val="none"/>
        <w:bottom w:val="none"/>
        <w:right w:val="none"/>
        <w:insideH w:val="none"/>
        <w:insideV w:val="none"/>
      </w:tblBorders>
    </w:tblPr>
    <w:tblGrid>
      <w:gridCol w:w="7240"/>
      <w:gridCol w:w="1200"/>
      <w:gridCol w:w="1200"/>
    </w:tblGrid>
    <w:tr>
      <w:tc>
        <w:tcPr>
          <w:tcW w:type="dxa" w:w="7240"/>
          <w:tcMar>
            <w:top w:type="dxa" w:w="80"/>
            <w:left w:type="dxa" w:w="110"/>
            <w:bottom w:type="dxa" w:w="80"/>
            <w:right w:type="dxa" w:w="110"/>
          </w:tcMar>
          <w:vAlign w:val="top"/>
        </w:tcPr>
        <w:p>
          <w:pPr>
            <w:spacing w:after="0"/>
          </w:pPr>
          <w:r>
            <w:rPr>
              <w:color w:val="808080"/>
              <w:sz w:val="14"/>
              <w:szCs w:val="14"/>
            </w:rPr>
            <w:t xml:space="preserve">Confidential document between Appro Onboarding Solutions FZ-LLC and the recipient institution — not to be shared outside both organizations.</w:t>
          </w:r>
        </w:p>
      </w:tc>
      <w:tc>
        <w:tcPr>
          <w:tcW w:type="dxa" w:w="1200"/>
          <w:tcMar>
            <w:top w:type="dxa" w:w="80"/>
            <w:left w:type="dxa" w:w="110"/>
            <w:bottom w:type="dxa" w:w="80"/>
            <w:right w:type="dxa" w:w="110"/>
          </w:tcMar>
          <w:vAlign w:val="center"/>
        </w:tcPr>
        <w:p>
          <w:pPr>
            <w:spacing w:after="0" w:line="200" w:lineRule="atLeast"/>
            <w:jc w:val="right"/>
          </w:pPr>
          <w:r>
            <w:drawing>
              <wp:inline distT="0" distB="0" distL="0" distR="0">
                <wp:extent cx="4476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7675" cy="104775"/>
                        </a:xfrm>
                        <a:prstGeom prst="rect">
                          <a:avLst/>
                        </a:prstGeom>
                      </pic:spPr>
                    </pic:pic>
                  </a:graphicData>
                </a:graphic>
              </wp:inline>
            </w:drawing>
          </w:r>
        </w:p>
      </w:tc>
      <w:tc>
        <w:tcPr>
          <w:tcW w:type="dxa" w:w="1200"/>
          <w:tcMar>
            <w:top w:type="dxa" w:w="80"/>
            <w:left w:type="dxa" w:w="110"/>
            <w:bottom w:type="dxa" w:w="80"/>
            <w:right w:type="dxa" w:w="110"/>
          </w:tcMar>
          <w:vAlign w:val="center"/>
        </w:tcPr>
        <w:p>
          <w:pPr>
            <w:spacing w:after="0"/>
            <w:jc w:val="right"/>
          </w:pPr>
          <w:r>
            <w:rPr>
              <w:b/>
              <w:bCs/>
              <w:color w:val="3B7EF6"/>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d04b07ce7b43161773cced18c8f2ffd185d56f.png"/><Relationship Id="rId9" Type="http://schemas.openxmlformats.org/officeDocument/2006/relationships/image" Target="media/a3eb4ed69d803071780e7556699a845b46de56b2.png"/><Relationship Id="rId10" Type="http://schemas.openxmlformats.org/officeDocument/2006/relationships/image" Target="media/adea103dd911df48db4d0565db69204477ab730e.png"/><Relationship Id="rId11" Type="http://schemas.openxmlformats.org/officeDocument/2006/relationships/image" Target="media/f2afa2555b5c2cc884cf3dace492333841fc4965.png"/><Relationship Id="rId12" Type="http://schemas.openxmlformats.org/officeDocument/2006/relationships/image" Target="media/c3eea0bbd624e4c74f7d8d54b6c3a73af39e2a11.png"/><Relationship Id="rId13" Type="http://schemas.openxmlformats.org/officeDocument/2006/relationships/image" Target="media/282952db05b2666b62b05c92621ea8541fb20d92.png"/><Relationship Id="rId14" Type="http://schemas.openxmlformats.org/officeDocument/2006/relationships/image" Target="media/1e3b77f38d3958f178d8a3bc1394c923ec95a5f6.png"/><Relationship Id="rId15" Type="http://schemas.openxmlformats.org/officeDocument/2006/relationships/image" Target="media/5c7c0bb7d59d62ebad211c39620ec416c332f9b3.png"/><Relationship Id="rId16" Type="http://schemas.openxmlformats.org/officeDocument/2006/relationships/image" Target="media/b1931805f1a2d99154582d69a41e34f5fa1462ce.png"/><Relationship Id="rId17" Type="http://schemas.openxmlformats.org/officeDocument/2006/relationships/image" Target="media/2ca923cee31bbb09d6396f2c8b3f42dbbb2ce77e.png"/><Relationship Id="rId18" Type="http://schemas.openxmlformats.org/officeDocument/2006/relationships/image" Target="media/e406bea84bca02c9f121b55520d00cb6881d15b1.png"/><Relationship Id="rId19" Type="http://schemas.openxmlformats.org/officeDocument/2006/relationships/image" Target="media/dc358b4b112f1e4e89493f62c78e89b0529ed986.png"/><Relationship Id="rId20" Type="http://schemas.openxmlformats.org/officeDocument/2006/relationships/image" Target="media/4c8ef72919db1db570b93386131a64f01e165a1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4bca2bde5d4d94038915aef8feb975b8f4d9a8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ECB Consumer Credit Score 3.0 — BRD V1.0</dc:title>
  <dc:creator>Appro Onboarding Solutions FZ-LLC</dc:creator>
  <dc:description>Rule Engine and Score Check Management — Super Portal</dc:description>
  <cp:lastModifiedBy>Un-named</cp:lastModifiedBy>
  <cp:revision>1</cp:revision>
  <dcterms:created xsi:type="dcterms:W3CDTF">2026-09-25T05:37:10.141Z</dcterms:created>
  <dcterms:modified xsi:type="dcterms:W3CDTF">2026-09-25T05:37:10.141Z</dcterms:modified>
</cp:coreProperties>
</file>

<file path=docProps/custom.xml><?xml version="1.0" encoding="utf-8"?>
<Properties xmlns="http://schemas.openxmlformats.org/officeDocument/2006/custom-properties" xmlns:vt="http://schemas.openxmlformats.org/officeDocument/2006/docPropsVTypes"/>
</file>