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619250" cy="971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30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3B7EF6"/>
          <w:sz w:val="56"/>
          <w:szCs w:val="56"/>
        </w:rPr>
        <w:t xml:space="preserve">Employer Name Edit in</w:t>
      </w:r>
      <w:r>
        <w:rPr>
          <w:rFonts w:ascii="Arial" w:cs="Arial" w:eastAsia="Arial" w:hAnsi="Arial"/>
          <w:b/>
          <w:bCs/>
          <w:color w:val="3B7EF6"/>
          <w:sz w:val="56"/>
          <w:szCs w:val="56"/>
        </w:rPr>
        <w:br/>
        <w:t xml:space="preserve">Credit Queue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3B7EF6"/>
          <w:sz w:val="44"/>
          <w:szCs w:val="44"/>
        </w:rPr>
        <w:t xml:space="preserve">V1.0</w:t>
      </w:r>
    </w:p>
    <w:p>
      <w:pPr>
        <w:spacing w:after="20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30 September 2026</w:t>
      </w:r>
    </w:p>
    <w:p>
      <w:pPr>
        <w:spacing w:after="0"/>
        <w:jc w:val="center"/>
      </w:pPr>
      <w:r>
        <w:drawing>
          <wp:inline distT="0" distB="0" distL="0" distR="0">
            <wp:extent cx="1571625" cy="4572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300"/>
      </w:pP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This is not a legally binding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Highly confidential not to be shared without written consent</w:t>
      </w:r>
    </w:p>
    <w:p>
      <w:pPr>
        <w:spacing w:after="200"/>
      </w:pPr>
    </w:p>
    <w:p>
      <w:pPr>
        <w:spacing w:after="0"/>
        <w:jc w:val="center"/>
      </w:pPr>
      <w:r>
        <w:drawing>
          <wp:inline distT="0" distB="0" distL="0" distR="0">
            <wp:extent cx="5715000" cy="6762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HISTORY OF CHANGE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83"/>
        <w:gridCol w:w="2166"/>
        <w:gridCol w:w="1986"/>
        <w:gridCol w:w="3791"/>
      </w:tblGrid>
      <w:tr>
        <w:trPr>
          <w:cantSplit/>
          <w:tblHeader/>
        </w:trPr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Version</w:t>
            </w:r>
          </w:p>
        </w:tc>
        <w:tc>
          <w:tcPr>
            <w:tcW w:type="dxa" w:w="216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198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Author</w:t>
            </w:r>
          </w:p>
        </w:tc>
        <w:tc>
          <w:tcPr>
            <w:tcW w:type="dxa" w:w="3791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1.0</w:t>
            </w:r>
          </w:p>
        </w:tc>
        <w:tc>
          <w:tcPr>
            <w:tcW w:type="dxa" w:w="216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30 September 2026</w:t>
            </w:r>
          </w:p>
        </w:tc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Hailey (Appro)</w:t>
            </w:r>
          </w:p>
        </w:tc>
        <w:tc>
          <w:tcPr>
            <w:tcW w:type="dxa" w:w="3791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Initial version</w:t>
            </w:r>
          </w:p>
        </w:tc>
      </w:tr>
    </w:tbl>
    <w:p>
      <w:pPr>
        <w:spacing w:after="200"/>
      </w:pP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EMPLOYER NAME EDIT IN CREDIT QUEUE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FEATURE OVERVIEW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This document describes the Super Portal capability that allows authorised Credit users to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correct the Employer Name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of an application while it sits in the Credit Queue. Today the Employer Name is system-derived and locked — from the government employment record (sponsor name) or from the customer input — although it drives the employer classification (ALOC), the related company attributes, the Rule Engine evaluation and the maximum DBR used by limit assignment. A wrong employer name today leaves the Credit user only two options: decide the case on non-listed-company terms, or reject it. Key steps are as following: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Credit user with the 'Edit Employer Name' permission opens the existing Edit Application pop-up in Credit Queue and corrects the Company Name in the new Employment Information section.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On save and confirmation, the system overrides the finalized Employer Name, re-runs the employer classification (ALOC and MOD / MOI / Pensioner flags), recalculates the related fields and re-runs the Rule Engine.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application details display the updated name, the re-classified result and a full original → updated trail; every downstream consumer of the Employer Name reads the corrected value.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21240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Applicable products: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CC, PL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. </w:t>
      </w: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(CASA is excluded — it has no credit decisioning; Mortgage Loan and Auto Loan are not yet part of the platform scope.)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986"/>
        <w:gridCol w:w="7040"/>
      </w:tblGrid>
      <w:tr>
        <w:trPr>
          <w:cantSplit/>
          <w:tblHeader/>
        </w:trPr>
        <w:tc>
          <w:tcPr>
            <w:tcW w:type="dxa" w:w="198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Product Type</w:t>
            </w:r>
          </w:p>
        </w:tc>
        <w:tc>
          <w:tcPr>
            <w:tcW w:type="dxa" w:w="7040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Applicable Status where the Employer Name can be edited</w:t>
            </w:r>
          </w:p>
        </w:tc>
      </w:tr>
      <w:tr>
        <w:trPr>
          <w:cantSplit/>
        </w:trPr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CC</w:t>
            </w:r>
          </w:p>
        </w:tc>
        <w:tc>
          <w:tcPr>
            <w:tcW w:type="dxa" w:w="704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Queue L1 / L2 / L3 — Application Status 'Awaiting Credit Approval'</w:t>
            </w:r>
          </w:p>
        </w:tc>
      </w:tr>
      <w:tr>
        <w:trPr>
          <w:cantSplit/>
        </w:trPr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PL</w:t>
            </w:r>
          </w:p>
        </w:tc>
        <w:tc>
          <w:tcPr>
            <w:tcW w:type="dxa" w:w="704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Queue L1 / L2 / L3 — Application Status 'Awaiting Credit Approval'</w:t>
            </w:r>
          </w:p>
        </w:tc>
      </w:tr>
    </w:tbl>
    <w:p>
      <w:pPr>
        <w:spacing w:after="160"/>
      </w:pP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edit shall be restricted in below scenarios: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Scenario</w:t>
            </w:r>
          </w:p>
        </w:tc>
        <w:tc>
          <w:tcPr>
            <w:tcW w:type="dxa" w:w="631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Condition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waiting for income verification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application is pending the income retrigger — Edit is disabled as today.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locked by another request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 recalculation or Rule Engine run is in progress — 'The Application is in another request processing.'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User without the permission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'Edit Employer Name' = FALSE — the section is hidden; a role with all Edit permissions FALSE does not see the Edit button.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not in Credit Queue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Enquiry and the Risk / Compliance / Sale queues remain view only.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END-TO-END EMPLOYER NAME EDIT FLOW FROM SUPER PORTAL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1. Role Management: Edit Employer Name Permission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 new role permission named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'Edit Employer Name'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shall be added to the Editor group of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Credit Queue L1, L2 and L3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under the Manually Queue section of Role Management — per product tab ([Credit Card] / [Personal Loan]), alongside the existing Edit permissions and with the same product-tab treatment as 'Edit Length of Service'.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SC1: Add Role screen: Manually Queue &gt; Credit Queue &gt; 'Edit Employer Name' permission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Permission Value</w:t>
            </w:r>
          </w:p>
        </w:tc>
        <w:tc>
          <w:tcPr>
            <w:tcW w:type="dxa" w:w="631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Allowed Actions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[Product] Edit Employer Name = TRUE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Users can view and update the Employment Information section of the Edit Application pop-up for that product.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[Product] Edit Employer Name = FALSE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Employment Information section is hidden. A role with all Edit permissions FALSE does not see the Edit button.</w:t>
            </w:r>
          </w:p>
        </w:tc>
      </w:tr>
    </w:tbl>
    <w:p>
      <w:pPr>
        <w:spacing w:after="80"/>
      </w:pPr>
    </w:p>
    <w:p>
      <w:pPr>
        <w:spacing w:after="120" w:before="40" w:line="264"/>
      </w:pPr>
      <w:r>
        <w:rPr>
          <w:rFonts w:ascii="Arial" w:cs="Arial" w:eastAsia="Arial" w:hAnsi="Arial"/>
          <w:i/>
          <w:iCs/>
          <w:color w:val="000000"/>
          <w:sz w:val="21"/>
          <w:szCs w:val="21"/>
        </w:rPr>
        <w:t xml:space="preserve">The permission is a distinct right — never bundled with Evaluate Application or Send Application. The Permission Matrix reference page shall be updated.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2. Employer Name edit from Credit Queue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existing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Edit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button on the Credit Queue Application Details screen is the entry point. The Edit Application pop-up gains a new section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Employment Information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, placed after Length of Service, holding a single editable field.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SC2: Credit Queue — Application Details, Edit entry point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1719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SC3: Edit Application pop-up — Employment Information section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444"/>
        <w:gridCol w:w="1083"/>
        <w:gridCol w:w="1444"/>
        <w:gridCol w:w="1083"/>
        <w:gridCol w:w="3972"/>
      </w:tblGrid>
      <w:tr>
        <w:trPr>
          <w:cantSplit/>
          <w:tblHeader/>
        </w:trPr>
        <w:tc>
          <w:tcPr>
            <w:tcW w:type="dxa" w:w="144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Component</w:t>
            </w:r>
          </w:p>
        </w:tc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Type</w:t>
            </w:r>
          </w:p>
        </w:tc>
        <w:tc>
          <w:tcPr>
            <w:tcW w:type="dxa" w:w="144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Mandatory</w:t>
            </w:r>
          </w:p>
        </w:tc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Editable</w:t>
            </w:r>
          </w:p>
        </w:tc>
        <w:tc>
          <w:tcPr>
            <w:tcW w:type="dxa" w:w="397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Employment Information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Section bar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Same style as the existing section bars. Shown only when the user's role has 'Edit Employer Name' = TRUE.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Input field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Yes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Yes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only field of the section. Pre-populated with the current finalized Employer Name. Validation as the customer journey field: alphabetic characters only; maximum 200 characters; blank not allowed. An unchanged value on Save does not trigger the re-run.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Clear All / Cancel / Save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Existing controls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Unchanged behaviour: Clear All reloads the stored values; Cancel closes without saving; Save is disabled until a value changes.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 Impact of saving the updated Employer Name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When the user clicks Save, the existing Edit confirmation component is shown once for the whole pop-up (centered message, No / Yes, Save buttons): </w:t>
      </w: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'Are you sure you want to update this &lt;Application ID&gt;? Company Name will change from "&lt;current&gt;" to "&lt;new&gt;". The system will re-run the ALOC classification, recalculate the related fields and re-run the Rule Engine.'</w:t>
      </w:r>
    </w:p>
    <w:p>
      <w:pPr>
        <w:spacing w:after="60" w:before="120"/>
        <w:jc w:val="center"/>
      </w:pPr>
      <w:r>
        <w:drawing>
          <wp:inline distT="0" distB="0" distL="0" distR="0">
            <wp:extent cx="2952750" cy="21717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SC4: Confirmation before the re-run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On 'Yes, Save', the system executes in order: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542"/>
        <w:gridCol w:w="8484"/>
      </w:tblGrid>
      <w:tr>
        <w:trPr>
          <w:cantSplit/>
          <w:tblHeader/>
        </w:trPr>
        <w:tc>
          <w:tcPr>
            <w:tcW w:type="dxa" w:w="54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848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System action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Override the finalized Employer Name with the input. The first system-derived value is kept as the Original Employer Name together with its original classification. Source is recorded as 'Credit User' with Updated By / Updated On. The government-record and customer-journey source data are not modified.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the employer classification: match the new name against the Empaneled Company list — listed company → ALOC with its category, sector, industry and contact fields; otherwise N-ALOC. Re-evaluate the MOD / MOI / Pensioner flags.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Recalculate the calculated variables and the limit assignment — the classification drives the maximum DBR and the income-multiplier group.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the Rule Engine (segmentation, filtration, deviation) on the currently published versions. The shared re-run counter applies; more than 2 Rule Engine failures reject the application.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Route the application per the standard routing logic. The status stays 'Awaiting Credit Approval' unless the routing changes it — no new Application Status, no mobile-app impact.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Audit trail: Step = 'Edit Information'; Step Detail = 'Employer Name updated from "&lt;old&gt;" to "&lt;new&gt;" by %Username%. Classification: &lt;original&gt; → &lt;updated&gt;'; Action by = user email.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Loading screen up to 15 seconds; the application is locked during the run ('The Application is in another request processing.').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Toaster 'Application "&lt;Application ID&gt;" is updated successfully!'; the Application Details, Rule Engine Result and Approve Limit Result sections reload.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Several sections edited in one Save → the recalculation and the Rule Engine run once, after all values are stored.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No cap on repeat edits; the Original Employer Name is set once and never overwritten.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 Display after the update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fields below sit in the expanded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Application Details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section ›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Employment Information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sub-block of the application view. The same section is shown in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Credit Queue L1–L3, Risk Queue, Sale Queue, Compliance Queue and Application Enquiry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(view only) — the Edit pop-up carries only the editable field; the full picture is view-only here: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1719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SC5: Application Details — Employment Information after the update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type="dxa" w:w="5957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Value after the edit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finalized Employer Name — the value the system uses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 Source (new)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EFR (Sponsor Name) | Customer Journey | Credit User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ALOC / Pensioner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Re-classified result in the live display format: Yes | No (&lt;match %&gt;)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Employer Name Update (new sub-block, shown only after an edit)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Original Company Name · Original ALOC · Updated Company Name · Updated ALOC · Updated By · Updated On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Repeat edits: the block keeps the first original and the latest updated value; the intermediate values are in the application history.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Application Enquiry impact: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the enquiry details display the updated values identically in the same Application Details section, and its Application History shows the 'Edit Information' step with the old → new values in the step details, followed by the system steps of the re-run. No edit is possible from Application Enquiry.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SC6: Application Enquiry — application history with the Edit Information step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 Downstream consumers of the corrected Employer Name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After the edit, every consumer of the Employer Name reads the corrected finalized value: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888"/>
        <w:gridCol w:w="6138"/>
      </w:tblGrid>
      <w:tr>
        <w:trPr>
          <w:cantSplit/>
          <w:tblHeader/>
        </w:trPr>
        <w:tc>
          <w:tcPr>
            <w:tcW w:type="dxa" w:w="288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Consumer</w:t>
            </w:r>
          </w:p>
        </w:tc>
        <w:tc>
          <w:tcPr>
            <w:tcW w:type="dxa" w:w="613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Behaviour after the edit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details (all queues + Application Enquiry)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name, re-classified ALOC and the Employer Name Update trail — section 4.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CAM report + Affordability Assessment Form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Regenerated on the edit, carrying the updated name, classification and recalculated results.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Form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Not regenerated — it remains the record of what the customer submitted at OTP time.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Customer Document Stack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Generated after the decision — carries the updated value automatically.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Core banking (CIF creation)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 impact — the CIF mapping carries no Employer Name.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AML screening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 re-screening on the edit; the corrected name reaches the screening system through the post-decision CIF-update call.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Length of Service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Not re-run — it has its own edit section.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Customer communication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None — the customer is not notified of the correction.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 Summary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722"/>
        <w:gridCol w:w="1805"/>
        <w:gridCol w:w="3610"/>
        <w:gridCol w:w="2889"/>
      </w:tblGrid>
      <w:tr>
        <w:trPr>
          <w:cantSplit/>
          <w:tblHeader/>
        </w:trPr>
        <w:tc>
          <w:tcPr>
            <w:tcW w:type="dxa" w:w="72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Step</w:t>
            </w:r>
          </w:p>
        </w:tc>
        <w:tc>
          <w:tcPr>
            <w:tcW w:type="dxa" w:w="1805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Actor</w:t>
            </w:r>
          </w:p>
        </w:tc>
        <w:tc>
          <w:tcPr>
            <w:tcW w:type="dxa" w:w="3610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Action</w:t>
            </w:r>
          </w:p>
        </w:tc>
        <w:tc>
          <w:tcPr>
            <w:tcW w:type="dxa" w:w="288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 (with permission)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Opens Edit on a Credit Queue application and corrects the Company Name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Save enabled once the value changes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Confirms the update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 actions of section 3 execute in order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Overrides the finalized name, re-classifies, recalculates, re-runs the Rule Engine and routes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Status stays 'Awaiting Credit Approval' unless routing changes it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Refreshes the view and writes the audit trail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details, original → updated trail, history step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Decides the case on the corrected employer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Approve / override / reject on the true classification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ADDITIONAL IMPACT ANALYSIS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Beyond the direct scope above, the following areas of the Reem Bank platform are impacted and must be carried into estimation and test scope: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715"/>
        <w:gridCol w:w="4062"/>
        <w:gridCol w:w="3249"/>
      </w:tblGrid>
      <w:tr>
        <w:trPr>
          <w:cantSplit/>
          <w:tblHeader/>
        </w:trPr>
        <w:tc>
          <w:tcPr>
            <w:tcW w:type="dxa" w:w="1715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Area</w:t>
            </w:r>
          </w:p>
        </w:tc>
        <w:tc>
          <w:tcPr>
            <w:tcW w:type="dxa" w:w="406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Impact</w:t>
            </w:r>
          </w:p>
        </w:tc>
        <w:tc>
          <w:tcPr>
            <w:tcW w:type="dxa" w:w="324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Screen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Role Management / Permission Matrix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New permission 'Edit Employer Name' on Credit Queue L1–L3 (Editor group, per product tab). A distinct right, never bundled. Permission Matrix page updated.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247650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Role Management › Credit Queue (SC1)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Edit Application pop-up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New Employment Information section with the single Company Name field and customer-journey validation.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219075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Edit Application › Employment Information (SC3)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Employer classification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classification step becomes re-runnable on demand for one application with a user-provided name; it overwrites the previous results atomically.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333500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Confirmation before the re-run (SC4)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Rule Engine &amp; Limit Assignment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on the new classification against the currently published versions; shared re-run counter; recalculation of calculated variables and approved limit.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019175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Rule Engine — published strategies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Details display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 Source row and the Employer Name Update block on all queue and enquiry views; classification fields refreshed.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819150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Application Details › Employment Information (SC5)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Audit trail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'Edit Information' step with a dynamic old → new step detail; the re-run steps log with Action by = System.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33350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Application history (SC6)</w:t>
            </w:r>
          </w:p>
        </w:tc>
      </w:tr>
    </w:tbl>
    <w:p>
      <w:r>
        <w:br w:type="page"/>
      </w:r>
    </w:p>
    <w:p>
      <w:pPr>
        <w:spacing w:after="0"/>
      </w:pPr>
      <w:r>
        <w:drawing>
          <wp:inline distT="0" distB="0" distL="0" distR="0">
            <wp:extent cx="1619250" cy="97155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0"/>
      </w:pPr>
    </w:p>
    <w:p>
      <w:pPr>
        <w:spacing w:after="400"/>
        <w:jc w:val="center"/>
      </w:pPr>
      <w:r>
        <w:rPr>
          <w:rFonts w:ascii="Arial" w:cs="Arial" w:eastAsia="Arial" w:hAnsi="Arial"/>
          <w:color w:val="3B7EF6"/>
          <w:sz w:val="72"/>
          <w:szCs w:val="72"/>
        </w:rPr>
        <w:t xml:space="preserve">THANK YOU</w:t>
      </w:r>
    </w:p>
    <w:p>
      <w:pPr>
        <w:spacing w:after="0"/>
        <w:jc w:val="center"/>
      </w:pPr>
      <w:r>
        <w:drawing>
          <wp:inline distT="0" distB="0" distL="0" distR="0">
            <wp:extent cx="1905000" cy="55245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0"/>
      </w:pP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This is not a legally binding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Highly confidential not to be shared without written consent</w:t>
      </w:r>
    </w:p>
    <w:p>
      <w:pPr>
        <w:spacing w:after="200"/>
      </w:pPr>
    </w:p>
    <w:p>
      <w:pPr>
        <w:spacing w:after="0"/>
        <w:jc w:val="center"/>
      </w:pPr>
      <w:r>
        <w:drawing>
          <wp:inline distT="0" distB="0" distL="0" distR="0">
            <wp:extent cx="5715000" cy="6762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50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026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64"/>
      <w:gridCol w:w="1354"/>
      <w:gridCol w:w="2708"/>
    </w:tblGrid>
    <w:tr>
      <w:tc>
        <w:tcPr>
          <w:tcW w:type="dxa" w:w="4964"/>
          <w:vAlign w:val="center"/>
        </w:tcPr>
        <w:p>
          <w:pPr>
            <w:spacing w:after="0" w:before="0" w:line="216"/>
          </w:pPr>
          <w:r>
            <w:rPr>
              <w:rFonts w:ascii="Arial" w:cs="Arial" w:eastAsia="Arial" w:hAnsi="Arial"/>
              <w:b/>
              <w:bCs/>
              <w:color w:val="000000"/>
              <w:sz w:val="15"/>
              <w:szCs w:val="15"/>
            </w:rPr>
            <w:t xml:space="preserve">This is not a legally binding document</w:t>
          </w:r>
          <w:r>
            <w:rPr>
              <w:rFonts w:ascii="Arial" w:cs="Arial" w:eastAsia="Arial" w:hAnsi="Arial"/>
              <w:b/>
              <w:bCs/>
              <w:color w:val="000000"/>
              <w:sz w:val="15"/>
              <w:szCs w:val="15"/>
            </w:rPr>
            <w:br/>
            <w:t xml:space="preserve">Highly confidential not to be shared without written consent</w:t>
          </w:r>
        </w:p>
      </w:tc>
      <w:tc>
        <w:tcPr>
          <w:tcW w:type="dxa" w:w="1354"/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color w:val="000000"/>
              <w:sz w:val="22"/>
              <w:szCs w:val="22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  <w:tc>
        <w:tcPr>
          <w:tcW w:type="dxa" w:w="2708"/>
          <w:vAlign w:val="center"/>
        </w:tcPr>
        <w:p>
          <w:pPr>
            <w:spacing w:after="0" w:before="0"/>
            <w:jc w:val="right"/>
          </w:pPr>
          <w:r>
            <w:drawing>
              <wp:inline distT="0" distB="0" distL="0" distR="0">
                <wp:extent cx="914400" cy="180975"/>
                <wp:effectExtent t="0" r="0" b="0" l="0"/>
                <wp:docPr id="2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180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13"/>
      <w:gridCol w:w="4513"/>
    </w:tblGrid>
    <w:tr>
      <w:tc>
        <w:tcPr>
          <w:tcW w:type="dxa" w:w="4513"/>
          <w:vAlign w:val="center"/>
        </w:tcPr>
        <w:p>
          <w:pPr>
            <w:spacing w:after="0" w:before="0"/>
          </w:pPr>
          <w:r>
            <w:rPr>
              <w:rFonts w:ascii="Arial" w:cs="Arial" w:eastAsia="Arial" w:hAnsi="Arial"/>
              <w:color w:val="000000"/>
              <w:sz w:val="18"/>
              <w:szCs w:val="18"/>
            </w:rPr>
            <w:t xml:space="preserve">Confidential</w:t>
          </w:r>
        </w:p>
      </w:tc>
      <w:tc>
        <w:tcPr>
          <w:tcW w:type="dxa" w:w="4513"/>
          <w:vAlign w:val="center"/>
        </w:tcPr>
        <w:p>
          <w:pPr>
            <w:spacing w:after="0" w:before="0"/>
            <w:jc w:val="right"/>
          </w:pPr>
          <w:r>
            <w:drawing>
              <wp:inline distT="0" distB="0" distL="0" distR="0">
                <wp:extent cx="952500" cy="285750"/>
                <wp:effectExtent t="0" r="0" b="0" l="0"/>
                <wp:docPr id="20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2500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f7f58707dd27c556f85cbf2c7925f29658baa0d.png"/><Relationship Id="rId10" Type="http://schemas.openxmlformats.org/officeDocument/2006/relationships/image" Target="media/ee85f6ba4ac8e38a12e73211a55e1c42fbc8f1f6.png"/><Relationship Id="rId11" Type="http://schemas.openxmlformats.org/officeDocument/2006/relationships/image" Target="media/b277ccb406c856a7fa3dde452918104f11aad811.png"/><Relationship Id="rId12" Type="http://schemas.openxmlformats.org/officeDocument/2006/relationships/image" Target="media/0f143d1722c3167a83a9d5411fbfc67787ac9cde.png"/><Relationship Id="rId13" Type="http://schemas.openxmlformats.org/officeDocument/2006/relationships/image" Target="media/046a9f8e0c3dd0ea91c01ad6a4b7501949c4512e.png"/><Relationship Id="rId14" Type="http://schemas.openxmlformats.org/officeDocument/2006/relationships/image" Target="media/a129e0adf99c4f793f8ca8f4187c20de032f5d54.png"/><Relationship Id="rId15" Type="http://schemas.openxmlformats.org/officeDocument/2006/relationships/image" Target="media/a78f7dd5c31a6d0cb356cb06a41251a06dadd3ec.png"/><Relationship Id="rId16" Type="http://schemas.openxmlformats.org/officeDocument/2006/relationships/image" Target="media/86524e2867efd1c697aa2f525b33218fd4d4def9.png"/><Relationship Id="rId17" Type="http://schemas.openxmlformats.org/officeDocument/2006/relationships/image" Target="media/6962b42154bed4698aea26ab109a6db2e8699c59.png"/><Relationship Id="rId18" Type="http://schemas.openxmlformats.org/officeDocument/2006/relationships/image" Target="media/39db81e62e518bf94d3b3532cc6cd44cb510d1b3.png"/><Relationship Id="rId19" Type="http://schemas.openxmlformats.org/officeDocument/2006/relationships/image" Target="media/c0dab7ebfb77625decb33951945618c92b450058.png"/><Relationship Id="rId20" Type="http://schemas.openxmlformats.org/officeDocument/2006/relationships/image" Target="media/2749825dd03b716cd104f8fd687110e8dbd7d0ff.png"/><Relationship Id="rId21" Type="http://schemas.openxmlformats.org/officeDocument/2006/relationships/image" Target="media/4493e00e30703d86c8b5422d69c23b0b1f2bd2f6.png"/><Relationship Id="rId22" Type="http://schemas.openxmlformats.org/officeDocument/2006/relationships/image" Target="media/550b229c093d01e880e3d39f3fcac48d21e3f1e8.png"/><Relationship Id="rId23" Type="http://schemas.openxmlformats.org/officeDocument/2006/relationships/image" Target="media/091009484e0f271801e8a54543d063a29ab5de85.png"/><Relationship Id="rId24" Type="http://schemas.openxmlformats.org/officeDocument/2006/relationships/image" Target="media/590ca7db331949e506a0071cb089a254a02d82c8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21e03be648ff4188e6db5e1ce2152e7598743b22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5f7e94444dc47aed53453246ef11472da2b80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Employer Name Edit in Credit Queue V1.0</dc:title>
  <dc:creator>Appro</dc:creator>
  <cp:lastModifiedBy>Un-named</cp:lastModifiedBy>
  <cp:revision>1</cp:revision>
  <dcterms:created xsi:type="dcterms:W3CDTF">2026-09-30T03:39:14.282Z</dcterms:created>
  <dcterms:modified xsi:type="dcterms:W3CDTF">2026-09-30T03:39:14.286Z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