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E57DE" w14:textId="77777777" w:rsidR="00A5675B" w:rsidRPr="00A5675B" w:rsidRDefault="00A5675B" w:rsidP="0074547E">
      <w:pPr>
        <w:pStyle w:val="ManuTitle"/>
        <w:spacing w:after="0"/>
      </w:pPr>
      <w:bookmarkStart w:id="0" w:name="_Toc162794597"/>
      <w:bookmarkStart w:id="1" w:name="_Toc174089125"/>
      <w:bookmarkStart w:id="2" w:name="_Toc178590823"/>
      <w:r w:rsidRPr="00A5675B">
        <w:t>Heads up! Social vigilance behaviour in urban American crows</w:t>
      </w:r>
      <w:bookmarkEnd w:id="0"/>
      <w:bookmarkEnd w:id="1"/>
      <w:bookmarkEnd w:id="2"/>
    </w:p>
    <w:p w14:paraId="0B8DB0CD" w14:textId="77777777" w:rsidR="00A5675B" w:rsidRPr="00A5675B" w:rsidRDefault="00A5675B" w:rsidP="0074547E">
      <w:pPr>
        <w:pStyle w:val="MainText"/>
        <w:spacing w:before="0"/>
      </w:pPr>
      <w:bookmarkStart w:id="3" w:name="_Hlk171590476"/>
      <w:r w:rsidRPr="00A5675B">
        <w:t>Alex Popescu</w:t>
      </w:r>
      <w:r w:rsidRPr="00A5675B">
        <w:rPr>
          <w:vertAlign w:val="superscript"/>
        </w:rPr>
        <w:t>1</w:t>
      </w:r>
      <w:r w:rsidRPr="00A5675B">
        <w:t>, Anne B. Clark</w:t>
      </w:r>
      <w:r w:rsidRPr="00A5675B">
        <w:rPr>
          <w:vertAlign w:val="superscript"/>
        </w:rPr>
        <w:t>2</w:t>
      </w:r>
      <w:r w:rsidRPr="00A5675B">
        <w:t>, Taylor Kerr</w:t>
      </w:r>
      <w:r w:rsidRPr="00A5675B">
        <w:rPr>
          <w:vertAlign w:val="superscript"/>
        </w:rPr>
        <w:t>1</w:t>
      </w:r>
      <w:r w:rsidRPr="00A5675B">
        <w:t>, Alex Wilder</w:t>
      </w:r>
      <w:r w:rsidRPr="00A5675B">
        <w:rPr>
          <w:vertAlign w:val="superscript"/>
        </w:rPr>
        <w:t>1</w:t>
      </w:r>
      <w:r w:rsidRPr="00A5675B">
        <w:t>, Kiyoko M. Gotanda</w:t>
      </w:r>
      <w:r w:rsidRPr="00A5675B">
        <w:rPr>
          <w:vertAlign w:val="superscript"/>
        </w:rPr>
        <w:t>1</w:t>
      </w:r>
    </w:p>
    <w:p w14:paraId="55C45115" w14:textId="77777777" w:rsidR="00A5675B" w:rsidRPr="00A5675B" w:rsidRDefault="00A5675B" w:rsidP="00D67361">
      <w:pPr>
        <w:pStyle w:val="MainText"/>
        <w:spacing w:before="0" w:after="0"/>
      </w:pPr>
      <w:r w:rsidRPr="00A5675B">
        <w:tab/>
      </w:r>
      <w:r w:rsidRPr="00A5675B">
        <w:rPr>
          <w:vertAlign w:val="superscript"/>
        </w:rPr>
        <w:t>1</w:t>
      </w:r>
      <w:r w:rsidRPr="00A5675B">
        <w:t xml:space="preserve"> Brock University, Department of Biological Sciences</w:t>
      </w:r>
    </w:p>
    <w:p w14:paraId="67677DB3" w14:textId="77777777" w:rsidR="00A5675B" w:rsidRPr="00A5675B" w:rsidRDefault="00A5675B" w:rsidP="00D67361">
      <w:pPr>
        <w:pStyle w:val="MainText"/>
        <w:spacing w:before="0" w:after="0"/>
      </w:pPr>
      <w:r w:rsidRPr="00A5675B">
        <w:tab/>
      </w:r>
      <w:r w:rsidRPr="00A5675B">
        <w:rPr>
          <w:vertAlign w:val="superscript"/>
        </w:rPr>
        <w:t>2</w:t>
      </w:r>
      <w:r w:rsidRPr="00A5675B">
        <w:t xml:space="preserve"> Binghamton University, Department of Biological Sciences</w:t>
      </w:r>
    </w:p>
    <w:p w14:paraId="084E2B86" w14:textId="77777777" w:rsidR="00A5675B" w:rsidRPr="00A5675B" w:rsidRDefault="00A5675B" w:rsidP="00D67361">
      <w:pPr>
        <w:pStyle w:val="ManuSectionTitle"/>
      </w:pPr>
      <w:bookmarkStart w:id="4" w:name="_Toc162204952"/>
      <w:bookmarkStart w:id="5" w:name="_Toc162794598"/>
      <w:bookmarkStart w:id="6" w:name="_Toc174089126"/>
      <w:bookmarkStart w:id="7" w:name="_Toc178590824"/>
      <w:bookmarkEnd w:id="3"/>
      <w:r w:rsidRPr="00A5675B">
        <w:t>Introduction</w:t>
      </w:r>
      <w:bookmarkEnd w:id="4"/>
      <w:bookmarkEnd w:id="5"/>
      <w:bookmarkEnd w:id="6"/>
      <w:bookmarkEnd w:id="7"/>
    </w:p>
    <w:p w14:paraId="59F47817" w14:textId="6614D128" w:rsidR="00084C44" w:rsidRPr="00084C44" w:rsidRDefault="00084C44" w:rsidP="00D67361">
      <w:pPr>
        <w:pStyle w:val="MainText"/>
      </w:pPr>
      <w:r w:rsidRPr="00084C44">
        <w:t>Urbanization is an ever-growing concern in behavioural ecology</w:t>
      </w:r>
      <w:r>
        <w:t xml:space="preserve"> and is a driver of adaptive and non-adaptive changes in many species </w:t>
      </w:r>
      <w:r>
        <w:fldChar w:fldCharType="begin"/>
      </w:r>
      <w:r>
        <w:instrText xml:space="preserve"> ADDIN ZOTERO_ITEM CSL_CITATION {"citationID":"OQt3aUqW","properties":{"formattedCitation":"(Donihue and Lambert 2015)","plainCitation":"(Donihue and Lambert 2015)","noteIndex":0},"citationItems":[{"id":63,"uris":["http://zotero.org/users/8430992/items/QDG8RNU5"],"itemData":{"id":63,"type":"article-journal","abstract":"Urban ecologists have demonstrated that cities are functioning ecosystems. It follows then that species living in these contexts should participate in and experience the same suite of biological processes, including evolution, that have occupied scientists for centuries in more “natural” contexts. In fact, urban ecosystems with myriad novel contexts, pressures, and species rosters provide unprecedentedly potent evolutionary stimuli. Here, we present the case for studying adaptive evolution in urban settings. We then review and synthesize techniques into a coherent approach for studying adaptive evolution in urban settings that combines observations of phenotypic divergence, measurements of fitness benefits of novel genetically based phenotypes, and experimental manipulations of potential drivers of adaptation. We believe that studying evolution in urban contexts can provide insights into fundamental evolutionary biology questions on rate, direction, and repeatability of evolution, and may inform species and ecosystem service conservation efforts.","container-title":"Ambio","DOI":"10.1007/s13280-014-0547-2","ISSN":"0044-7447","issue":"3","journalAbbreviation":"Ambio","note":"PMID: 25056615\nPMCID: PMC4357625","page":"194-203","source":"PubMed Central","title":"Adaptive evolution in urban ecosystems","volume":"44","author":[{"family":"Donihue","given":"Colin M."},{"family":"Lambert","given":"Max R."}],"issued":{"date-parts":[["2015",4]]},"citation-key":"donihueAdaptiveEvolutionUrban2015"}}],"schema":"https://github.com/citation-style-language/schema/raw/master/csl-citation.json"} </w:instrText>
      </w:r>
      <w:r>
        <w:fldChar w:fldCharType="separate"/>
      </w:r>
      <w:r w:rsidRPr="00084C44">
        <w:t>(Donihue and Lambert 2015)</w:t>
      </w:r>
      <w:r>
        <w:fldChar w:fldCharType="end"/>
      </w:r>
      <w:r w:rsidRPr="00084C44">
        <w:t xml:space="preserve">. </w:t>
      </w:r>
      <w:r w:rsidR="0052550C">
        <w:t xml:space="preserve">With global urbanization increasing, </w:t>
      </w:r>
      <w:r>
        <w:t xml:space="preserve">over two-thirds of the human population is predicted to be concentrated in urban areas by 2050 </w:t>
      </w:r>
      <w:r>
        <w:fldChar w:fldCharType="begin"/>
      </w:r>
      <w:r>
        <w:instrText xml:space="preserve"> ADDIN ZOTERO_ITEM CSL_CITATION {"citationID":"UBxSiWGO","properties":{"formattedCitation":"(UN Department of Economic and Social Affairs 2018)","plainCitation":"(UN Department of Economic and Social Affairs 2018)","noteIndex":0},"citationItems":[{"id":1753,"uris":["http://zotero.org/users/8430992/items/XPQJSEGW"],"itemData":{"id":1753,"type":"webpage","container-title":"United Nations","title":"68% of the world population projected to live in urban areas by 2050, says UN","URL":"https://www.un.org/development/desa/en/news/population/2018-revision-of-world-urbanization-prospects.html","author":[{"family":"UN Department of Economic and Social Affairs","given":""}],"issued":{"date-parts":[["2018"]]},"citation-key":"undepartmentofeconomicandsocialaffairs68WorldPopulation2018"}}],"schema":"https://github.com/citation-style-language/schema/raw/master/csl-citation.json"} </w:instrText>
      </w:r>
      <w:r>
        <w:fldChar w:fldCharType="separate"/>
      </w:r>
      <w:r w:rsidRPr="00084C44">
        <w:t>(UN Department of Economic and Social Affairs 2018)</w:t>
      </w:r>
      <w:r>
        <w:fldChar w:fldCharType="end"/>
      </w:r>
      <w:r w:rsidRPr="00084C44">
        <w:t>. From enlarging existing cities to creating new ones altogether, huge swathes of natural landscapes are being converted to facilitate human occupation. This triggers several changes in the environment, including an increase in impermeable surfaces and human infrastructure</w:t>
      </w:r>
      <w:r w:rsidR="0052550C">
        <w:t>, which can severely</w:t>
      </w:r>
      <w:r w:rsidRPr="00084C44">
        <w:t xml:space="preserve"> impact</w:t>
      </w:r>
      <w:r w:rsidR="0052550C">
        <w:t xml:space="preserve"> </w:t>
      </w:r>
      <w:r w:rsidRPr="00084C44">
        <w:t xml:space="preserve">the survival and behaviour of </w:t>
      </w:r>
      <w:r w:rsidR="0052550C">
        <w:t xml:space="preserve">many native </w:t>
      </w:r>
      <w:r w:rsidRPr="00084C44">
        <w:t>species</w:t>
      </w:r>
      <w:r w:rsidR="0052550C">
        <w:t>. This has resulted in a strong association between</w:t>
      </w:r>
      <w:r w:rsidRPr="00084C44">
        <w:t xml:space="preserve"> urbanization </w:t>
      </w:r>
      <w:r w:rsidR="0052550C">
        <w:t>and the global decrease in</w:t>
      </w:r>
      <w:r w:rsidRPr="00084C44">
        <w:t xml:space="preserve"> biodiversity</w:t>
      </w:r>
      <w:r>
        <w:t xml:space="preserve"> </w:t>
      </w:r>
      <w:r w:rsidR="00912631">
        <w:fldChar w:fldCharType="begin"/>
      </w:r>
      <w:r w:rsidR="00912631">
        <w:instrText xml:space="preserve"> ADDIN ZOTERO_ITEM CSL_CITATION {"citationID":"RXUTBsdR","properties":{"formattedCitation":"(Aronson et al. 2014)","plainCitation":"(Aronson et al. 2014)","noteIndex":0},"citationItems":[{"id":665,"uris":["http://zotero.org/users/8430992/items/36DLFC7F"],"itemData":{"id":665,"type":"article-journal","abstract":"Urbanization contributes to the loss of the world's biodiversity and the homogenization of its biota. However, comparative studies of urban biodiversity leading to robust generalities of the status and drivers of biodiversity in cities at the global scale are lacking. Here, we compiled the largest global dataset to date of two diverse taxa in cities: birds (54 cities) and plants (110 cities). We found that the majority of urban bird and plant species are native in the world's cities. Few plants and birds are cosmopolitan, the most common being Columba livia and Poa annua. The density of bird and plant species (the number of species per km2) has declined substantially: only 8% of native bird and 25% of native plant species are currently present compared with estimates of non-urban density of species. The current density of species in cities and the loss in density of species was best explained by anthropogenic features (landcover, city age) rather than by non-anthropogenic factors (geography, climate, topography). As urbanization continues to expand, efforts directed towards the conservation of intact vegetation within urban landscapes could support higher concentrations of both bird and plant species. Despite declines in the density of species, cities still retain endemic native species, thus providing opportunities for regional and global biodiversity conservation, restoration and education.","container-title":"Proceedings of the Royal Society B: Biological Sciences","DOI":"10.1098/rspb.2013.3330","issue":"1780","note":"publisher: Royal Society","page":"20133330","source":"royalsocietypublishing.org (Atypon)","title":"A global analysis of the impacts of urbanization on bird and plant diversity reveals key anthropogenic drivers","volume":"281","author":[{"family":"Aronson","given":"Myla F. J."},{"family":"La Sorte","given":"Frank A."},{"family":"Nilon","given":"Charles H."},{"family":"Katti","given":"Madhusudan"},{"family":"Goddard","given":"Mark A."},{"family":"Lepczyk","given":"Christopher A."},{"family":"Warren","given":"Paige S."},{"family":"Williams","given":"Nicholas S. G."},{"family":"Cilliers","given":"Sarel"},{"family":"Clarkson","given":"Bruce"},{"family":"Dobbs","given":"Cynnamon"},{"family":"Dolan","given":"Rebecca"},{"family":"Hedblom","given":"Marcus"},{"family":"Klotz","given":"Stefan"},{"family":"Kooijmans","given":"Jip Louwe"},{"family":"Kühn","given":"Ingolf"},{"family":"MacGregor-Fors","given":"Ian"},{"family":"McDonnell","given":"Mark"},{"family":"Mörtberg","given":"Ulla"},{"family":"Pyšek","given":"Petr"},{"family":"Siebert","given":"Stefan"},{"family":"Sushinsky","given":"Jessica"},{"family":"Werner","given":"Peter"},{"family":"Winter","given":"Marten"}],"issued":{"date-parts":[["2014",4,7]]},"citation-key":"aronsonGlobalAnalysisImpacts2014"}}],"schema":"https://github.com/citation-style-language/schema/raw/master/csl-citation.json"} </w:instrText>
      </w:r>
      <w:r w:rsidR="00912631">
        <w:fldChar w:fldCharType="separate"/>
      </w:r>
      <w:r w:rsidR="00912631" w:rsidRPr="00912631">
        <w:t>(Aronson et al. 2014)</w:t>
      </w:r>
      <w:r w:rsidR="00912631">
        <w:fldChar w:fldCharType="end"/>
      </w:r>
      <w:r w:rsidRPr="00084C44">
        <w:t>.</w:t>
      </w:r>
    </w:p>
    <w:p w14:paraId="7FE32339" w14:textId="064F705D" w:rsidR="00084C44" w:rsidRDefault="00084C44" w:rsidP="00D67361">
      <w:pPr>
        <w:pStyle w:val="MainText"/>
      </w:pPr>
      <w:r w:rsidRPr="00084C44">
        <w:t>While many species are negatively affected by urbanization, some speci</w:t>
      </w:r>
      <w:r w:rsidR="00912631">
        <w:t>e</w:t>
      </w:r>
      <w:r w:rsidRPr="00084C44">
        <w:t>s can tolerate or even benefit in urban areas. Species like the American crow</w:t>
      </w:r>
      <w:r w:rsidR="00912631">
        <w:t xml:space="preserve"> </w:t>
      </w:r>
      <w:r w:rsidR="00912631" w:rsidRPr="00A5675B">
        <w:t>(</w:t>
      </w:r>
      <w:r w:rsidR="00912631" w:rsidRPr="00A5675B">
        <w:rPr>
          <w:i/>
        </w:rPr>
        <w:t>Corvus brachyrhynchos</w:t>
      </w:r>
      <w:r w:rsidR="00912631" w:rsidRPr="00A5675B">
        <w:t>)</w:t>
      </w:r>
      <w:r w:rsidRPr="00084C44">
        <w:t xml:space="preserve"> have adapted to urban </w:t>
      </w:r>
      <w:r w:rsidR="002836B8">
        <w:t xml:space="preserve">living </w:t>
      </w:r>
      <w:r w:rsidRPr="00084C44">
        <w:t>and their abundance has increased with increasing urbanization</w:t>
      </w:r>
      <w:r w:rsidR="00912631">
        <w:t xml:space="preserve"> </w:t>
      </w:r>
      <w:r w:rsidR="00912631">
        <w:fldChar w:fldCharType="begin"/>
      </w:r>
      <w:r w:rsidR="00912631">
        <w:instrText xml:space="preserve"> ADDIN ZOTERO_ITEM CSL_CITATION {"citationID":"088T498X","properties":{"formattedCitation":"(Benmazouz et al. 2021)","plainCitation":"(Benmazouz et al. 2021)","noteIndex":0},"citationItems":[{"id":226,"uris":["http://zotero.org/users/8430992/items/DSKIFSXY"],"itemData":{"id":226,"type":"article-journal","abstract":"Simple Summary\nWith regard to their high adaptability to human settlements and global distribution, corvid birds (crows, ravens, jays, etc.) are good models to understand the impacts of urbanization on wildlife. Here, we qualitatively reviewed the impacts of urbanization on corvids. At least 30 corvid species have become successfully accustomed or adapted to urbanized environments. The majority (72%, a total of 424 articles) of the studies reported positive effects of urbanization on corvids. The availability of easily accessible food and artificial nesting sites, coupled with low levels of predation, were found as the most important factors benefitting corvids in cities around the world. Studied topics ranged from population size and density, breeding biology and nesting site selection to control and management of Corvidae in cities. Despite biases in the distribution of the reviewed papers, our review attests that corvids have demonstrated high levels of adaptability to urban environments across space and time.\n\nAbstract\nUrbanization is one of the most prevalent drivers of biodiversity loss, yet few taxonomic groups are remarkably successful at adapting to urban environments. We systematically surveyed the global literature on the effects of urbanization on species of family Corvidae (crows, choughs, jackdaws, jays, magpies, nutcrackers, ravens, rooks, treepies) to assess the occurrence of corvids in urban environments and the factors affecting their success. We found a total of 424 primary research articles, and the number of articles has increased exponentially since the 1970s. Most studies were carried out in cities of Europe and North America (45.5% and 31.4%, respectively) and were directed on a single species (75.2). We found that 30 corvid species (23% of 133 total) regularly occur in urban environments. The majority (72%) of the studies reported positive effects of urbanization on corvids, with 85% of studies detecting population increases and 64% of studies detecting higher breeding success with urbanization. Of the factors proposed to explain corvids’ success (availability of nesting sites and food sources, low predation and persecution), food availability coupled with diet shifts emerged as the most important factors promoting Corvidae to live in urban settings. The breeding of corvids in urban environments was further associated with earlier nesting, similar or larger clutches, lower hatching but higher fledging success, reduced home range size and limited territoriality, increased tolerance towards humans and increasing frequency of conflicts with humans. Despite geographic and taxonomic biases in our literature sample, our review indicates that corvids show both flexibility in resource use and behavioral plasticity that enable them to exploit novel resources for nesting and feeding. Corvids can thus be urban exploiters of the large-scale modifications of ecosystems caused by urbanization.","container-title":"Animals : an Open Access Journal from MDPI","DOI":"10.3390/ani11113226","ISSN":"2076-2615","issue":"11","note":"PMID: 34827957\nPMCID: PMC8614296","page":"3226","source":"PubMed Central","title":"Corvids in urban environments: a systematic global literature review","title-short":"Corvids in Urban Environments","volume":"11","author":[{"family":"Benmazouz","given":"Isma"},{"family":"Jokimäki","given":"Jukka"},{"family":"Lengyel","given":"Szabolcs"},{"family":"Juhász","given":"Lajos"},{"family":"Kaisanlahti-Jokimäki","given":"Marja-Liisa"},{"family":"Kardos","given":"Gábor"},{"family":"Paládi","given":"Petra"},{"family":"Kövér","given":"László"}],"issued":{"date-parts":[["2021",11,11]]},"citation-key":"benmazouzCorvidsUrbanEnvironments2021"}}],"schema":"https://github.com/citation-style-language/schema/raw/master/csl-citation.json"} </w:instrText>
      </w:r>
      <w:r w:rsidR="00912631">
        <w:fldChar w:fldCharType="separate"/>
      </w:r>
      <w:r w:rsidR="00912631" w:rsidRPr="00912631">
        <w:t>(Benmazouz et al. 2021)</w:t>
      </w:r>
      <w:r w:rsidR="00912631">
        <w:fldChar w:fldCharType="end"/>
      </w:r>
      <w:r w:rsidRPr="00084C44">
        <w:t xml:space="preserve">. </w:t>
      </w:r>
      <w:r w:rsidR="00912631">
        <w:t xml:space="preserve">Understanding how urban specialists </w:t>
      </w:r>
      <w:r w:rsidR="002836B8">
        <w:t>like the</w:t>
      </w:r>
      <w:r w:rsidR="00912631">
        <w:t xml:space="preserve"> American crow have adapted </w:t>
      </w:r>
      <w:r w:rsidRPr="00084C44">
        <w:t>is a</w:t>
      </w:r>
      <w:r w:rsidR="002836B8">
        <w:t xml:space="preserve">n increasingly important </w:t>
      </w:r>
      <w:r w:rsidRPr="00084C44">
        <w:t>field of</w:t>
      </w:r>
      <w:r w:rsidR="00912631">
        <w:t xml:space="preserve"> research</w:t>
      </w:r>
      <w:r w:rsidRPr="00084C44">
        <w:t xml:space="preserve">. </w:t>
      </w:r>
      <w:r w:rsidR="00912631" w:rsidRPr="00A5675B">
        <w:t>Behavioural adaptations have allowed the</w:t>
      </w:r>
      <w:r w:rsidR="00912631">
        <w:t>se species</w:t>
      </w:r>
      <w:r w:rsidR="00912631" w:rsidRPr="00A5675B">
        <w:t xml:space="preserve"> to use anthropogenic resources and deal with the challenges of urban living </w:t>
      </w:r>
      <w:r w:rsidR="00912631" w:rsidRPr="00A5675B">
        <w:fldChar w:fldCharType="begin"/>
      </w:r>
      <w:r w:rsidR="00912631">
        <w:instrText xml:space="preserve"> ADDIN ZOTERO_ITEM CSL_CITATION {"citationID":"r5GnZKga","properties":{"formattedCitation":"(Lowry et al. 2013; Isaksson 2018)","plainCitation":"(Lowry et al. 2013; Isaksson 2018)","noteIndex":0},"citationItems":[{"id":268,"uris":["http://zotero.org/users/8430992/items/U83EWWCW"],"itemData":{"id":268,"type":"chapter","abstract":"Urban habitats and landscapes are markedly different from nonurban “natural” habitats. The major difference is the transformation of the land, from natural green areas to anthropogenic structures and impervious surfaces. To survive in the urban habitat, birds are forced to either accept or avoid the new conditions. In addition, the urban sprawl has led to a highly fragmented landscape, with islets of suitable bird habitat surrounded by highways and buildings that frequently act as barriers, even for mobile creatures such as birds. These altered conditions have changed the avifauna dramatically, with many species vanishing once an area is urbanized, thus resulting in a significant loss of local biodiversity. However, some species seem to thrive in the city, and these urban-dwelling species often show pronounced phenotypic differences (e.g., in behavior, physiology, and morphology) to their rural conspecifics. These phenotypic changes have been linked to specific urban selective drivers such as air pollution, artificial light at night, noise, different kinds of food, different predation pressures, and human disturbances. However, these drivers are often confounded, and it is hard to separate one urban factor as the main driver for the differentiation. Although the urban habitat is a large threat to biodiversity, it is also an exciting environment for studies of population divergence, evolutionary responses, and ultimately speciation in real time.","collection-title":"Fascinating Life Sciences","container-title":"Bird Species: How They Arise, Modify and Vanish","event-place":"Cham","ISBN":"978-3-319-91689-7","language":"en","note":"DOI: 10.1007/978-3-319-91689-7_13","page":"235-257","publisher":"Springer International Publishing","publisher-place":"Cham","source":"Springer Link","title":"Impact of urbanization on birds","URL":"https://doi.org/10.1007/978-3-319-91689-7_13","author":[{"family":"Isaksson","given":"Caroline"}],"editor":[{"family":"Tietze","given":"Dieter Thomas"}],"accessed":{"date-parts":[["2022",1,10]]},"issued":{"date-parts":[["2018"]]},"citation-key":"isakssonImpactUrbanizationBirds2018"}},{"id":16,"uris":["http://zotero.org/users/8430992/items/WS7GWY5C"],"itemData":{"id":16,"type":"article-journal","abstract":"Increased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 of the Cambridge Philosophical Society","DOI":"10.1111/brv.12012","ISSN":"1464-7931","issue":"3","language":"eng","note":"publisher-place: Oxford, UK\npublisher: Blackwell Publishing Ltd","page":"537–549","source":"ocul-bu.primo.exlibrisgroup.com","title":"Behavioural responses of wildlife to urban environments","volume":"88","author":[{"family":"Lowry","given":"Hélène"},{"family":"Lill","given":"Alan"},{"family":"Wong","given":"Bob B. M."}],"issued":{"date-parts":[["2013"]]},"citation-key":"lowryBehaviouralResponsesWildlife2013"}}],"schema":"https://github.com/citation-style-language/schema/raw/master/csl-citation.json"} </w:instrText>
      </w:r>
      <w:r w:rsidR="00912631" w:rsidRPr="00A5675B">
        <w:fldChar w:fldCharType="separate"/>
      </w:r>
      <w:r w:rsidR="00912631" w:rsidRPr="00F0528E">
        <w:t xml:space="preserve">(Lowry et al. 2013; </w:t>
      </w:r>
      <w:r w:rsidR="00912631" w:rsidRPr="00F0528E">
        <w:lastRenderedPageBreak/>
        <w:t>Isaksson 2018)</w:t>
      </w:r>
      <w:r w:rsidR="00912631" w:rsidRPr="00A5675B">
        <w:fldChar w:fldCharType="end"/>
      </w:r>
      <w:r w:rsidR="00912631" w:rsidRPr="00A5675B">
        <w:t xml:space="preserve">. </w:t>
      </w:r>
      <w:r w:rsidRPr="00084C44">
        <w:t>Behavioural adaptations can include changes in foraging behaviour, such as preference for anthropogenic foods or foraging on sources of human refuse such as garbage</w:t>
      </w:r>
      <w:r w:rsidR="00912631">
        <w:t xml:space="preserve"> cans</w:t>
      </w:r>
      <w:r w:rsidRPr="00084C44">
        <w:t xml:space="preserve"> and </w:t>
      </w:r>
      <w:r w:rsidR="00912631" w:rsidRPr="00084C44">
        <w:t>dumpsters</w:t>
      </w:r>
      <w:r w:rsidRPr="00084C44">
        <w:t>. Adaptations of vigilance behaviours are also recorded, such as increased tolerance to human proximity and vehicular disturbances</w:t>
      </w:r>
      <w:r w:rsidR="00D67361">
        <w:t xml:space="preserve"> </w:t>
      </w:r>
      <w:r w:rsidR="00D67361">
        <w:fldChar w:fldCharType="begin"/>
      </w:r>
      <w:r w:rsidR="00D67361">
        <w:instrText xml:space="preserve"> ADDIN ZOTERO_ITEM CSL_CITATION {"citationID":"PIO0YZYk","properties":{"formattedCitation":"(Mukherjee et al. 2013; Isaksson 2018)","plainCitation":"(Mukherjee et al. 2013; Isaksson 2018)","noteIndex":0},"citationItems":[{"id":1788,"uris":["http://zotero.org/users/8430992/items/KUKT9VKG"],"itemData":{"id":1788,"type":"article-journal","abstract":"A carrion feeder attempting to forage on a road benefits greatly from an appropriate response to vehicular traffic. In this observational study, we tested the ability of American Crows (Corvus brachyrhynchos) to judge the behaviour of fast-moving vehicles and avoid collision on a narrow road. Unsurprisingly, American Crows feeding in the same lane as the approaching vehicle always flew off, but interestingly, a significant proportion of American Crows in the opposite lane chose to remain on the road. In addition, 21% of the American Crows in the same lane as the approaching vehicle walked over to the opposite lane to avoid injury, but none of the American Crows in the opposite lane walked over to the lane in which the vehicle was approaching. These are among the first quantitative data indicating that a non-human animal can detect the directionality of oncoming vehicles on a road and, like humans, actively move out of the way or switch lanes to avoid death based on an understanding of the bahaviour of vehicular traffic.","container-title":"The Canadian Field-Naturalist","DOI":"10.22621/cfn.v127i3.1488","ISSN":"0008-3550","issue":"3","journalAbbreviation":"Can Field Nat","page":"229","source":"Semantic Scholar","title":"Behaviour of American Crows (Corvus brachyrhynchos) when encountering an oncoming vehicle","volume":"127","author":[{"family":"Mukherjee","given":"Shomen"},{"family":"Ray-Mukherjee","given":"Jayanti"},{"family":"Sarabia","given":"Robin"}],"issued":{"date-parts":[["2013",12,3]]},"citation-key":"mukherjeeBehaviourAmericanCrows2013"}},{"id":268,"uris":["http://zotero.org/users/8430992/items/U83EWWCW"],"itemData":{"id":268,"type":"chapter","abstract":"Urban habitats and landscapes are markedly different from nonurban “natural” habitats. The major difference is the transformation of the land, from natural green areas to anthropogenic structures and impervious surfaces. To survive in the urban habitat, birds are forced to either accept or avoid the new conditions. In addition, the urban sprawl has led to a highly fragmented landscape, with islets of suitable bird habitat surrounded by highways and buildings that frequently act as barriers, even for mobile creatures such as birds. These altered conditions have changed the avifauna dramatically, with many species vanishing once an area is urbanized, thus resulting in a significant loss of local biodiversity. However, some species seem to thrive in the city, and these urban-dwelling species often show pronounced phenotypic differences (e.g., in behavior, physiology, and morphology) to their rural conspecifics. These phenotypic changes have been linked to specific urban selective drivers such as air pollution, artificial light at night, noise, different kinds of food, different predation pressures, and human disturbances. However, these drivers are often confounded, and it is hard to separate one urban factor as the main driver for the differentiation. Although the urban habitat is a large threat to biodiversity, it is also an exciting environment for studies of population divergence, evolutionary responses, and ultimately speciation in real time.","collection-title":"Fascinating Life Sciences","container-title":"Bird Species: How They Arise, Modify and Vanish","event-place":"Cham","ISBN":"978-3-319-91689-7","language":"en","note":"DOI: 10.1007/978-3-319-91689-7_13","page":"235-257","publisher":"Springer International Publishing","publisher-place":"Cham","source":"Springer Link","title":"Impact of urbanization on birds","URL":"https://doi.org/10.1007/978-3-319-91689-7_13","author":[{"family":"Isaksson","given":"Caroline"}],"editor":[{"family":"Tietze","given":"Dieter Thomas"}],"accessed":{"date-parts":[["2022",1,10]]},"issued":{"date-parts":[["2018"]]},"citation-key":"isakssonImpactUrbanizationBirds2018"}}],"schema":"https://github.com/citation-style-language/schema/raw/master/csl-citation.json"} </w:instrText>
      </w:r>
      <w:r w:rsidR="00D67361">
        <w:fldChar w:fldCharType="separate"/>
      </w:r>
      <w:r w:rsidR="00D67361" w:rsidRPr="00D67361">
        <w:t>(Mukherjee et al. 2013; Isaksson 2018)</w:t>
      </w:r>
      <w:r w:rsidR="00D67361">
        <w:fldChar w:fldCharType="end"/>
      </w:r>
      <w:r w:rsidRPr="00084C44">
        <w:t>.</w:t>
      </w:r>
    </w:p>
    <w:p w14:paraId="416BC314" w14:textId="0DA2B03E" w:rsidR="00912631" w:rsidRPr="00912631" w:rsidRDefault="00912631" w:rsidP="00D67361">
      <w:pPr>
        <w:pStyle w:val="MainText"/>
      </w:pPr>
      <w:r>
        <w:t xml:space="preserve">A </w:t>
      </w:r>
      <w:r w:rsidR="002836B8">
        <w:t>common challenge in studying urban animal behaviour is the tendency to generalize comparisons between</w:t>
      </w:r>
      <w:r w:rsidRPr="00912631">
        <w:t xml:space="preserve"> "urban" and "non-urban" populations, with </w:t>
      </w:r>
      <w:r>
        <w:t>few or no con</w:t>
      </w:r>
      <w:r w:rsidRPr="00912631">
        <w:t xml:space="preserve">sideration given to </w:t>
      </w:r>
      <w:r w:rsidR="002836B8">
        <w:t>the diverse environments within urban areas</w:t>
      </w:r>
      <w:commentRangeStart w:id="8"/>
      <w:r>
        <w:t>.</w:t>
      </w:r>
      <w:commentRangeEnd w:id="8"/>
      <w:r w:rsidR="0049789F">
        <w:rPr>
          <w:rStyle w:val="CommentReference"/>
          <w:rFonts w:cs="Arial"/>
          <w:iCs w:val="0"/>
        </w:rPr>
        <w:commentReference w:id="8"/>
      </w:r>
      <w:r>
        <w:t xml:space="preserve"> </w:t>
      </w:r>
      <w:r w:rsidR="002836B8">
        <w:t>Urban landscapes are not homogeneous</w:t>
      </w:r>
      <w:r w:rsidRPr="00912631">
        <w:t xml:space="preserve">, and cities have many different micro-environments of varying levels of urbanization. The many parks and green spaces in St. Catharines, Ontario, differ greatly from its commercial areas. These two examples, commercial and green areas, stand on two ends of the urbanization spectrum, and demonstrate sharp differences between areas within a city. </w:t>
      </w:r>
    </w:p>
    <w:p w14:paraId="292E410D" w14:textId="5E27B174" w:rsidR="00084C44" w:rsidRDefault="00912631" w:rsidP="00D67361">
      <w:pPr>
        <w:pStyle w:val="MainText"/>
      </w:pPr>
      <w:r w:rsidRPr="00912631">
        <w:t>Green areas are typically quieter and greener areas in a city, where the increased presence of trees and wider patches of grass and vegetation offers urban species a comparatively more natural area to forage in. These spaces will have longer lines of sight, fewer and different types of disturbances, as well as a greater presence of more natural foods such as seeds and invertebrates. On the other hand, commercial areas are more disturbed and will have a greater presence of vehicles than in green spaces. Louder ambient noise levels, more impermeable surfaces and shorter lines of sight also characterize these environments. Finally, commercial areas can have an increased presence of human food sources such as litter and garbage and will harbor fewer natural food sources to forage on.</w:t>
      </w:r>
    </w:p>
    <w:p w14:paraId="3EC3EC14" w14:textId="77777777" w:rsidR="006C5B1E" w:rsidRDefault="006C5B1E" w:rsidP="00D67361">
      <w:pPr>
        <w:pStyle w:val="MainText"/>
      </w:pPr>
      <w:r>
        <w:t xml:space="preserve">The many differences between these two environments can have considerable effects on how species behave within them. For example, communication in commercial areas can be disrupted by the higher ambient noise levels </w:t>
      </w:r>
      <w:r>
        <w:fldChar w:fldCharType="begin"/>
      </w:r>
      <w:r>
        <w:instrText xml:space="preserve"> ADDIN ZOTERO_ITEM CSL_CITATION {"citationID":"pTcPavMz","properties":{"formattedCitation":"(Kern and Radford 2016)","plainCitation":"(Kern and Radford 2016)","noteIndex":0},"citationItems":[{"id":1763,"uris":["http://zotero.org/users/8430992/items/HIRBGBBW"],"itemData":{"id":1763,"type":"article-journal","abstract":"Anthropogenic noise is rapidly becoming a universal environmental feature. While the impacts of such additional noise on avian sexual signals are well documented, our understanding of its effect in other terrestrial taxa, on other vocalisations, and on receivers is more limited. Little is known, for example, about the influence of anthropogenic noise on responses to vocalisations relating to predation risk, despite the potential fitness consequences. We use playback experiments to investigate the impact of traffic noise on the responses of foraging dwarf mongooses (Helogale parvula) to surveillance calls produced by sentinels, individuals scanning for danger from a raised position whose presence usually results in reduced vigilance by foragers. Foragers exhibited a lessened response to surveillance calls in traffic-noise compared to ambient-sound playback, increasing personal vigilance. A second playback experiment, using noise playbacks without surveillance calls, suggests that the increased vigilance could arise in part from the direct influence of additional noise as there was an increase in response to traffic-noise playback alone. Acoustic masking could also play a role. Foragers maintained the ability to distinguish between sentinels of different dominance class, increasing personal vigilance when presented with subordinate surveillance calls compared to calls of a dominant groupmate in both noise treatments, suggesting complete masking was not occurring. However, an acoustic-transmission experiment showed that while surveillance calls were potentially audible during approaching traffic noise, they were probably inaudible during peak traffic intensity noise. While recent work has demonstrated detrimental effects of anthropogenic noise on defensive responses to actual predatory attacks, which are relatively rare, our results provide evidence of a potentially more widespread influence since animals should constantly assess background risk to optimise the foraging-vigilance trade-off.","container-title":"Environmental Pollution","DOI":"10.1016/j.envpol.2016.08.049","ISSN":"1873-6424","journalAbbreviation":"Environ Pollut","language":"eng","note":"PMID: 27595178","page":"988-995","source":"PubMed","title":"Anthropogenic noise disrupts use of vocal information about predation risk","volume":"218","author":[{"family":"Kern","given":"Julie M."},{"family":"Radford","given":"Andrew N."}],"issued":{"date-parts":[["2016",11]]},"citation-key":"kernAnthropogenicNoiseDisrupts2016"}}],"schema":"https://github.com/citation-style-language/schema/raw/master/csl-citation.json"} </w:instrText>
      </w:r>
      <w:r>
        <w:fldChar w:fldCharType="separate"/>
      </w:r>
      <w:r w:rsidRPr="006C5B1E">
        <w:t>(Kern and Radford 2016)</w:t>
      </w:r>
      <w:r>
        <w:fldChar w:fldCharType="end"/>
      </w:r>
      <w:r>
        <w:t xml:space="preserve">, whereas this effect is lesser in the </w:t>
      </w:r>
      <w:r>
        <w:lastRenderedPageBreak/>
        <w:t xml:space="preserve">comparatively quieter green areas. This can have great effects on how species engage in social vigilance behaviours such as sentinel behaviour, where the effective and early communication of threats is paramount to the behaviour being advantageous. Sentinel behaviour </w:t>
      </w:r>
      <w:r w:rsidRPr="006C5B1E">
        <w:t xml:space="preserve">is a coordinated social behaviour where an individual is constantly vigilant to monitor threats while others forage </w:t>
      </w:r>
      <w:r w:rsidRPr="006C5B1E">
        <w:fldChar w:fldCharType="begin"/>
      </w:r>
      <w:r w:rsidRPr="006C5B1E">
        <w:instrText xml:space="preserve"> ADDIN ZOTERO_ITEM CSL_CITATION {"citationID":"trswNukK","properties":{"formattedCitation":"(Bednekoff 2015)","plainCitation":"(Bednekoff 2015)","noteIndex":0},"citationItems":[{"id":239,"uris":["http://zotero.org/users/8430992/items/S3J3SQSD"],"itemData":{"id":239,"type":"chapter","container-title":"Advances in the Study of Behavior","ISBN":"978-0-12-802276-4","language":"en","note":"DOI: 10.1016/bs.asb.2015.02.001","page":"115-145","publisher":"Elsevier","source":"DOI.org (Crossref)","title":"Sentinel behavior: a review and prospectus","title-short":"Sentinel Behavior","URL":"https://linkinghub.elsevier.com/retrieve/pii/S0065345415000030","volume":"47","author":[{"family":"Bednekoff","given":"Peter A."}],"accessed":{"date-parts":[["2022",1,9]]},"issued":{"date-parts":[["2015"]]},"citation-key":"bednekoffSentinelBehaviorReview2015"}}],"schema":"https://github.com/citation-style-language/schema/raw/master/csl-citation.json"} </w:instrText>
      </w:r>
      <w:r w:rsidRPr="006C5B1E">
        <w:fldChar w:fldCharType="separate"/>
      </w:r>
      <w:r w:rsidRPr="006C5B1E">
        <w:t>(Bednekoff 2015)</w:t>
      </w:r>
      <w:r w:rsidRPr="006C5B1E">
        <w:fldChar w:fldCharType="end"/>
      </w:r>
      <w:r>
        <w:t>, and can be observed in many species including the American crow</w:t>
      </w:r>
      <w:r w:rsidRPr="006C5B1E">
        <w:t>.</w:t>
      </w:r>
      <w:r>
        <w:t xml:space="preserve"> </w:t>
      </w:r>
      <w:r w:rsidR="00712D7C" w:rsidRPr="00A5675B">
        <w:t>Sentinel</w:t>
      </w:r>
      <w:r w:rsidR="00712D7C">
        <w:t xml:space="preserve"> crows can often be seen perched in </w:t>
      </w:r>
      <w:r w:rsidR="00712D7C" w:rsidRPr="00A5675B">
        <w:t xml:space="preserve">prominent, exposed positions to </w:t>
      </w:r>
      <w:r w:rsidR="00712D7C">
        <w:t>monitor threats</w:t>
      </w:r>
      <w:r w:rsidR="00F0528E">
        <w:t>, and make alarm calls to alert the group if dangers are detected</w:t>
      </w:r>
      <w:r w:rsidR="00712D7C">
        <w:t>. Foragers under the vigilance of the sentinel benefit from the sentinel’s coverage, resulting in an increase in biomass intake without increasing the risk of injury or mortality</w:t>
      </w:r>
      <w:r w:rsidR="00F0528E">
        <w:t xml:space="preserve"> </w:t>
      </w:r>
      <w:r w:rsidR="00F0528E">
        <w:fldChar w:fldCharType="begin"/>
      </w:r>
      <w:r w:rsidR="00F0528E">
        <w:instrText xml:space="preserve"> ADDIN ZOTERO_ITEM CSL_CITATION {"citationID":"TSMQ8ezY","properties":{"formattedCitation":"(Holl\\uc0\\u233{}n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N."}],"issued":{"date-parts":[["2008",4,22]]},"citation-key":"hollenCooperativeSentinelCalling2008"}}],"schema":"https://github.com/citation-style-language/schema/raw/master/csl-citation.json"} </w:instrText>
      </w:r>
      <w:r w:rsidR="00F0528E">
        <w:fldChar w:fldCharType="separate"/>
      </w:r>
      <w:r w:rsidR="00F0528E" w:rsidRPr="00F0528E">
        <w:t>(Hollén et al. 2008)</w:t>
      </w:r>
      <w:r w:rsidR="00F0528E">
        <w:fldChar w:fldCharType="end"/>
      </w:r>
      <w:r w:rsidR="00F0528E">
        <w:t xml:space="preserve">. </w:t>
      </w:r>
    </w:p>
    <w:p w14:paraId="4AC020CA" w14:textId="2427CEBD" w:rsidR="006C5B1E" w:rsidRDefault="006C5B1E" w:rsidP="00D67361">
      <w:pPr>
        <w:pStyle w:val="MainText"/>
      </w:pPr>
      <w:r>
        <w:t xml:space="preserve">In green areas, the longer lines of sight and </w:t>
      </w:r>
      <w:r w:rsidR="00807FEE">
        <w:t>lower ambient levels could make the behaviour more effective and increase forager reliance on the sentinel. Foraging for natural food items obscured within patches of vegetation is expected to take longer than foraging for human foods on impermeable surfaces.</w:t>
      </w:r>
      <w:r w:rsidR="00807FEE" w:rsidRPr="00807FEE">
        <w:t xml:space="preserve"> </w:t>
      </w:r>
      <w:r w:rsidR="00807FEE" w:rsidRPr="00A5675B">
        <w:t>The presence of urban predators such as the red-tailed hawk (</w:t>
      </w:r>
      <w:r w:rsidR="00807FEE" w:rsidRPr="00A5675B">
        <w:rPr>
          <w:i/>
        </w:rPr>
        <w:t>Buteo jamaicensis</w:t>
      </w:r>
      <w:r w:rsidR="00807FEE" w:rsidRPr="00A5675B">
        <w:t xml:space="preserve">) could </w:t>
      </w:r>
      <w:r w:rsidR="00807FEE">
        <w:t xml:space="preserve">also </w:t>
      </w:r>
      <w:r w:rsidR="00807FEE" w:rsidRPr="00A5675B">
        <w:t xml:space="preserve">increase the risk of predation </w:t>
      </w:r>
      <w:r w:rsidR="00807FEE" w:rsidRPr="00A5675B">
        <w:fldChar w:fldCharType="begin"/>
      </w:r>
      <w:r w:rsidR="00807FEE">
        <w:instrText xml:space="preserve"> ADDIN ZOTERO_ITEM CSL_CITATION {"citationID":"C3ttknQ2","properties":{"formattedCitation":"(Morrison et al. 2016)","plainCitation":"(Morrison et al. 2016)","noteIndex":0},"citationItems":[{"id":1786,"uris":["http://zotero.org/users/8430992/items/I7ZMZB27"],"itemData":{"id":1786,"type":"article-journal","abstract":"Raptors increasingly live and nest successfully in urban areas. In the urban landscape of Hartford, CT, red-tailed hawks established home ranges in large green spaces such as parks, golf courses, and cemeteries but also nested successfully in the commercial district of downtown and in densely built urban and suburban neighborhoods. Data collected from 11 radio-tagged breeding adult hawks indicated that year-round home ranges averaged 107.7 ha, much smaller than home ranges reported for hawks inhabiting rural areas. Most hawk home ranges had multiple core areas that were usually associated with favored perches or larger patches of ‘usable’ green space, defined as patches ≥0.25 ha in size, and home range size was positively associated with larger usable green space patches in core areas. Most nests were located in the largest core area and were within a larger patch of green space within the largest core area. Rather than just the amount or size of green space patches, the value of urban green spaces for these hawks likely also varies with the number and proximity of suitable perches such as buildings or tall trees, types and density of prey, and amount of human activity in and adjacent to these spaces. Territoriality and intraspecific competition may also influence home range size and dispersion of red-tailed hawks nesting in Hartford. In this urban area, mortality due to ingestion of rodenticides and collisions with vehicles affected hawk reproductive success.","container-title":"Urban Ecosystems","DOI":"10.1007/s11252-016-0554-0","ISSN":"1083-8155, 1573-1642","issue":"3","journalAbbreviation":"Urban Ecosyst","language":"en","page":"1373-1388","source":"Semantic Scholar","title":"Spatial distribution and the value of green spaces for urban red-tailed hawks","volume":"19","author":[{"family":"Morrison","given":"Joan L."},{"family":"Gottlieb","given":"Isabel G. W."},{"family":"Pias","given":"Kyle E."}],"issued":{"date-parts":[["2016",9]]},"citation-key":"morrisonSpatialDistributionValue2016"}}],"schema":"https://github.com/citation-style-language/schema/raw/master/csl-citation.json"} </w:instrText>
      </w:r>
      <w:r w:rsidR="00807FEE" w:rsidRPr="00A5675B">
        <w:fldChar w:fldCharType="separate"/>
      </w:r>
      <w:r w:rsidR="00807FEE" w:rsidRPr="00A5675B">
        <w:t>(Morrison et al. 2016)</w:t>
      </w:r>
      <w:r w:rsidR="00807FEE" w:rsidRPr="00A5675B">
        <w:fldChar w:fldCharType="end"/>
      </w:r>
      <w:r w:rsidR="00807FEE" w:rsidRPr="00A5675B">
        <w:t xml:space="preserve">, increasing </w:t>
      </w:r>
      <w:r w:rsidR="00807FEE">
        <w:t xml:space="preserve">forager reliance on the </w:t>
      </w:r>
      <w:r w:rsidR="00807FEE" w:rsidRPr="00A5675B">
        <w:t xml:space="preserve">sentinel </w:t>
      </w:r>
      <w:r w:rsidR="00807FEE" w:rsidRPr="00A5675B">
        <w:fldChar w:fldCharType="begin"/>
      </w:r>
      <w:r w:rsidR="00807FEE">
        <w:instrText xml:space="preserve"> ADDIN ZOTERO_ITEM CSL_CITATION {"citationID":"KpI3biMf","properties":{"formattedCitation":"(Ridley et al. 2010)","plainCitation":"(Ridley et al. 2010)","noteIndex":0},"citationItems":[{"id":1723,"uris":["http://zotero.org/users/8430992/items/KTHT7AKH"],"itemData":{"id":1723,"type":"article-journal","abstract":"Sentinels are a conspicuous feature of some cooperative societies and are often assumed to provide benefits in terms of increased predator detection. Similar to other cooperative behaviours, variation in investment in sentinel behaviour should reflect variation in the benefits of such behaviour. However, evidence for this is inconclusive: to date experiments have manipulated the cost of sentinel behaviour, and considerations of changes in the benefits of sentinel activity on investment patterns are lacking. Here, we experimentally manipulated the benefits of sentinel behaviour in the cooperatively breeding pied babbler (Turdoides bicolor) to assess whether this had any impact on sentinel activity. We simulated the presence of an unseen predator using playbacks of heterospecific alarm calls, and the presence of an actual predator using a model snake. In both cases, the increase in perceived predation risk caused an increase in sentinel activity, demonstrating that investment in sentinel activity increases when the benefits are greater.","container-title":"Biology Letters","DOI":"10.1098/rsbl.2010.0023","issue":"4","note":"publisher: Royal Society","page":"445-448","source":"royalsocietypublishing.org (Atypon)","title":"Experimental evidence that sentinel behaviour is affected by risk","volume":"6","author":[{"family":"Ridley","given":"A. R."},{"family":"Raihani","given":"N. J."},{"family":"Bell","given":"M. B. V."}],"issued":{"date-parts":[["2010",2,24]]},"citation-key":"ridleyExperimentalEvidenceThat2010"}}],"schema":"https://github.com/citation-style-language/schema/raw/master/csl-citation.json"} </w:instrText>
      </w:r>
      <w:r w:rsidR="00807FEE" w:rsidRPr="00A5675B">
        <w:fldChar w:fldCharType="separate"/>
      </w:r>
      <w:r w:rsidR="00807FEE" w:rsidRPr="00A5675B">
        <w:t>(Ridley et al. 2010)</w:t>
      </w:r>
      <w:r w:rsidR="00807FEE" w:rsidRPr="00A5675B">
        <w:fldChar w:fldCharType="end"/>
      </w:r>
      <w:r w:rsidR="00807FEE">
        <w:t>. In contrast, commercial areas are louder and more disturbed could see individuals rely less on the sentinel and adopt a more vigilance-oriented foraging strategy</w:t>
      </w:r>
      <w:r w:rsidR="0049789F">
        <w:t xml:space="preserve"> </w:t>
      </w:r>
      <w:r w:rsidR="0049789F">
        <w:fldChar w:fldCharType="begin"/>
      </w:r>
      <w:r w:rsidR="0049789F">
        <w:instrText xml:space="preserve"> ADDIN ZOTERO_ITEM CSL_CITATION {"citationID":"pTcPavMz","properties":{"formattedCitation":"(Kern and Radford 2016)","plainCitation":"(Kern and Radford 2016)","noteIndex":0},"citationItems":[{"id":1763,"uris":["http://zotero.org/users/8430992/items/HIRBGBBW"],"itemData":{"id":1763,"type":"article-journal","abstract":"Anthropogenic noise is rapidly becoming a universal environmental feature. While the impacts of such additional noise on avian sexual signals are well documented, our understanding of its effect in other terrestrial taxa, on other vocalisations, and on receivers is more limited. Little is known, for example, about the influence of anthropogenic noise on responses to vocalisations relating to predation risk, despite the potential fitness consequences. We use playback experiments to investigate the impact of traffic noise on the responses of foraging dwarf mongooses (Helogale parvula) to surveillance calls produced by sentinels, individuals scanning for danger from a raised position whose presence usually results in reduced vigilance by foragers. Foragers exhibited a lessened response to surveillance calls in traffic-noise compared to ambient-sound playback, increasing personal vigilance. A second playback experiment, using noise playbacks without surveillance calls, suggests that the increased vigilance could arise in part from the direct influence of additional noise as there was an increase in response to traffic-noise playback alone. Acoustic masking could also play a role. Foragers maintained the ability to distinguish between sentinels of different dominance class, increasing personal vigilance when presented with subordinate surveillance calls compared to calls of a dominant groupmate in both noise treatments, suggesting complete masking was not occurring. However, an acoustic-transmission experiment showed that while surveillance calls were potentially audible during approaching traffic noise, they were probably inaudible during peak traffic intensity noise. While recent work has demonstrated detrimental effects of anthropogenic noise on defensive responses to actual predatory attacks, which are relatively rare, our results provide evidence of a potentially more widespread influence since animals should constantly assess background risk to optimise the foraging-vigilance trade-off.","container-title":"Environmental Pollution","DOI":"10.1016/j.envpol.2016.08.049","ISSN":"1873-6424","journalAbbreviation":"Environ Pollut","language":"eng","note":"PMID: 27595178","page":"988-995","source":"PubMed","title":"Anthropogenic noise disrupts use of vocal information about predation risk","volume":"218","author":[{"family":"Kern","given":"Julie M."},{"family":"Radford","given":"Andrew N."}],"issued":{"date-parts":[["2016",11]]},"citation-key":"kernAnthropogenicNoiseDisrupts2016"}}],"schema":"https://github.com/citation-style-language/schema/raw/master/csl-citation.json"} </w:instrText>
      </w:r>
      <w:r w:rsidR="0049789F">
        <w:fldChar w:fldCharType="separate"/>
      </w:r>
      <w:r w:rsidR="0049789F" w:rsidRPr="006C5B1E">
        <w:t>(Kern and Radford 2016)</w:t>
      </w:r>
      <w:r w:rsidR="0049789F">
        <w:fldChar w:fldCharType="end"/>
      </w:r>
      <w:r w:rsidR="00807FEE">
        <w:t xml:space="preserve">. </w:t>
      </w:r>
      <w:r w:rsidR="00807FEE" w:rsidRPr="00A5675B">
        <w:t xml:space="preserve">The increased availability and predictability of anthropogenic food sources that are usually concentrated (e.g. trash cans, litter) can </w:t>
      </w:r>
      <w:r w:rsidR="00807FEE">
        <w:t xml:space="preserve">also </w:t>
      </w:r>
      <w:r w:rsidR="00807FEE" w:rsidRPr="00A5675B">
        <w:t xml:space="preserve">lead to changes in foraging strategy </w:t>
      </w:r>
      <w:r w:rsidR="00807FEE" w:rsidRPr="00A5675B">
        <w:fldChar w:fldCharType="begin"/>
      </w:r>
      <w:r w:rsidR="00807FEE">
        <w:instrText xml:space="preserve"> ADDIN ZOTERO_ITEM CSL_CITATION {"citationID":"ltoMJwYR","properties":{"formattedCitation":"(Lowry et al. 2013)","plainCitation":"(Lowry et al. 2013)","noteIndex":0},"citationItems":[{"id":16,"uris":["http://zotero.org/users/8430992/items/WS7GWY5C"],"itemData":{"id":16,"type":"article-journal","abstract":"Increased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 of the Cambridge Philosophical Society","DOI":"10.1111/brv.12012","ISSN":"1464-7931","issue":"3","language":"eng","note":"publisher-place: Oxford, UK\npublisher: Blackwell Publishing Ltd","page":"537–549","source":"ocul-bu.primo.exlibrisgroup.com","title":"Behavioural responses of wildlife to urban environments","volume":"88","author":[{"family":"Lowry","given":"Hélène"},{"family":"Lill","given":"Alan"},{"family":"Wong","given":"Bob B. M."}],"issued":{"date-parts":[["2013"]]},"citation-key":"lowryBehaviouralResponsesWildlife2013"}}],"schema":"https://github.com/citation-style-language/schema/raw/master/csl-citation.json"} </w:instrText>
      </w:r>
      <w:r w:rsidR="00807FEE" w:rsidRPr="00A5675B">
        <w:fldChar w:fldCharType="separate"/>
      </w:r>
      <w:r w:rsidR="00807FEE" w:rsidRPr="00A5675B">
        <w:t>(Lowry et al. 2013)</w:t>
      </w:r>
      <w:r w:rsidR="00807FEE" w:rsidRPr="00A5675B">
        <w:fldChar w:fldCharType="end"/>
      </w:r>
      <w:r w:rsidR="00807FEE" w:rsidRPr="00A5675B">
        <w:t xml:space="preserve">, a reduction in resource competition </w:t>
      </w:r>
      <w:r w:rsidR="00807FEE" w:rsidRPr="00A5675B">
        <w:fldChar w:fldCharType="begin"/>
      </w:r>
      <w:r w:rsidR="00807FEE">
        <w:instrText xml:space="preserve"> ADDIN ZOTERO_ITEM CSL_CITATION {"citationID":"KRdESr5q","properties":{"formattedCitation":"(\\uc0\\u321{}opucki et al. 2021)","plainCitation":"(Łopucki et al. 2021)","noteIndex":0},"citationItems":[{"id":1802,"uris":["http://zotero.org/users/8430992/items/UBYQ2YKE"],"itemData":{"id":1802,"type":"article-journal","abstract":"Behavioral traits play a major role in successful adaptation of wildlife to urban conditions. However, there are few studies showing how urban conditions affect the social behavior of urban animals during their direct encounters. It is generally believed that the higher density of urban populations translates into increased aggression between individuals. In this paper, using a camera-trap method, we compared the character of direct encounters in urban and non-urban populations of the striped field mouse Apodemus agrarius (Pallas, 1771), a species known as an urban adapter. We confirmed the thesis that urbanization affects the social behavior and urban and rural populations differ from each other. Urban animals are less likely to avoid close contact with each other and are more likely to show tolerant behavior. They also have a lower tendency towards monopolization of food resources. The behavior of urban animals varies depending on the time of day: in the daytime, animals are more vigilant and less tolerant than at night. Our results indicate that, in the case of the species studied, behavioral adaptation to urban life is based on increasing tolerance rather than aggression in social relations. However, the studied urban adapter retains the high plasticity of social behavior revealed even in the circadian cycle. The observation that tolerance rather than aggression may predominate in urban populations is a new finding, while most studies suggest an increase in aggression in urban animals. This opens an avenue for formulating new hypotheses regarding the social behavior of urban adapters.","container-title":"Mammalian Biology","DOI":"10.1007/s42991-020-00075-1","ISSN":"1618-1476","issue":"1","journalAbbreviation":"Mamm Biol","language":"en","page":"1-10","source":"Springer Link","title":"Changes in the social behavior of urban animals: more aggression or tolerance?","title-short":"Changes in the social behavior of urban animals","volume":"101","author":[{"family":"Łopucki","given":"Rafał"},{"family":"Klich","given":"Daniel"},{"family":"Kiersztyn","given":"Adam"}],"issued":{"date-parts":[["2021",2,1]]},"citation-key":"lopuckiChangesSocialBehavior2021"}}],"schema":"https://github.com/citation-style-language/schema/raw/master/csl-citation.json"} </w:instrText>
      </w:r>
      <w:r w:rsidR="00807FEE" w:rsidRPr="00A5675B">
        <w:fldChar w:fldCharType="separate"/>
      </w:r>
      <w:r w:rsidR="00807FEE" w:rsidRPr="00A5675B">
        <w:t>(Łopucki et al. 2021)</w:t>
      </w:r>
      <w:r w:rsidR="00807FEE" w:rsidRPr="00A5675B">
        <w:fldChar w:fldCharType="end"/>
      </w:r>
      <w:r w:rsidR="00807FEE" w:rsidRPr="00A5675B">
        <w:t xml:space="preserve">, and high energetic levels in urban individuals </w:t>
      </w:r>
      <w:r w:rsidR="00807FEE" w:rsidRPr="00A5675B">
        <w:fldChar w:fldCharType="begin"/>
      </w:r>
      <w:r w:rsidR="00807FEE">
        <w:instrText xml:space="preserve"> ADDIN ZOTERO_ITEM CSL_CITATION {"citationID":"O18hthWw","properties":{"formattedCitation":"(Auman et al. 2008)","plainCitation":"(Auman et al. 2008)","noteIndex":0},"citationItems":[{"id":1807,"uris":["http://zotero.org/users/8430992/items/KJGXSHIL"],"itemData":{"id":1807,"type":"article-journal","abstract":"Abstract Urban populations of several gull species worldwide are increasing dramatically and this is often assumed to be a result of greater access to anthropogenic food obtained in urbanized environments. This research investigated the potential effects of an anthropogenic diet on the mass and body condition of Silver Gulls (Larus novaehollandiae) by comparing birds at a remote, non-urbanized site (Furneaux Island Group) with those at an urbanized (Hobart) site in Tasmania, Australia. The mass, size and body condition of gulls were independent of whether or not a bird was breeding, and independent of the stage in the breeding cycle. Male gulls from this urban environment were heavier and of greater body condition than the structurally identical, non-urban gulls, but no differences were detected between females.","container-title":"Waterbirds","language":"en","note":"ISSN: 1524-4695, 1938-5390\nissue: 1\njournalAbbreviation: Waterbirds","page":"122-126","source":"Semantic Scholar","title":"Supersize me: does anthropogenic food change the body condition of silver gulls? A comparison between urbanized and remote, non-urbanized areas","title-short":"Supersize me","volume":"31","author":[{"family":"Auman","given":"Heidi J."},{"family":"Meathrel","given":"Catherine E."},{"family":"Richardson","given":"Alastair"}],"issued":{"date-parts":[["2008",3]]},"citation-key":"auman2008"}}],"schema":"https://github.com/citation-style-language/schema/raw/master/csl-citation.json"} </w:instrText>
      </w:r>
      <w:r w:rsidR="00807FEE" w:rsidRPr="00A5675B">
        <w:fldChar w:fldCharType="separate"/>
      </w:r>
      <w:r w:rsidR="00807FEE" w:rsidRPr="00A5675B">
        <w:t>(Auman et al. 2008)</w:t>
      </w:r>
      <w:r w:rsidR="00807FEE" w:rsidRPr="00A5675B">
        <w:fldChar w:fldCharType="end"/>
      </w:r>
      <w:r w:rsidR="00807FEE" w:rsidRPr="00A5675B">
        <w:t>.</w:t>
      </w:r>
    </w:p>
    <w:p w14:paraId="23FA7791" w14:textId="60DB99D1" w:rsidR="00A5675B" w:rsidRDefault="00A5675B" w:rsidP="00D67361">
      <w:pPr>
        <w:pStyle w:val="MainText"/>
      </w:pPr>
      <w:r w:rsidRPr="00A5675B">
        <w:t xml:space="preserve">The multitude of ways urbanization can affect social behaviours reinforces the need for further research on urbanized social species. Despite the growing interest in urban wildlife ecology, studies on the adaptation of social behaviours to urban living are limited. Sentinel behaviour is a </w:t>
      </w:r>
      <w:r w:rsidRPr="00A5675B">
        <w:lastRenderedPageBreak/>
        <w:t>complex social adaptation that can have far-reaching effects on group dynamics and foraging efficiency. By examining the effects of sentinel presence and generalized environment, we seek to gain insights into how adaptive social behaviours contribute to the success of this species in urban environments. With these findings, we could be able to determine how other social species capable of sentinel behaviour could respond to urbanization. In this study, we aimed to determine the effects of sentinel presence and the environment on the social foraging behaviour of urban American crows. We hypothesized that the presence of a sentinel and the foraging environment would affect the reliance of foragers on the sentinel, thereby affecting their alert and foraging behaviour of crows. We predicted in urban green spaces where the longer lines of sight and decreased ambient noise would increase the sentinel’s effectiveness, and crows would show decreased individual vigilance and increased reliance on the sentinel’s vigilance, leading to more efficient foraging compared to crows in commercial areas. In contrast, we predicted that crows foraging in commercial areas where the environment is highly variable and frequently disturbed, crows would have increased reliance on individual vigilance, with longer bouts of alert behaviour, and shorter bouts of foraging behaviour, resulting in decreased foraging efficiency.</w:t>
      </w:r>
      <w:bookmarkStart w:id="9" w:name="_Toc162204957"/>
      <w:bookmarkStart w:id="10" w:name="_Toc162794602"/>
    </w:p>
    <w:p w14:paraId="2F4799BF" w14:textId="77777777" w:rsidR="0074547E" w:rsidRDefault="00D67361" w:rsidP="00D67361">
      <w:pPr>
        <w:pStyle w:val="MainText"/>
        <w:sectPr w:rsidR="0074547E" w:rsidSect="00A5675B">
          <w:headerReference w:type="default" r:id="rId12"/>
          <w:type w:val="continuous"/>
          <w:pgSz w:w="12240" w:h="15840"/>
          <w:pgMar w:top="1440" w:right="1440" w:bottom="1440" w:left="1440" w:header="720" w:footer="720" w:gutter="0"/>
          <w:lnNumType w:countBy="1" w:restart="continuous"/>
          <w:cols w:space="720"/>
        </w:sectPr>
      </w:pPr>
      <w:r w:rsidRPr="00A5675B">
        <w:t>Studying the behaviour of American crows in urban environments is therefore crucial for several reasons. Understanding how crows can alter their individual and social behaviours to better forage in urban landscapes can contribute to our understanding of urban adaptation of wildlife. By examining how crows respond to urban challenges such as increased ambient noise, impermeable surfaces, and increased frequency of disturbances, we can better comprehend how animals perceive their environment. Lastly, by studying changes in their social behaviours, we can better discern the contribution of social adaptation to the success of urbanized social species.</w:t>
      </w:r>
    </w:p>
    <w:p w14:paraId="5AC9B164" w14:textId="77777777" w:rsidR="00A5675B" w:rsidRPr="00A5675B" w:rsidRDefault="00A5675B" w:rsidP="0074547E">
      <w:pPr>
        <w:pStyle w:val="ManuSectionTitle"/>
      </w:pPr>
      <w:bookmarkStart w:id="11" w:name="_Toc174089127"/>
      <w:bookmarkStart w:id="12" w:name="_Toc178590825"/>
      <w:r w:rsidRPr="0074547E">
        <w:lastRenderedPageBreak/>
        <w:t>Methods</w:t>
      </w:r>
      <w:bookmarkEnd w:id="9"/>
      <w:bookmarkEnd w:id="10"/>
      <w:bookmarkEnd w:id="11"/>
      <w:bookmarkEnd w:id="12"/>
    </w:p>
    <w:p w14:paraId="06A7409E" w14:textId="77777777" w:rsidR="00A5675B" w:rsidRPr="00A5675B" w:rsidRDefault="00A5675B" w:rsidP="0074547E">
      <w:pPr>
        <w:pStyle w:val="ManuSectionSubtitle"/>
      </w:pPr>
      <w:bookmarkStart w:id="13" w:name="_Toc162204958"/>
      <w:bookmarkStart w:id="14" w:name="_Toc162794603"/>
      <w:bookmarkStart w:id="15" w:name="_Toc174089128"/>
      <w:bookmarkStart w:id="16" w:name="_Toc178590826"/>
      <w:r w:rsidRPr="00A5675B">
        <w:t>Site Selection</w:t>
      </w:r>
      <w:bookmarkEnd w:id="13"/>
      <w:bookmarkEnd w:id="14"/>
      <w:bookmarkEnd w:id="15"/>
      <w:bookmarkEnd w:id="16"/>
    </w:p>
    <w:p w14:paraId="5966A777" w14:textId="4220B78C" w:rsidR="00A5675B" w:rsidRPr="00A5675B" w:rsidRDefault="00A5675B" w:rsidP="0074547E">
      <w:pPr>
        <w:pStyle w:val="MainText"/>
        <w:spacing w:before="0"/>
        <w:sectPr w:rsidR="00A5675B" w:rsidRPr="00A5675B" w:rsidSect="0074547E">
          <w:headerReference w:type="default" r:id="rId13"/>
          <w:pgSz w:w="12240" w:h="15840"/>
          <w:pgMar w:top="1440" w:right="1440" w:bottom="1440" w:left="1440" w:header="720" w:footer="720" w:gutter="0"/>
          <w:lnNumType w:countBy="1" w:restart="continuous"/>
          <w:cols w:space="720"/>
        </w:sectPr>
      </w:pPr>
      <w:r w:rsidRPr="00A5675B">
        <w:t xml:space="preserve">To find areas in which crows aggregate, we launched a community science initiative in the greater St. Catharines and Niagara region called </w:t>
      </w:r>
      <w:proofErr w:type="spellStart"/>
      <w:r w:rsidRPr="00A5675B">
        <w:t>Crowkemon</w:t>
      </w:r>
      <w:proofErr w:type="spellEnd"/>
      <w:r w:rsidRPr="00A5675B">
        <w:t xml:space="preserve"> Go (www.crowkemon.weebly.com) in spring 2022. Community members were invited to report the location of crow sightings to identify areas with a high likelihood of crow occurrences. In total, the community recorded 221 crow sightings using </w:t>
      </w:r>
      <w:proofErr w:type="spellStart"/>
      <w:r w:rsidRPr="00A5675B">
        <w:t>Crowkemon</w:t>
      </w:r>
      <w:proofErr w:type="spellEnd"/>
      <w:r w:rsidRPr="00A5675B">
        <w:t xml:space="preserve"> Go between January and May 2022. From April-May 2022, we visited potential observation sites and baited them with whole peanuts to attract crows and reinforce an association with food at these locations. We limited data collection to the summer months (June-September 2022). One site was sampled repeatedly (Fairview Park, 43°10'57.4"N 79°14'44.9"W; </w:t>
      </w:r>
      <w:r w:rsidRPr="00A5675B">
        <w:rPr>
          <w:b/>
          <w:bCs/>
        </w:rPr>
        <w:fldChar w:fldCharType="begin"/>
      </w:r>
      <w:r w:rsidRPr="00A5675B">
        <w:rPr>
          <w:b/>
          <w:bCs/>
        </w:rPr>
        <w:instrText xml:space="preserve"> REF _Ref151135363 \h  \* MERGEFORMAT </w:instrText>
      </w:r>
      <w:r w:rsidRPr="00A5675B">
        <w:rPr>
          <w:b/>
          <w:bCs/>
        </w:rPr>
      </w:r>
      <w:r w:rsidRPr="00A5675B">
        <w:rPr>
          <w:b/>
          <w:bCs/>
        </w:rPr>
        <w:fldChar w:fldCharType="separate"/>
      </w:r>
      <w:r w:rsidRPr="00A5675B">
        <w:t>Figure 1</w:t>
      </w:r>
      <w:r w:rsidRPr="00A5675B">
        <w:rPr>
          <w:b/>
          <w:bCs/>
        </w:rPr>
        <w:fldChar w:fldCharType="end"/>
      </w:r>
      <w:r w:rsidRPr="00A5675B">
        <w:t>). We also visited areas with many crow sightings for opportunistic sampling, as the presence of crows was not guaranteed at other potential recurrent sampling locations (</w:t>
      </w:r>
      <w:fldSimple w:instr=" REF _Ref151135363  \* MERGEFORMAT ">
        <w:r w:rsidRPr="00A5675B">
          <w:t>Figure 1</w:t>
        </w:r>
      </w:fldSimple>
      <w:r w:rsidRPr="00A5675B">
        <w:t>). Some opportunistic sampling locations were visited more than once or could be in proximity to previous sampling locations.</w:t>
      </w:r>
    </w:p>
    <w:p w14:paraId="523377AA" w14:textId="77777777" w:rsidR="00A5675B" w:rsidRPr="00A5675B" w:rsidRDefault="00A5675B" w:rsidP="00A5675B">
      <w:pPr>
        <w:spacing w:after="240" w:line="480" w:lineRule="auto"/>
        <w:jc w:val="center"/>
        <w:rPr>
          <w:rFonts w:cs="Times New Roman"/>
          <w:iCs/>
          <w:szCs w:val="24"/>
        </w:rPr>
      </w:pPr>
      <w:commentRangeStart w:id="17"/>
      <w:r w:rsidRPr="00A5675B">
        <w:rPr>
          <w:rFonts w:cs="Times New Roman"/>
          <w:iCs/>
          <w:noProof/>
          <w:szCs w:val="24"/>
        </w:rPr>
        <w:lastRenderedPageBreak/>
        <w:drawing>
          <wp:inline distT="0" distB="0" distL="0" distR="0" wp14:anchorId="2E7D0356" wp14:editId="7AD5BC62">
            <wp:extent cx="5429250" cy="3878782"/>
            <wp:effectExtent l="0" t="0" r="0" b="7620"/>
            <wp:docPr id="1425759971" name="Picture 1" descr="A map with black and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971" name="Picture 1" descr="A map with black and yellow dots&#10;&#10;Description automatically generated"/>
                    <pic:cNvPicPr/>
                  </pic:nvPicPr>
                  <pic:blipFill>
                    <a:blip r:embed="rId14"/>
                    <a:stretch>
                      <a:fillRect/>
                    </a:stretch>
                  </pic:blipFill>
                  <pic:spPr>
                    <a:xfrm>
                      <a:off x="0" y="0"/>
                      <a:ext cx="5501247" cy="3930219"/>
                    </a:xfrm>
                    <a:prstGeom prst="rect">
                      <a:avLst/>
                    </a:prstGeom>
                  </pic:spPr>
                </pic:pic>
              </a:graphicData>
            </a:graphic>
          </wp:inline>
        </w:drawing>
      </w:r>
      <w:commentRangeEnd w:id="17"/>
      <w:r w:rsidR="0049789F">
        <w:rPr>
          <w:rStyle w:val="CommentReference"/>
        </w:rPr>
        <w:commentReference w:id="17"/>
      </w:r>
    </w:p>
    <w:p w14:paraId="11CF27AD" w14:textId="7E9A3BD0" w:rsidR="00807FEE" w:rsidRDefault="00A5675B" w:rsidP="00807FEE">
      <w:pPr>
        <w:spacing w:line="480" w:lineRule="auto"/>
        <w:rPr>
          <w:rFonts w:cs="Times New Roman"/>
          <w:iCs/>
          <w:szCs w:val="24"/>
        </w:rPr>
      </w:pPr>
      <w:bookmarkStart w:id="18" w:name="_Ref151135363"/>
      <w:bookmarkStart w:id="19" w:name="_Toc174089078"/>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1</w:t>
      </w:r>
      <w:r w:rsidRPr="00A5675B">
        <w:rPr>
          <w:rFonts w:cs="Times New Roman"/>
          <w:b/>
          <w:bCs/>
          <w:szCs w:val="24"/>
        </w:rPr>
        <w:fldChar w:fldCharType="end"/>
      </w:r>
      <w:bookmarkEnd w:id="18"/>
      <w:r w:rsidRPr="00A5675B">
        <w:rPr>
          <w:rFonts w:cs="Times New Roman"/>
          <w:b/>
          <w:bCs/>
          <w:szCs w:val="24"/>
        </w:rPr>
        <w:t>:</w:t>
      </w:r>
      <w:r w:rsidRPr="00A5675B">
        <w:rPr>
          <w:rFonts w:cs="Times New Roman"/>
          <w:iCs/>
          <w:szCs w:val="24"/>
        </w:rPr>
        <w:t xml:space="preserve"> Map of observations from </w:t>
      </w:r>
      <w:proofErr w:type="spellStart"/>
      <w:r w:rsidRPr="00A5675B">
        <w:rPr>
          <w:rFonts w:cs="Times New Roman"/>
          <w:iCs/>
          <w:szCs w:val="24"/>
        </w:rPr>
        <w:t>Crowkemon</w:t>
      </w:r>
      <w:proofErr w:type="spellEnd"/>
      <w:r w:rsidRPr="00A5675B">
        <w:rPr>
          <w:rFonts w:cs="Times New Roman"/>
          <w:iCs/>
          <w:szCs w:val="24"/>
        </w:rPr>
        <w:t xml:space="preserve"> Go and sampling locations.</w:t>
      </w:r>
      <w:bookmarkEnd w:id="19"/>
    </w:p>
    <w:p w14:paraId="5C5E974E" w14:textId="77777777" w:rsidR="0074547E" w:rsidRDefault="00A5675B" w:rsidP="0074547E">
      <w:pPr>
        <w:spacing w:line="480" w:lineRule="auto"/>
        <w:rPr>
          <w:rFonts w:cs="Times New Roman"/>
          <w:iCs/>
          <w:szCs w:val="24"/>
        </w:rPr>
      </w:pPr>
      <w:r w:rsidRPr="00A5675B">
        <w:rPr>
          <w:rFonts w:cs="Times New Roman"/>
          <w:iCs/>
          <w:szCs w:val="24"/>
        </w:rPr>
        <w:t xml:space="preserve">The black dots represent observations collected from </w:t>
      </w:r>
      <w:proofErr w:type="spellStart"/>
      <w:r w:rsidRPr="00A5675B">
        <w:rPr>
          <w:rFonts w:cs="Times New Roman"/>
          <w:iCs/>
          <w:szCs w:val="24"/>
        </w:rPr>
        <w:t>Crowkemon</w:t>
      </w:r>
      <w:proofErr w:type="spellEnd"/>
      <w:r w:rsidRPr="00A5675B">
        <w:rPr>
          <w:rFonts w:cs="Times New Roman"/>
          <w:iCs/>
          <w:szCs w:val="24"/>
        </w:rPr>
        <w:t xml:space="preserve"> Go, and the circular icons are sampling locations. The single recurrent site used is in green. Opportunistic sampling sites are in yellow. The focal area was limited to the St. Catharines &amp; Niagara region. This map was created using Google My Map</w:t>
      </w:r>
      <w:r w:rsidR="0074547E">
        <w:rPr>
          <w:rFonts w:cs="Times New Roman"/>
          <w:iCs/>
          <w:szCs w:val="24"/>
        </w:rPr>
        <w:t>s.</w:t>
      </w:r>
      <w:bookmarkStart w:id="20" w:name="_Toc162204959"/>
      <w:bookmarkStart w:id="21" w:name="_Toc162794604"/>
      <w:bookmarkStart w:id="22" w:name="_Toc174089129"/>
      <w:bookmarkStart w:id="23" w:name="_Toc178590827"/>
    </w:p>
    <w:p w14:paraId="1B153A1C" w14:textId="77777777" w:rsidR="0074547E" w:rsidRDefault="0074547E" w:rsidP="0074547E">
      <w:pPr>
        <w:spacing w:line="480" w:lineRule="auto"/>
        <w:rPr>
          <w:rFonts w:cs="Times New Roman"/>
        </w:rPr>
        <w:sectPr w:rsidR="0074547E" w:rsidSect="00A5675B">
          <w:headerReference w:type="default" r:id="rId15"/>
          <w:type w:val="continuous"/>
          <w:pgSz w:w="12240" w:h="15840"/>
          <w:pgMar w:top="1440" w:right="1440" w:bottom="1440" w:left="1440" w:header="720" w:footer="720" w:gutter="0"/>
          <w:lnNumType w:countBy="1" w:restart="continuous"/>
          <w:cols w:space="720"/>
          <w:docGrid w:linePitch="299"/>
        </w:sectPr>
      </w:pPr>
    </w:p>
    <w:p w14:paraId="3B21CE0C" w14:textId="4BC1942E" w:rsidR="00A5675B" w:rsidRPr="0074547E" w:rsidRDefault="00A5675B" w:rsidP="0074547E">
      <w:pPr>
        <w:pStyle w:val="ManuSectionSubtitle"/>
      </w:pPr>
      <w:r w:rsidRPr="0074547E">
        <w:lastRenderedPageBreak/>
        <w:t>Field observation</w:t>
      </w:r>
      <w:bookmarkEnd w:id="20"/>
      <w:bookmarkEnd w:id="21"/>
      <w:r w:rsidRPr="0074547E">
        <w:t>s</w:t>
      </w:r>
      <w:bookmarkEnd w:id="22"/>
      <w:bookmarkEnd w:id="23"/>
    </w:p>
    <w:p w14:paraId="1AEA6439" w14:textId="77777777" w:rsidR="00A5675B" w:rsidRPr="00A5675B" w:rsidRDefault="00A5675B" w:rsidP="0074547E">
      <w:pPr>
        <w:pStyle w:val="MainText"/>
        <w:spacing w:before="0"/>
      </w:pPr>
      <w:r w:rsidRPr="00A5675B">
        <w:t xml:space="preserve">Data collection was performed during the 2-3 hours following sunrise (approx. 6-9 am EDT). No sampling was performed when it was raining or during adverse weather (e.g., thunderstorms or heatwave). Upon arriving at the recurrent sampling location, a Nikon D5300 camera with a 70-300mm Nikkor lens was set up on a tripod at a minimum of 15m away from a concrete pad (predetermined bait location). If crows were already foraging in the area, we would begin recording immediately and not bait the site because approaching could cause them to abandon the site. If the crows were not foraging (e.g. perched nearby), an observer approached and visibly dropped 30g of Cheez-Its. If crows were on-site, recording would start immediately, whereas if the crows were absent, a crow-caller would be used for 20 minutes (one 5 seconds call per minute, 5 mins on, 5 mins off for 20 minutes or until crows appeared) to attract them. We began recording when crows arrived and recorded up to a maximum of 20 minutes. The recording was stopped if the crows vacated the area for longer than 5 minutes and we remained in the area for 10 minutes post-departure in case the crows returned. If the crows returned within 5 minutes, we would resume the recording. For opportunistic sampling, we looked for crows using </w:t>
      </w:r>
      <w:proofErr w:type="spellStart"/>
      <w:r w:rsidRPr="00A5675B">
        <w:t>Crowkemon</w:t>
      </w:r>
      <w:proofErr w:type="spellEnd"/>
      <w:r w:rsidRPr="00A5675B">
        <w:t xml:space="preserve"> Go as a guide. If we found crows that were already foraging, we would set up in the same manner as for recurrent sampling and did not bait the site. Conversely, if the crows were not already foraging, we would bait the site as we did for recurrent sampling.</w:t>
      </w:r>
    </w:p>
    <w:p w14:paraId="2D13AB96" w14:textId="05249800" w:rsidR="00A5675B" w:rsidRPr="00A5675B" w:rsidRDefault="00A5675B" w:rsidP="0074547E">
      <w:pPr>
        <w:pStyle w:val="MainText"/>
        <w:spacing w:before="0"/>
      </w:pPr>
      <w:r w:rsidRPr="00A5675B">
        <w:t xml:space="preserve">The presence of a sentinel, a group-member perched away from the foragers, was announced verbally by the observer during the recording. For each location, we classified the type of environment using St. Catharines municipal zoning maps, later generalized as either “commercial” or “green”. Disturbance frequency was calculated by dividing the number of disturbances by the duration of the recording. We identified disturbances as anything passing </w:t>
      </w:r>
      <w:r w:rsidRPr="00A5675B">
        <w:lastRenderedPageBreak/>
        <w:t>within 5m of the</w:t>
      </w:r>
      <w:bookmarkStart w:id="24" w:name="_Toc162204960"/>
      <w:bookmarkStart w:id="25" w:name="_Toc162794605"/>
      <w:r w:rsidRPr="00A5675B">
        <w:t xml:space="preserve"> crows’ foraging area, including vehicles, pedestrians, and domestic and wild animals. The group size was binned into two categories: small (</w:t>
      </w:r>
      <m:oMath>
        <m:r>
          <w:rPr>
            <w:rFonts w:ascii="Cambria Math" w:hAnsi="Cambria Math"/>
          </w:rPr>
          <m:t>≤</m:t>
        </m:r>
      </m:oMath>
      <w:r w:rsidRPr="00A5675B">
        <w:t>4) and large (</w:t>
      </w:r>
      <m:oMath>
        <m:r>
          <w:rPr>
            <w:rFonts w:ascii="Cambria Math" w:hAnsi="Cambria Math"/>
          </w:rPr>
          <m:t>&gt;</m:t>
        </m:r>
      </m:oMath>
      <w:r w:rsidRPr="00A5675B">
        <w:t>4).</w:t>
      </w:r>
    </w:p>
    <w:p w14:paraId="66AA5AE7" w14:textId="77777777" w:rsidR="00A5675B" w:rsidRPr="00A5675B" w:rsidRDefault="00A5675B" w:rsidP="0074547E">
      <w:pPr>
        <w:pStyle w:val="ManuSectionSubtitle"/>
      </w:pPr>
      <w:bookmarkStart w:id="26" w:name="_Toc174089130"/>
      <w:bookmarkStart w:id="27" w:name="_Toc178590828"/>
      <w:r w:rsidRPr="00A5675B">
        <w:t>Video Analysis</w:t>
      </w:r>
      <w:bookmarkEnd w:id="24"/>
      <w:bookmarkEnd w:id="25"/>
      <w:bookmarkEnd w:id="26"/>
      <w:bookmarkEnd w:id="27"/>
    </w:p>
    <w:p w14:paraId="306E3FB6" w14:textId="0ED4A4E1" w:rsidR="00A5675B" w:rsidRPr="00A5675B" w:rsidRDefault="00A5675B" w:rsidP="0074547E">
      <w:pPr>
        <w:pStyle w:val="MainText"/>
      </w:pPr>
      <w:r w:rsidRPr="00A5675B">
        <w:t xml:space="preserve">For video analyses, we used the Behavioral Observation Research Interactive Software (BORIS v.8.9.4) </w:t>
      </w:r>
      <w:r w:rsidRPr="00A5675B">
        <w:fldChar w:fldCharType="begin"/>
      </w:r>
      <w:r w:rsidR="00F0528E">
        <w:instrText xml:space="preserve"> ADDIN ZOTERO_ITEM CSL_CITATION {"citationID":"n2iakx8T","properties":{"formattedCitation":"(Friard and Gamba 2016)","plainCitation":"(Friard and Gamba 2016)","noteIndex":0},"citationItems":[{"id":776,"uris":["http://zotero.org/users/8430992/items/357P2497"],"itemData":{"id":776,"type":"article-journal","abstract":"Quantitative aspects of the study of animal and human behaviour are increasingly relevant to test hypotheses and find empirical support for them. At the same time, photo and video cameras can store a large number of video recordings and are often used to monitor the subjects remotely. Researchers frequently face the need to code considerable quantities of video recordings with relatively flexible software, often constrained by species-specific options or exact settings. BORIS is a free, open-source and multiplatform standalone program that allows a user-specific coding environment to be set for a computer-based review of previously recorded videos or live observations. Being open to user-specific settings, the program allows a project-based ethogram to be defined that can then be shared with collaborators, or can be imported or modified. Projects created in BORIS can include a list of observations, and each observation may include one or two videos (e.g. simultaneous screening of visual stimuli and the subject being tested; recordings from different sides of an aquarium). Once the user has set an ethogram, including state or point events or both, coding can be performed using previously assigned keys on the computer keyboard. BORIS allows definition of an unlimited number of events (states/point events) and subjects. Once the coding process is completed, the program can extract a time-budget or single or grouped observations automatically and present an at-a-glance summary of the main behavioural features. The observation data and time-budget analysis can be exported in many common formats (TSV, CSV, ODF, XLS, SQL and JSON). The observed events can be plotted and exported in various graphic formats (SVG, PNG, JPG, TIFF, EPS and PDF).","container-title":"Methods in Ecology and Evolution","DOI":"10.1111/2041-210X.12584","ISSN":"2041-210X","issue":"11","language":"en","note":"_eprint: https://onlinelibrary.wiley.com/doi/pdf/10.1111/2041-210X.12584","page":"1325-1330","source":"Wiley Online Library","title":"BORIS: a free, versatile open-source event-logging software for video/audio coding and live observations","title-short":"Boris","volume":"7","author":[{"family":"Friard","given":"Olivier"},{"family":"Gamba","given":"Marco"}],"issued":{"date-parts":[["2016"]]},"citation-key":"friardBORISFreeVersatile2016"}}],"schema":"https://github.com/citation-style-language/schema/raw/master/csl-citation.json"} </w:instrText>
      </w:r>
      <w:r w:rsidRPr="00A5675B">
        <w:fldChar w:fldCharType="separate"/>
      </w:r>
      <w:r w:rsidRPr="00A5675B">
        <w:t>(Friard and Gamba 2016)</w:t>
      </w:r>
      <w:r w:rsidRPr="00A5675B">
        <w:fldChar w:fldCharType="end"/>
      </w:r>
      <w:r w:rsidRPr="00A5675B">
        <w:t xml:space="preserve">. We recorded </w:t>
      </w:r>
      <w:proofErr w:type="gramStart"/>
      <w:r w:rsidRPr="00A5675B">
        <w:t>each individual</w:t>
      </w:r>
      <w:proofErr w:type="gramEnd"/>
      <w:r w:rsidRPr="00A5675B">
        <w:t xml:space="preserve"> in frame separately, and we classified and individual’s behaviours as either “foraging” or “alert”. “Alert” behaviour was defined as an upright posture where the individual is scanning their surroundings, and “foraging” was when the individual was looking downward, either pecking at or looking for food on the ground. We recorded the duration of bouts (i.e. each instance) of each behaviour longer than 0.01 seconds. Movement behaviour was noted, but, since not all bouts of movement were filmed in their entirety, “moving” behaviour was excluded from these analyses. We then calculated the proportion of time spent performing each behaviour. An individual could have two observations if sentinel presence changed, as bouts were recorded separately for whether a sentinel was present or not.</w:t>
      </w:r>
    </w:p>
    <w:p w14:paraId="597CC228" w14:textId="77777777" w:rsidR="00A5675B" w:rsidRPr="00A5675B" w:rsidRDefault="00A5675B" w:rsidP="0074547E">
      <w:pPr>
        <w:pStyle w:val="ManuSectionSubtitle"/>
      </w:pPr>
      <w:bookmarkStart w:id="28" w:name="_Toc162204961"/>
      <w:bookmarkStart w:id="29" w:name="_Toc162794606"/>
      <w:bookmarkStart w:id="30" w:name="_Toc174089131"/>
      <w:bookmarkStart w:id="31" w:name="_Toc178590829"/>
      <w:r w:rsidRPr="00A5675B">
        <w:t>Statistical Analysis</w:t>
      </w:r>
      <w:bookmarkEnd w:id="28"/>
      <w:bookmarkEnd w:id="29"/>
      <w:bookmarkEnd w:id="30"/>
      <w:bookmarkEnd w:id="31"/>
    </w:p>
    <w:p w14:paraId="223167CD" w14:textId="77A874B8" w:rsidR="00A5675B" w:rsidRPr="00A5675B" w:rsidRDefault="00A5675B" w:rsidP="0074547E">
      <w:pPr>
        <w:pStyle w:val="MainText"/>
      </w:pPr>
      <w:r w:rsidRPr="00A5675B">
        <w:t xml:space="preserve">All statistical analyses were performed in the R environment (v.4.2.2; </w:t>
      </w:r>
      <w:r w:rsidRPr="00A5675B">
        <w:fldChar w:fldCharType="begin"/>
      </w:r>
      <w:r w:rsidR="00F0528E">
        <w:instrText xml:space="preserve"> ADDIN ZOTERO_ITEM CSL_CITATION {"citationID":"SkUCfrPr","properties":{"formattedCitation":"(R Core Team, 2022)","plainCitation":"(R Core Team, 2022)","dontUpdate":true,"noteIndex":0},"citationItems":[{"id":772,"uris":["http://zotero.org/users/8430992/items/RLHZHFTZ"],"itemData":{"id":772,"type":"software","event-place":"Vienna, Austria","publisher":"R Foundation for Statistical Computing","publisher-place":"Vienna, Austria","title":"R: the R project for statistical computing","URL":"https://www.r-project.org/","version":"4.3.0","author":[{"family":"R Core Team","given":""}],"issued":{"date-parts":[["2022"]]},"citation-key":"rcoreteamProjectStatisticalComputing2022"}}],"schema":"https://github.com/citation-style-language/schema/raw/master/csl-citation.json"} </w:instrText>
      </w:r>
      <w:r w:rsidRPr="00A5675B">
        <w:fldChar w:fldCharType="separate"/>
      </w:r>
      <w:r w:rsidRPr="00A5675B">
        <w:t>R Core Team, 2022)</w:t>
      </w:r>
      <w:r w:rsidRPr="00A5675B">
        <w:fldChar w:fldCharType="end"/>
      </w:r>
      <w:r w:rsidRPr="00A5675B">
        <w:t>. We first ran separate chi-squared tests to determine if the generalized environment, the group size, or the disturbance frequency affected the likelihood of sentinel presence. To determine the effects of generalized environment and sentinel presence on the proportion of time allocated to each behaviour (alert or foraging), we used the “</w:t>
      </w:r>
      <w:proofErr w:type="spellStart"/>
      <w:proofErr w:type="gramStart"/>
      <w:r w:rsidRPr="00A5675B">
        <w:t>lm</w:t>
      </w:r>
      <w:proofErr w:type="spellEnd"/>
      <w:r w:rsidRPr="00A5675B">
        <w:t>(</w:t>
      </w:r>
      <w:proofErr w:type="gramEnd"/>
      <w:r w:rsidRPr="00A5675B">
        <w:t>)” function to fit separate linear models using behaviour type, sentinel presence, and generalized environment as predictors.</w:t>
      </w:r>
    </w:p>
    <w:p w14:paraId="1392A9FA" w14:textId="77777777" w:rsidR="0074547E" w:rsidRDefault="00A5675B" w:rsidP="0074547E">
      <w:pPr>
        <w:pStyle w:val="MainText"/>
        <w:sectPr w:rsidR="0074547E" w:rsidSect="0074547E">
          <w:pgSz w:w="12240" w:h="15840"/>
          <w:pgMar w:top="1440" w:right="1440" w:bottom="1440" w:left="1440" w:header="720" w:footer="720" w:gutter="0"/>
          <w:lnNumType w:countBy="1" w:restart="continuous"/>
          <w:cols w:space="720"/>
          <w:docGrid w:linePitch="299"/>
        </w:sectPr>
      </w:pPr>
      <w:r w:rsidRPr="00A5675B">
        <w:lastRenderedPageBreak/>
        <w:t>To determine the effects of generalized environment and the presence of a sentinel on the duration of bouts of all behaviours, we used the “</w:t>
      </w:r>
      <w:proofErr w:type="spellStart"/>
      <w:r w:rsidRPr="00A5675B">
        <w:t>rlmer</w:t>
      </w:r>
      <w:proofErr w:type="spellEnd"/>
      <w:r w:rsidRPr="00A5675B">
        <w:t>()” function from the “</w:t>
      </w:r>
      <w:proofErr w:type="spellStart"/>
      <w:r w:rsidRPr="00A5675B">
        <w:t>robustlmm</w:t>
      </w:r>
      <w:proofErr w:type="spellEnd"/>
      <w:r w:rsidRPr="00A5675B">
        <w:t xml:space="preserve">” package </w:t>
      </w:r>
      <w:r w:rsidRPr="00A5675B">
        <w:fldChar w:fldCharType="begin"/>
      </w:r>
      <w:r w:rsidR="00F0528E">
        <w:instrText xml:space="preserve"> ADDIN ZOTERO_ITEM CSL_CITATION {"citationID":"OYFFeQQU","properties":{"formattedCitation":"(Koller 2016)","plainCitation":"(Koller 2016)","noteIndex":0},"citationItems":[{"id":775,"uris":["http://zotero.org/users/8430992/items/YJD3X9EP"],"itemData":{"id":775,"type":"article-journal","abstract":"As any real-life data, data modeled by linear mixed-effects models often contain outliers or other contamination. Even little contamination can drive the classic estimates far away from what they would be without the contamination. At the same time, datasets that require mixed-effects modeling are often complex and large. This makes it difficult to spot contamination. Robust estimation methods aim to solve both problems: to provide estimates where contamination has only little influence and to detect and flag contamination. We introduce an R package, robustlmm, to robustly fit linear mixed-effects models. The package's functions and methods are designed to closely equal those offered by lme4, the R package that implements classic linear mixed-effects model estimation in R. The robust estimation method in robustlmm is based on the random effects contamination model and the central contamination model. Contamination can be detected at all levels of the data. The estimation method does not make any assumption on the data's grouping structure except that the model parameters are estimable. robustlmm supports hierarchical and non-hierarchical (e.g., crossed) grouping structures. The robustness of the estimates and their asymptotic efficiency is fully controlled through the function interface. Individual parts (e.g., fixed effects and variance components) can be tuned independently. In this tutorial, we show how to fit robust linear mixed-effects models using robustlmm, how to assess the model fit, how to detect outliers, and how to compare different fits.","container-title":"Journal of Statistical Software","DOI":"10.18637/jss.v075.i06","ISSN":"1548-7660","issue":"6","language":"en","license":"Copyright (c) 2016 Manuel Koller","page":"1-24","source":"www.jstatsoft.org","title":"Robustlmm: an R package for robust estimation of linear mixed-effects models","title-short":"Robustlmm","volume":"75","author":[{"family":"Koller","given":"Manuel"}],"issued":{"date-parts":[["2016",12,6]]},"citation-key":"kollerRobustlmmPackageRobust2016"}}],"schema":"https://github.com/citation-style-language/schema/raw/master/csl-citation.json"} </w:instrText>
      </w:r>
      <w:r w:rsidRPr="00A5675B">
        <w:fldChar w:fldCharType="separate"/>
      </w:r>
      <w:r w:rsidRPr="00A5675B">
        <w:t>(Koller 2016)</w:t>
      </w:r>
      <w:r w:rsidRPr="00A5675B">
        <w:fldChar w:fldCharType="end"/>
      </w:r>
      <w:r w:rsidRPr="00A5675B">
        <w:t xml:space="preserve"> to fit a robust linear mixed model to the log-transformed duration of bouts with behaviour type, sentinel presence, generalized environment, group size, and bait presence as fixed factors, the disturbance frequency (number of disturbances per min.) as a fixed effect and the individual ID as a random effect. We included in these models the interaction between sentinel presence and generalized environment. We then fitted post-hoc robust linear mixed models on each behaviour to determine the effects of sentinel presence and generalized environment on each behaviour. </w:t>
      </w:r>
    </w:p>
    <w:p w14:paraId="2DCD62CA" w14:textId="77777777" w:rsidR="00A5675B" w:rsidRPr="0074547E" w:rsidRDefault="00A5675B" w:rsidP="0074547E">
      <w:pPr>
        <w:pStyle w:val="ManuSectionTitle"/>
      </w:pPr>
      <w:bookmarkStart w:id="32" w:name="_Toc162204962"/>
      <w:bookmarkStart w:id="33" w:name="_Toc162794607"/>
      <w:bookmarkStart w:id="34" w:name="_Toc174089132"/>
      <w:bookmarkStart w:id="35" w:name="_Toc178590830"/>
      <w:r w:rsidRPr="0074547E">
        <w:lastRenderedPageBreak/>
        <w:t>Results</w:t>
      </w:r>
      <w:bookmarkEnd w:id="32"/>
      <w:bookmarkEnd w:id="33"/>
      <w:bookmarkEnd w:id="34"/>
      <w:bookmarkEnd w:id="35"/>
    </w:p>
    <w:p w14:paraId="3B53BA32" w14:textId="54F7DFFA" w:rsidR="00A5675B" w:rsidRPr="00A5675B" w:rsidRDefault="00A5675B" w:rsidP="0074547E">
      <w:pPr>
        <w:pStyle w:val="MainText"/>
      </w:pPr>
      <w:r w:rsidRPr="00A5675B">
        <w:t>Sentinel presence changed in 8 videos, and therefore, we made 19 observations with a sentinel present and 14 observations without a sentinel for a total of 33 observations. The generalized environment (χ</w:t>
      </w:r>
      <w:r w:rsidRPr="00A5675B">
        <w:rPr>
          <w:vertAlign w:val="superscript"/>
        </w:rPr>
        <w:t>2</w:t>
      </w:r>
      <w:r w:rsidRPr="00A5675B">
        <w:t xml:space="preserve"> = 0.122, </w:t>
      </w:r>
      <w:proofErr w:type="spellStart"/>
      <w:r w:rsidRPr="00A5675B">
        <w:t>df</w:t>
      </w:r>
      <w:proofErr w:type="spellEnd"/>
      <w:r w:rsidRPr="00A5675B">
        <w:t xml:space="preserve"> = 1, p = 0.727), group size (χ</w:t>
      </w:r>
      <w:r w:rsidRPr="00A5675B">
        <w:rPr>
          <w:vertAlign w:val="superscript"/>
        </w:rPr>
        <w:t>2</w:t>
      </w:r>
      <w:r w:rsidRPr="00A5675B">
        <w:t xml:space="preserve"> = 0.248, </w:t>
      </w:r>
      <w:proofErr w:type="spellStart"/>
      <w:r w:rsidRPr="00A5675B">
        <w:t>df</w:t>
      </w:r>
      <w:proofErr w:type="spellEnd"/>
      <w:r w:rsidRPr="00A5675B">
        <w:t xml:space="preserve"> = 1, p = 0.618), and the disturbance frequency (χ</w:t>
      </w:r>
      <w:r w:rsidRPr="00A5675B">
        <w:rPr>
          <w:vertAlign w:val="superscript"/>
        </w:rPr>
        <w:t>2</w:t>
      </w:r>
      <w:r w:rsidRPr="00A5675B">
        <w:t xml:space="preserve"> = 2.033, </w:t>
      </w:r>
      <w:proofErr w:type="spellStart"/>
      <w:r w:rsidRPr="00A5675B">
        <w:t>df</w:t>
      </w:r>
      <w:proofErr w:type="spellEnd"/>
      <w:r w:rsidRPr="00A5675B">
        <w:t xml:space="preserve"> = 2, p = 0.362) did not significantly affect if a sentinel was present or not.</w:t>
      </w:r>
    </w:p>
    <w:p w14:paraId="161AEFB3" w14:textId="77777777" w:rsidR="00A5675B" w:rsidRPr="00A5675B" w:rsidRDefault="00A5675B" w:rsidP="0074547E">
      <w:pPr>
        <w:pStyle w:val="ManuSectionTitle"/>
      </w:pPr>
      <w:bookmarkStart w:id="36" w:name="_Toc162204964"/>
      <w:bookmarkStart w:id="37" w:name="_Toc162794609"/>
      <w:bookmarkStart w:id="38" w:name="_Toc174089133"/>
      <w:bookmarkStart w:id="39" w:name="_Toc178590831"/>
      <w:r w:rsidRPr="00A5675B">
        <w:t>Proportion of time allocated to each behaviour</w:t>
      </w:r>
      <w:bookmarkEnd w:id="36"/>
      <w:bookmarkEnd w:id="37"/>
      <w:bookmarkEnd w:id="38"/>
      <w:bookmarkEnd w:id="39"/>
    </w:p>
    <w:p w14:paraId="1E248E79" w14:textId="77777777" w:rsidR="0074547E" w:rsidRDefault="00A5675B" w:rsidP="0074547E">
      <w:pPr>
        <w:pStyle w:val="MainText"/>
        <w:sectPr w:rsidR="0074547E" w:rsidSect="0074547E">
          <w:headerReference w:type="default" r:id="rId16"/>
          <w:pgSz w:w="12240" w:h="15840"/>
          <w:pgMar w:top="1440" w:right="1440" w:bottom="1440" w:left="1440" w:header="720" w:footer="720" w:gutter="0"/>
          <w:lnNumType w:countBy="1" w:restart="continuous"/>
          <w:cols w:space="720"/>
          <w:docGrid w:linePitch="299"/>
        </w:sectPr>
      </w:pPr>
      <w:r w:rsidRPr="00A5675B">
        <w:t>Crows allocated similar proportions of time to foraging and vigilance (</w:t>
      </w:r>
      <m:oMath>
        <m:acc>
          <m:accPr>
            <m:ctrlPr>
              <w:rPr>
                <w:rFonts w:ascii="Cambria Math" w:hAnsi="Cambria Math"/>
                <w:i/>
              </w:rPr>
            </m:ctrlPr>
          </m:accPr>
          <m:e>
            <m:r>
              <w:rPr>
                <w:rFonts w:ascii="Cambria Math" w:hAnsi="Cambria Math"/>
              </w:rPr>
              <m:t>β</m:t>
            </m:r>
          </m:e>
        </m:acc>
      </m:oMath>
      <w:r w:rsidRPr="00A5675B">
        <w:t xml:space="preserve"> = 0.026, SE = 0.023, t = 1.160, p = 0.248; </w:t>
      </w:r>
      <w:r w:rsidRPr="00A5675B">
        <w:rPr>
          <w:b/>
          <w:bCs/>
        </w:rPr>
        <w:fldChar w:fldCharType="begin"/>
      </w:r>
      <w:r w:rsidRPr="00A5675B">
        <w:rPr>
          <w:b/>
          <w:bCs/>
        </w:rPr>
        <w:instrText xml:space="preserve"> REF _Ref151137384 \h  \* MERGEFORMAT </w:instrText>
      </w:r>
      <w:r w:rsidRPr="00A5675B">
        <w:rPr>
          <w:b/>
          <w:bCs/>
        </w:rPr>
      </w:r>
      <w:r w:rsidRPr="00A5675B">
        <w:rPr>
          <w:b/>
          <w:bCs/>
        </w:rPr>
        <w:fldChar w:fldCharType="separate"/>
      </w:r>
      <w:r w:rsidRPr="00A5675B">
        <w:t>Figure 3.2</w:t>
      </w:r>
      <w:r w:rsidRPr="00A5675B">
        <w:rPr>
          <w:b/>
          <w:bCs/>
        </w:rPr>
        <w:fldChar w:fldCharType="end"/>
      </w:r>
      <w:r w:rsidRPr="00A5675B">
        <w:t>,</w:t>
      </w:r>
      <w:r w:rsidRPr="00A5675B">
        <w:rPr>
          <w:b/>
          <w:bCs/>
        </w:rPr>
        <w:t xml:space="preserve"> </w:t>
      </w:r>
      <w:r w:rsidRPr="00A5675B">
        <w:rPr>
          <w:b/>
          <w:bCs/>
        </w:rPr>
        <w:fldChar w:fldCharType="begin"/>
      </w:r>
      <w:r w:rsidRPr="00A5675B">
        <w:rPr>
          <w:b/>
          <w:bCs/>
        </w:rPr>
        <w:instrText xml:space="preserve"> REF _Ref162210184 \h  \* MERGEFORMAT </w:instrText>
      </w:r>
      <w:r w:rsidRPr="00A5675B">
        <w:rPr>
          <w:b/>
          <w:bCs/>
        </w:rPr>
      </w:r>
      <w:r w:rsidRPr="00A5675B">
        <w:rPr>
          <w:b/>
          <w:bCs/>
        </w:rPr>
        <w:fldChar w:fldCharType="separate"/>
      </w:r>
      <w:r w:rsidRPr="00A5675B">
        <w:t>Table 3.1</w:t>
      </w:r>
      <w:r w:rsidRPr="00A5675B">
        <w:rPr>
          <w:b/>
          <w:bCs/>
        </w:rPr>
        <w:fldChar w:fldCharType="end"/>
      </w:r>
      <w:r w:rsidRPr="00A5675B">
        <w:rPr>
          <w:b/>
          <w:bCs/>
        </w:rPr>
        <w:t>),</w:t>
      </w:r>
      <w:r w:rsidRPr="00A5675B">
        <w:t xml:space="preserve"> and neither the presence of a sentinel (</w:t>
      </w:r>
      <m:oMath>
        <m:acc>
          <m:accPr>
            <m:ctrlPr>
              <w:rPr>
                <w:rFonts w:ascii="Cambria Math" w:hAnsi="Cambria Math"/>
                <w:i/>
              </w:rPr>
            </m:ctrlPr>
          </m:accPr>
          <m:e>
            <m:r>
              <w:rPr>
                <w:rFonts w:ascii="Cambria Math" w:hAnsi="Cambria Math"/>
              </w:rPr>
              <m:t>β</m:t>
            </m:r>
          </m:e>
        </m:acc>
      </m:oMath>
      <w:r w:rsidRPr="00A5675B">
        <w:t xml:space="preserve"> = -0.034, SE = 0.023, t = -1.431, p = 0.154; </w:t>
      </w:r>
      <w:r w:rsidRPr="00A5675B">
        <w:rPr>
          <w:b/>
          <w:bCs/>
        </w:rPr>
        <w:fldChar w:fldCharType="begin"/>
      </w:r>
      <w:r w:rsidRPr="00A5675B">
        <w:rPr>
          <w:b/>
          <w:bCs/>
        </w:rPr>
        <w:instrText xml:space="preserve"> REF _Ref151137384 \h  \* MERGEFORMAT </w:instrText>
      </w:r>
      <w:r w:rsidRPr="00A5675B">
        <w:rPr>
          <w:b/>
          <w:bCs/>
        </w:rPr>
      </w:r>
      <w:r w:rsidRPr="00A5675B">
        <w:rPr>
          <w:b/>
          <w:bCs/>
        </w:rPr>
        <w:fldChar w:fldCharType="separate"/>
      </w:r>
      <w:r w:rsidRPr="00A5675B">
        <w:t>Figure 3.2</w:t>
      </w:r>
      <w:r w:rsidRPr="00A5675B">
        <w:rPr>
          <w:b/>
          <w:bCs/>
        </w:rPr>
        <w:fldChar w:fldCharType="end"/>
      </w:r>
      <w:r w:rsidRPr="00A5675B">
        <w:t xml:space="preserve">, </w:t>
      </w:r>
      <w:r w:rsidRPr="00A5675B">
        <w:rPr>
          <w:b/>
          <w:bCs/>
        </w:rPr>
        <w:fldChar w:fldCharType="begin"/>
      </w:r>
      <w:r w:rsidRPr="00A5675B">
        <w:rPr>
          <w:b/>
          <w:bCs/>
        </w:rPr>
        <w:instrText xml:space="preserve"> REF _Ref162210184 \h  \* MERGEFORMAT </w:instrText>
      </w:r>
      <w:r w:rsidRPr="00A5675B">
        <w:rPr>
          <w:b/>
          <w:bCs/>
        </w:rPr>
      </w:r>
      <w:r w:rsidRPr="00A5675B">
        <w:rPr>
          <w:b/>
          <w:bCs/>
        </w:rPr>
        <w:fldChar w:fldCharType="separate"/>
      </w:r>
      <w:r w:rsidRPr="00A5675B">
        <w:t>Table 3.1</w:t>
      </w:r>
      <w:r w:rsidRPr="00A5675B">
        <w:rPr>
          <w:b/>
          <w:bCs/>
        </w:rPr>
        <w:fldChar w:fldCharType="end"/>
      </w:r>
      <w:r w:rsidRPr="00A5675B">
        <w:t>) or the generalized environment (</w:t>
      </w:r>
      <m:oMath>
        <m:acc>
          <m:accPr>
            <m:ctrlPr>
              <w:rPr>
                <w:rFonts w:ascii="Cambria Math" w:hAnsi="Cambria Math"/>
                <w:i/>
              </w:rPr>
            </m:ctrlPr>
          </m:accPr>
          <m:e>
            <m:r>
              <w:rPr>
                <w:rFonts w:ascii="Cambria Math" w:hAnsi="Cambria Math"/>
              </w:rPr>
              <m:t>β</m:t>
            </m:r>
          </m:e>
        </m:acc>
      </m:oMath>
      <w:r w:rsidRPr="00A5675B">
        <w:t xml:space="preserve"> = 0.034, SE = 0.023, t = 1.463, p = 0.146; </w:t>
      </w:r>
      <w:r w:rsidRPr="00A5675B">
        <w:rPr>
          <w:b/>
          <w:bCs/>
        </w:rPr>
        <w:fldChar w:fldCharType="begin"/>
      </w:r>
      <w:r w:rsidRPr="00A5675B">
        <w:rPr>
          <w:b/>
          <w:bCs/>
        </w:rPr>
        <w:instrText xml:space="preserve"> REF _Ref151137384 \h  \* MERGEFORMAT </w:instrText>
      </w:r>
      <w:r w:rsidRPr="00A5675B">
        <w:rPr>
          <w:b/>
          <w:bCs/>
        </w:rPr>
      </w:r>
      <w:r w:rsidRPr="00A5675B">
        <w:rPr>
          <w:b/>
          <w:bCs/>
        </w:rPr>
        <w:fldChar w:fldCharType="separate"/>
      </w:r>
      <w:r w:rsidRPr="00A5675B">
        <w:t>Figure 3.2</w:t>
      </w:r>
      <w:r w:rsidRPr="00A5675B">
        <w:rPr>
          <w:b/>
          <w:bCs/>
        </w:rPr>
        <w:fldChar w:fldCharType="end"/>
      </w:r>
      <w:r w:rsidRPr="00A5675B">
        <w:t xml:space="preserve">, </w:t>
      </w:r>
      <w:r w:rsidRPr="00A5675B">
        <w:rPr>
          <w:b/>
          <w:bCs/>
        </w:rPr>
        <w:fldChar w:fldCharType="begin"/>
      </w:r>
      <w:r w:rsidRPr="00A5675B">
        <w:rPr>
          <w:b/>
          <w:bCs/>
        </w:rPr>
        <w:instrText xml:space="preserve"> REF _Ref162210184 \h  \* MERGEFORMAT </w:instrText>
      </w:r>
      <w:r w:rsidRPr="00A5675B">
        <w:rPr>
          <w:b/>
          <w:bCs/>
        </w:rPr>
      </w:r>
      <w:r w:rsidRPr="00A5675B">
        <w:rPr>
          <w:b/>
          <w:bCs/>
        </w:rPr>
        <w:fldChar w:fldCharType="separate"/>
      </w:r>
      <w:r w:rsidRPr="00A5675B">
        <w:t>Table 3.1</w:t>
      </w:r>
      <w:r w:rsidRPr="00A5675B">
        <w:rPr>
          <w:b/>
          <w:bCs/>
        </w:rPr>
        <w:fldChar w:fldCharType="end"/>
      </w:r>
      <w:r w:rsidRPr="00A5675B">
        <w:t>) had an effect on the proportion of time allocated to either alert or foraging behaviour.</w:t>
      </w:r>
      <w:bookmarkStart w:id="40" w:name="_Ref151134482"/>
    </w:p>
    <w:p w14:paraId="685F7459" w14:textId="57D52ADD" w:rsidR="00A5675B" w:rsidRPr="00A5675B" w:rsidRDefault="00A5675B" w:rsidP="00A5675B">
      <w:pPr>
        <w:spacing w:after="240" w:line="480" w:lineRule="auto"/>
        <w:rPr>
          <w:rFonts w:cs="Times New Roman"/>
          <w:iCs/>
          <w:szCs w:val="24"/>
        </w:rPr>
      </w:pPr>
      <w:commentRangeStart w:id="41"/>
      <w:r w:rsidRPr="00A5675B">
        <w:rPr>
          <w:rFonts w:cs="Times New Roman"/>
          <w:iCs/>
          <w:noProof/>
          <w:szCs w:val="24"/>
        </w:rPr>
        <w:lastRenderedPageBreak/>
        <w:drawing>
          <wp:inline distT="0" distB="0" distL="0" distR="0" wp14:anchorId="4A60A322" wp14:editId="785F2C09">
            <wp:extent cx="5943600" cy="4245429"/>
            <wp:effectExtent l="0" t="0" r="0" b="3175"/>
            <wp:docPr id="1142115835" name="Picture 6" descr="A graph of a graph showing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5835" name="Picture 6" descr="A graph of a graph showing different colored squares&#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3171" cy="4280837"/>
                    </a:xfrm>
                    <a:prstGeom prst="rect">
                      <a:avLst/>
                    </a:prstGeom>
                    <a:noFill/>
                    <a:ln>
                      <a:noFill/>
                    </a:ln>
                  </pic:spPr>
                </pic:pic>
              </a:graphicData>
            </a:graphic>
          </wp:inline>
        </w:drawing>
      </w:r>
      <w:commentRangeEnd w:id="41"/>
      <w:r w:rsidR="00712D7C">
        <w:rPr>
          <w:rStyle w:val="CommentReference"/>
        </w:rPr>
        <w:commentReference w:id="41"/>
      </w:r>
    </w:p>
    <w:p w14:paraId="4BB86779" w14:textId="77777777" w:rsidR="00A5675B" w:rsidRDefault="00A5675B" w:rsidP="00A5675B">
      <w:pPr>
        <w:spacing w:after="240" w:line="480" w:lineRule="auto"/>
        <w:rPr>
          <w:rFonts w:cs="Times New Roman"/>
          <w:iCs/>
          <w:szCs w:val="24"/>
        </w:rPr>
        <w:sectPr w:rsidR="00A5675B" w:rsidSect="00A5675B">
          <w:type w:val="continuous"/>
          <w:pgSz w:w="12240" w:h="15840"/>
          <w:pgMar w:top="1440" w:right="1440" w:bottom="1440" w:left="1440" w:header="720" w:footer="720" w:gutter="0"/>
          <w:lnNumType w:countBy="1" w:restart="continuous"/>
          <w:cols w:space="720"/>
          <w:docGrid w:linePitch="326"/>
        </w:sectPr>
      </w:pPr>
      <w:bookmarkStart w:id="42" w:name="_Ref151137384"/>
      <w:bookmarkStart w:id="43" w:name="_Ref151137379"/>
      <w:bookmarkStart w:id="44" w:name="_Ref162210126"/>
      <w:bookmarkStart w:id="45" w:name="_Toc174089079"/>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2</w:t>
      </w:r>
      <w:r w:rsidRPr="00A5675B">
        <w:rPr>
          <w:rFonts w:cs="Times New Roman"/>
          <w:b/>
          <w:bCs/>
          <w:szCs w:val="24"/>
        </w:rPr>
        <w:fldChar w:fldCharType="end"/>
      </w:r>
      <w:bookmarkEnd w:id="42"/>
      <w:r w:rsidRPr="00A5675B">
        <w:rPr>
          <w:rFonts w:cs="Times New Roman"/>
          <w:b/>
          <w:bCs/>
          <w:szCs w:val="24"/>
        </w:rPr>
        <w:t>:</w:t>
      </w:r>
      <w:r w:rsidRPr="00A5675B">
        <w:rPr>
          <w:rFonts w:cs="Times New Roman"/>
          <w:iCs/>
          <w:szCs w:val="24"/>
        </w:rPr>
        <w:t xml:space="preserve"> Proportion of time allocated to each behaviour</w:t>
      </w:r>
      <w:bookmarkEnd w:id="43"/>
      <w:r w:rsidRPr="00A5675B">
        <w:rPr>
          <w:rFonts w:cs="Times New Roman"/>
          <w:iCs/>
          <w:szCs w:val="24"/>
        </w:rPr>
        <w:t xml:space="preserve"> by foragers in commercial and green areas</w:t>
      </w:r>
      <w:bookmarkStart w:id="46" w:name="_Ref162210184"/>
      <w:bookmarkStart w:id="47" w:name="_Toc178514313"/>
      <w:bookmarkEnd w:id="44"/>
      <w:bookmarkEnd w:id="45"/>
      <w:r>
        <w:rPr>
          <w:rFonts w:cs="Times New Roman"/>
          <w:iCs/>
          <w:szCs w:val="24"/>
        </w:rPr>
        <w:t>.</w:t>
      </w:r>
    </w:p>
    <w:p w14:paraId="50D3B08F" w14:textId="3E0081BE" w:rsidR="00A5675B" w:rsidRPr="00A5675B" w:rsidRDefault="00A5675B" w:rsidP="00A5675B">
      <w:pPr>
        <w:spacing w:after="240" w:line="480" w:lineRule="auto"/>
        <w:rPr>
          <w:rFonts w:cs="Times New Roman"/>
          <w:iCs/>
          <w:szCs w:val="24"/>
        </w:rPr>
      </w:pPr>
      <w:commentRangeStart w:id="48"/>
      <w:r w:rsidRPr="00A5675B">
        <w:rPr>
          <w:rFonts w:cs="Times New Roman"/>
          <w:b/>
          <w:bCs/>
          <w:szCs w:val="24"/>
        </w:rPr>
        <w:lastRenderedPageBreak/>
        <w:t xml:space="preserve">Table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Table \* ARABIC \s 1 </w:instrText>
      </w:r>
      <w:r w:rsidRPr="00A5675B">
        <w:rPr>
          <w:rFonts w:cs="Times New Roman"/>
          <w:b/>
          <w:bCs/>
          <w:szCs w:val="24"/>
        </w:rPr>
        <w:fldChar w:fldCharType="separate"/>
      </w:r>
      <w:r w:rsidRPr="00A5675B">
        <w:rPr>
          <w:rFonts w:cs="Times New Roman"/>
          <w:b/>
          <w:bCs/>
          <w:noProof/>
          <w:szCs w:val="24"/>
        </w:rPr>
        <w:t>1</w:t>
      </w:r>
      <w:r w:rsidRPr="00A5675B">
        <w:rPr>
          <w:rFonts w:cs="Times New Roman"/>
          <w:b/>
          <w:bCs/>
          <w:szCs w:val="24"/>
        </w:rPr>
        <w:fldChar w:fldCharType="end"/>
      </w:r>
      <w:bookmarkEnd w:id="40"/>
      <w:bookmarkEnd w:id="46"/>
      <w:r w:rsidRPr="00A5675B">
        <w:rPr>
          <w:rFonts w:cs="Times New Roman"/>
          <w:b/>
          <w:bCs/>
          <w:szCs w:val="24"/>
        </w:rPr>
        <w:t>:</w:t>
      </w:r>
      <w:r w:rsidRPr="00A5675B">
        <w:rPr>
          <w:rFonts w:cs="Times New Roman"/>
          <w:iCs/>
          <w:szCs w:val="24"/>
        </w:rPr>
        <w:t xml:space="preserve"> </w:t>
      </w:r>
      <w:commentRangeEnd w:id="48"/>
      <w:r w:rsidR="00712D7C">
        <w:rPr>
          <w:rStyle w:val="CommentReference"/>
        </w:rPr>
        <w:commentReference w:id="48"/>
      </w:r>
      <w:r w:rsidRPr="00A5675B">
        <w:rPr>
          <w:rFonts w:cs="Times New Roman"/>
          <w:iCs/>
          <w:szCs w:val="24"/>
        </w:rPr>
        <w:t>Effects of sentinel presence and generalized environment on the proportion of time allocated to each behaviour.</w:t>
      </w:r>
      <w:bookmarkEnd w:id="47"/>
    </w:p>
    <w:tbl>
      <w:tblPr>
        <w:tblStyle w:val="TableGrid1"/>
        <w:tblW w:w="0" w:type="auto"/>
        <w:tblLook w:val="04A0" w:firstRow="1" w:lastRow="0" w:firstColumn="1" w:lastColumn="0" w:noHBand="0" w:noVBand="1"/>
      </w:tblPr>
      <w:tblGrid>
        <w:gridCol w:w="3119"/>
        <w:gridCol w:w="1417"/>
        <w:gridCol w:w="2410"/>
        <w:gridCol w:w="1552"/>
      </w:tblGrid>
      <w:tr w:rsidR="00A5675B" w:rsidRPr="00A5675B" w14:paraId="613EE34B" w14:textId="77777777" w:rsidTr="00463440">
        <w:tc>
          <w:tcPr>
            <w:tcW w:w="3119" w:type="dxa"/>
            <w:tcBorders>
              <w:top w:val="nil"/>
              <w:left w:val="nil"/>
              <w:bottom w:val="double" w:sz="4" w:space="0" w:color="auto"/>
              <w:right w:val="nil"/>
            </w:tcBorders>
          </w:tcPr>
          <w:p w14:paraId="642930D1" w14:textId="77777777" w:rsidR="00A5675B" w:rsidRPr="00A5675B" w:rsidRDefault="00A5675B" w:rsidP="00A5675B">
            <w:pPr>
              <w:spacing w:line="480" w:lineRule="auto"/>
              <w:rPr>
                <w:rFonts w:eastAsia="Cambria" w:cs="Times New Roman"/>
                <w:iCs/>
                <w:szCs w:val="24"/>
              </w:rPr>
            </w:pPr>
            <w:r w:rsidRPr="00A5675B">
              <w:rPr>
                <w:rFonts w:eastAsia="Cambria" w:cs="Times New Roman"/>
                <w:iCs/>
                <w:szCs w:val="24"/>
              </w:rPr>
              <w:t>Predictors</w:t>
            </w:r>
          </w:p>
        </w:tc>
        <w:tc>
          <w:tcPr>
            <w:tcW w:w="1417" w:type="dxa"/>
            <w:tcBorders>
              <w:top w:val="nil"/>
              <w:left w:val="nil"/>
              <w:bottom w:val="double" w:sz="4" w:space="0" w:color="auto"/>
              <w:right w:val="nil"/>
            </w:tcBorders>
          </w:tcPr>
          <w:p w14:paraId="1B42BE16" w14:textId="77777777" w:rsidR="00A5675B" w:rsidRPr="00A5675B" w:rsidRDefault="00A5675B" w:rsidP="00A5675B">
            <w:pPr>
              <w:spacing w:line="480" w:lineRule="auto"/>
              <w:jc w:val="center"/>
              <w:rPr>
                <w:rFonts w:eastAsia="Cambria" w:cs="Times New Roman"/>
                <w:iCs/>
                <w:szCs w:val="24"/>
              </w:rPr>
            </w:pPr>
            <w:r w:rsidRPr="00A5675B">
              <w:rPr>
                <w:rFonts w:eastAsia="Cambria" w:cs="Times New Roman"/>
                <w:iCs/>
                <w:szCs w:val="24"/>
              </w:rPr>
              <w:t>Estimates</w:t>
            </w:r>
          </w:p>
        </w:tc>
        <w:tc>
          <w:tcPr>
            <w:tcW w:w="2410" w:type="dxa"/>
            <w:tcBorders>
              <w:top w:val="nil"/>
              <w:left w:val="nil"/>
              <w:bottom w:val="double" w:sz="4" w:space="0" w:color="auto"/>
              <w:right w:val="nil"/>
            </w:tcBorders>
          </w:tcPr>
          <w:p w14:paraId="6A8304A4" w14:textId="77777777" w:rsidR="00A5675B" w:rsidRPr="00A5675B" w:rsidRDefault="00A5675B" w:rsidP="00A5675B">
            <w:pPr>
              <w:spacing w:line="480" w:lineRule="auto"/>
              <w:jc w:val="center"/>
              <w:rPr>
                <w:rFonts w:eastAsia="Cambria" w:cs="Times New Roman"/>
                <w:iCs/>
                <w:szCs w:val="24"/>
              </w:rPr>
            </w:pPr>
            <w:r w:rsidRPr="00A5675B">
              <w:rPr>
                <w:rFonts w:eastAsia="Cambria" w:cs="Times New Roman"/>
                <w:iCs/>
                <w:szCs w:val="24"/>
              </w:rPr>
              <w:t>Std. Error</w:t>
            </w:r>
          </w:p>
        </w:tc>
        <w:tc>
          <w:tcPr>
            <w:tcW w:w="1552" w:type="dxa"/>
            <w:tcBorders>
              <w:top w:val="nil"/>
              <w:left w:val="nil"/>
              <w:bottom w:val="double" w:sz="4" w:space="0" w:color="auto"/>
              <w:right w:val="nil"/>
            </w:tcBorders>
          </w:tcPr>
          <w:p w14:paraId="3F55FFB0" w14:textId="77777777" w:rsidR="00A5675B" w:rsidRPr="00A5675B" w:rsidRDefault="00A5675B" w:rsidP="00A5675B">
            <w:pPr>
              <w:spacing w:line="480" w:lineRule="auto"/>
              <w:jc w:val="right"/>
              <w:rPr>
                <w:rFonts w:eastAsia="Cambria" w:cs="Times New Roman"/>
                <w:iCs/>
                <w:szCs w:val="24"/>
              </w:rPr>
            </w:pPr>
            <w:r w:rsidRPr="00A5675B">
              <w:rPr>
                <w:rFonts w:eastAsia="Cambria" w:cs="Times New Roman"/>
                <w:iCs/>
                <w:szCs w:val="24"/>
              </w:rPr>
              <w:t>p-value</w:t>
            </w:r>
          </w:p>
        </w:tc>
      </w:tr>
      <w:tr w:rsidR="00A5675B" w:rsidRPr="00A5675B" w14:paraId="3FB33A19" w14:textId="77777777" w:rsidTr="00463440">
        <w:tc>
          <w:tcPr>
            <w:tcW w:w="3119" w:type="dxa"/>
            <w:tcBorders>
              <w:top w:val="double" w:sz="4" w:space="0" w:color="auto"/>
              <w:left w:val="nil"/>
              <w:bottom w:val="nil"/>
              <w:right w:val="nil"/>
            </w:tcBorders>
          </w:tcPr>
          <w:p w14:paraId="44A2A4B7" w14:textId="77777777" w:rsidR="00A5675B" w:rsidRPr="00A5675B" w:rsidRDefault="00A5675B" w:rsidP="00A5675B">
            <w:pPr>
              <w:spacing w:before="240" w:after="240" w:line="480" w:lineRule="auto"/>
              <w:rPr>
                <w:rFonts w:eastAsia="Cambria" w:cs="Times New Roman"/>
                <w:iCs/>
                <w:szCs w:val="24"/>
              </w:rPr>
            </w:pPr>
            <w:r w:rsidRPr="00A5675B">
              <w:rPr>
                <w:rFonts w:eastAsia="Cambria" w:cs="Times New Roman"/>
                <w:iCs/>
                <w:szCs w:val="24"/>
              </w:rPr>
              <w:t>Intercept</w:t>
            </w:r>
          </w:p>
        </w:tc>
        <w:tc>
          <w:tcPr>
            <w:tcW w:w="1417" w:type="dxa"/>
            <w:tcBorders>
              <w:top w:val="double" w:sz="4" w:space="0" w:color="auto"/>
              <w:left w:val="nil"/>
              <w:bottom w:val="nil"/>
              <w:right w:val="nil"/>
            </w:tcBorders>
          </w:tcPr>
          <w:p w14:paraId="2E95CC9C" w14:textId="77777777" w:rsidR="00A5675B" w:rsidRPr="00A5675B" w:rsidRDefault="00A5675B" w:rsidP="00A5675B">
            <w:pPr>
              <w:spacing w:before="240" w:after="240" w:line="480" w:lineRule="auto"/>
              <w:jc w:val="center"/>
              <w:rPr>
                <w:rFonts w:eastAsia="Cambria" w:cs="Times New Roman"/>
                <w:iCs/>
                <w:szCs w:val="24"/>
              </w:rPr>
            </w:pPr>
            <w:r w:rsidRPr="00A5675B">
              <w:rPr>
                <w:rFonts w:eastAsia="Cambria" w:cs="Times New Roman"/>
                <w:iCs/>
                <w:szCs w:val="24"/>
              </w:rPr>
              <w:t>0.3658</w:t>
            </w:r>
          </w:p>
        </w:tc>
        <w:tc>
          <w:tcPr>
            <w:tcW w:w="2410" w:type="dxa"/>
            <w:tcBorders>
              <w:top w:val="double" w:sz="4" w:space="0" w:color="auto"/>
              <w:left w:val="nil"/>
              <w:bottom w:val="nil"/>
              <w:right w:val="nil"/>
            </w:tcBorders>
          </w:tcPr>
          <w:p w14:paraId="43D74521" w14:textId="77777777" w:rsidR="00A5675B" w:rsidRPr="00A5675B" w:rsidRDefault="00A5675B" w:rsidP="00A5675B">
            <w:pPr>
              <w:spacing w:before="240" w:after="240" w:line="480" w:lineRule="auto"/>
              <w:jc w:val="center"/>
              <w:rPr>
                <w:rFonts w:eastAsia="Cambria" w:cs="Times New Roman"/>
                <w:iCs/>
                <w:szCs w:val="24"/>
              </w:rPr>
            </w:pPr>
            <w:r w:rsidRPr="00A5675B">
              <w:rPr>
                <w:rFonts w:eastAsia="Cambria" w:cs="Times New Roman"/>
                <w:iCs/>
                <w:szCs w:val="24"/>
              </w:rPr>
              <w:t>0.0240</w:t>
            </w:r>
          </w:p>
        </w:tc>
        <w:tc>
          <w:tcPr>
            <w:tcW w:w="1552" w:type="dxa"/>
            <w:tcBorders>
              <w:top w:val="double" w:sz="4" w:space="0" w:color="auto"/>
              <w:left w:val="nil"/>
              <w:bottom w:val="nil"/>
              <w:right w:val="nil"/>
            </w:tcBorders>
          </w:tcPr>
          <w:p w14:paraId="3483CF44" w14:textId="77777777" w:rsidR="00A5675B" w:rsidRPr="00A5675B" w:rsidRDefault="00A5675B" w:rsidP="00A5675B">
            <w:pPr>
              <w:spacing w:before="240" w:after="240" w:line="480" w:lineRule="auto"/>
              <w:jc w:val="right"/>
              <w:rPr>
                <w:rFonts w:eastAsia="Cambria" w:cs="Times New Roman"/>
                <w:iCs/>
                <w:szCs w:val="24"/>
              </w:rPr>
            </w:pPr>
            <w:r w:rsidRPr="00A5675B">
              <w:rPr>
                <w:rFonts w:eastAsia="Cambria" w:cs="Times New Roman"/>
                <w:iCs/>
                <w:szCs w:val="24"/>
              </w:rPr>
              <w:t>&lt;0.001</w:t>
            </w:r>
          </w:p>
        </w:tc>
      </w:tr>
      <w:tr w:rsidR="00A5675B" w:rsidRPr="00A5675B" w14:paraId="149DBCBC" w14:textId="77777777" w:rsidTr="00463440">
        <w:tc>
          <w:tcPr>
            <w:tcW w:w="3119" w:type="dxa"/>
            <w:tcBorders>
              <w:top w:val="nil"/>
              <w:left w:val="nil"/>
              <w:bottom w:val="nil"/>
              <w:right w:val="nil"/>
            </w:tcBorders>
          </w:tcPr>
          <w:p w14:paraId="59C8951E"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Behaviour</w:t>
            </w:r>
          </w:p>
        </w:tc>
        <w:tc>
          <w:tcPr>
            <w:tcW w:w="1417" w:type="dxa"/>
            <w:tcBorders>
              <w:top w:val="nil"/>
              <w:left w:val="nil"/>
              <w:bottom w:val="nil"/>
              <w:right w:val="nil"/>
            </w:tcBorders>
          </w:tcPr>
          <w:p w14:paraId="7F0D7709"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0.0263</w:t>
            </w:r>
          </w:p>
        </w:tc>
        <w:tc>
          <w:tcPr>
            <w:tcW w:w="2410" w:type="dxa"/>
            <w:tcBorders>
              <w:top w:val="nil"/>
              <w:left w:val="nil"/>
              <w:bottom w:val="nil"/>
              <w:right w:val="nil"/>
            </w:tcBorders>
          </w:tcPr>
          <w:p w14:paraId="429C9DFD"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0.0226</w:t>
            </w:r>
          </w:p>
        </w:tc>
        <w:tc>
          <w:tcPr>
            <w:tcW w:w="1552" w:type="dxa"/>
            <w:tcBorders>
              <w:top w:val="nil"/>
              <w:left w:val="nil"/>
              <w:bottom w:val="nil"/>
              <w:right w:val="nil"/>
            </w:tcBorders>
          </w:tcPr>
          <w:p w14:paraId="0D65C75C"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0.248</w:t>
            </w:r>
          </w:p>
        </w:tc>
      </w:tr>
      <w:tr w:rsidR="00A5675B" w:rsidRPr="00A5675B" w14:paraId="767C742B" w14:textId="77777777" w:rsidTr="00463440">
        <w:tc>
          <w:tcPr>
            <w:tcW w:w="3119" w:type="dxa"/>
            <w:tcBorders>
              <w:top w:val="nil"/>
              <w:left w:val="nil"/>
              <w:bottom w:val="nil"/>
              <w:right w:val="nil"/>
            </w:tcBorders>
          </w:tcPr>
          <w:p w14:paraId="025E4780"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Sentinel Presence</w:t>
            </w:r>
          </w:p>
        </w:tc>
        <w:tc>
          <w:tcPr>
            <w:tcW w:w="1417" w:type="dxa"/>
            <w:tcBorders>
              <w:top w:val="nil"/>
              <w:left w:val="nil"/>
              <w:bottom w:val="nil"/>
              <w:right w:val="nil"/>
            </w:tcBorders>
          </w:tcPr>
          <w:p w14:paraId="75E9ACBF"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-0.0335</w:t>
            </w:r>
          </w:p>
        </w:tc>
        <w:tc>
          <w:tcPr>
            <w:tcW w:w="2410" w:type="dxa"/>
            <w:tcBorders>
              <w:top w:val="nil"/>
              <w:left w:val="nil"/>
              <w:bottom w:val="nil"/>
              <w:right w:val="nil"/>
            </w:tcBorders>
          </w:tcPr>
          <w:p w14:paraId="209524E2"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0.0234</w:t>
            </w:r>
          </w:p>
        </w:tc>
        <w:tc>
          <w:tcPr>
            <w:tcW w:w="1552" w:type="dxa"/>
            <w:tcBorders>
              <w:top w:val="nil"/>
              <w:left w:val="nil"/>
              <w:bottom w:val="nil"/>
              <w:right w:val="nil"/>
            </w:tcBorders>
          </w:tcPr>
          <w:p w14:paraId="14B4C87F"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0.154</w:t>
            </w:r>
          </w:p>
        </w:tc>
      </w:tr>
      <w:tr w:rsidR="00A5675B" w:rsidRPr="00A5675B" w14:paraId="7CF58BE0" w14:textId="77777777" w:rsidTr="00463440">
        <w:tc>
          <w:tcPr>
            <w:tcW w:w="3119" w:type="dxa"/>
            <w:tcBorders>
              <w:top w:val="nil"/>
              <w:left w:val="nil"/>
              <w:bottom w:val="double" w:sz="4" w:space="0" w:color="auto"/>
              <w:right w:val="nil"/>
            </w:tcBorders>
          </w:tcPr>
          <w:p w14:paraId="1F819321"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Generalized Environment</w:t>
            </w:r>
          </w:p>
        </w:tc>
        <w:tc>
          <w:tcPr>
            <w:tcW w:w="1417" w:type="dxa"/>
            <w:tcBorders>
              <w:top w:val="nil"/>
              <w:left w:val="nil"/>
              <w:bottom w:val="double" w:sz="4" w:space="0" w:color="auto"/>
              <w:right w:val="nil"/>
            </w:tcBorders>
          </w:tcPr>
          <w:p w14:paraId="48F6160E"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0.0336</w:t>
            </w:r>
          </w:p>
        </w:tc>
        <w:tc>
          <w:tcPr>
            <w:tcW w:w="2410" w:type="dxa"/>
            <w:tcBorders>
              <w:top w:val="nil"/>
              <w:left w:val="nil"/>
              <w:bottom w:val="double" w:sz="4" w:space="0" w:color="auto"/>
              <w:right w:val="nil"/>
            </w:tcBorders>
          </w:tcPr>
          <w:p w14:paraId="23B8F25A"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0.0230</w:t>
            </w:r>
          </w:p>
        </w:tc>
        <w:tc>
          <w:tcPr>
            <w:tcW w:w="1552" w:type="dxa"/>
            <w:tcBorders>
              <w:top w:val="nil"/>
              <w:left w:val="nil"/>
              <w:bottom w:val="double" w:sz="4" w:space="0" w:color="auto"/>
              <w:right w:val="nil"/>
            </w:tcBorders>
          </w:tcPr>
          <w:p w14:paraId="09362351"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0.146</w:t>
            </w:r>
          </w:p>
        </w:tc>
      </w:tr>
      <w:tr w:rsidR="00A5675B" w:rsidRPr="00A5675B" w14:paraId="49B4835A" w14:textId="77777777" w:rsidTr="00463440">
        <w:tc>
          <w:tcPr>
            <w:tcW w:w="3119" w:type="dxa"/>
            <w:tcBorders>
              <w:top w:val="double" w:sz="4" w:space="0" w:color="auto"/>
              <w:left w:val="nil"/>
              <w:bottom w:val="nil"/>
              <w:right w:val="nil"/>
            </w:tcBorders>
          </w:tcPr>
          <w:p w14:paraId="73040C14"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Observations</w:t>
            </w:r>
          </w:p>
        </w:tc>
        <w:tc>
          <w:tcPr>
            <w:tcW w:w="1417" w:type="dxa"/>
            <w:tcBorders>
              <w:top w:val="double" w:sz="4" w:space="0" w:color="auto"/>
              <w:left w:val="nil"/>
              <w:bottom w:val="nil"/>
              <w:right w:val="nil"/>
            </w:tcBorders>
          </w:tcPr>
          <w:p w14:paraId="7D505745"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154</w:t>
            </w:r>
          </w:p>
        </w:tc>
        <w:tc>
          <w:tcPr>
            <w:tcW w:w="2410" w:type="dxa"/>
            <w:tcBorders>
              <w:top w:val="double" w:sz="4" w:space="0" w:color="auto"/>
              <w:left w:val="nil"/>
              <w:bottom w:val="nil"/>
              <w:right w:val="nil"/>
            </w:tcBorders>
          </w:tcPr>
          <w:p w14:paraId="0E30E396" w14:textId="77777777" w:rsidR="00A5675B" w:rsidRPr="00A5675B" w:rsidRDefault="00A5675B" w:rsidP="00A5675B">
            <w:pPr>
              <w:spacing w:after="240" w:line="480" w:lineRule="auto"/>
              <w:jc w:val="center"/>
              <w:rPr>
                <w:rFonts w:eastAsia="Cambria" w:cs="Times New Roman"/>
                <w:iCs/>
                <w:szCs w:val="24"/>
              </w:rPr>
            </w:pPr>
          </w:p>
        </w:tc>
        <w:tc>
          <w:tcPr>
            <w:tcW w:w="1552" w:type="dxa"/>
            <w:tcBorders>
              <w:top w:val="double" w:sz="4" w:space="0" w:color="auto"/>
              <w:left w:val="nil"/>
              <w:bottom w:val="nil"/>
              <w:right w:val="nil"/>
            </w:tcBorders>
          </w:tcPr>
          <w:p w14:paraId="0497AC2A" w14:textId="77777777" w:rsidR="00A5675B" w:rsidRPr="00A5675B" w:rsidRDefault="00A5675B" w:rsidP="00A5675B">
            <w:pPr>
              <w:spacing w:after="240" w:line="480" w:lineRule="auto"/>
              <w:jc w:val="right"/>
              <w:rPr>
                <w:rFonts w:eastAsia="Cambria" w:cs="Times New Roman"/>
                <w:iCs/>
                <w:szCs w:val="24"/>
              </w:rPr>
            </w:pPr>
          </w:p>
        </w:tc>
      </w:tr>
      <w:tr w:rsidR="00A5675B" w:rsidRPr="00A5675B" w14:paraId="514BB34B" w14:textId="77777777" w:rsidTr="00463440">
        <w:tc>
          <w:tcPr>
            <w:tcW w:w="3119" w:type="dxa"/>
            <w:tcBorders>
              <w:top w:val="nil"/>
              <w:left w:val="nil"/>
              <w:bottom w:val="nil"/>
              <w:right w:val="nil"/>
            </w:tcBorders>
          </w:tcPr>
          <w:p w14:paraId="2D1FE119"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R</w:t>
            </w:r>
            <w:r w:rsidRPr="00A5675B">
              <w:rPr>
                <w:rFonts w:eastAsia="Cambria" w:cs="Times New Roman"/>
                <w:iCs/>
                <w:szCs w:val="24"/>
                <w:vertAlign w:val="superscript"/>
              </w:rPr>
              <w:t>2</w:t>
            </w:r>
            <w:r w:rsidRPr="00A5675B">
              <w:rPr>
                <w:rFonts w:eastAsia="Cambria" w:cs="Times New Roman"/>
                <w:iCs/>
                <w:szCs w:val="24"/>
              </w:rPr>
              <w:t>/R</w:t>
            </w:r>
            <w:r w:rsidRPr="00A5675B">
              <w:rPr>
                <w:rFonts w:eastAsia="Cambria" w:cs="Times New Roman"/>
                <w:iCs/>
                <w:szCs w:val="24"/>
                <w:vertAlign w:val="superscript"/>
              </w:rPr>
              <w:t>2</w:t>
            </w:r>
            <w:r w:rsidRPr="00A5675B">
              <w:rPr>
                <w:rFonts w:eastAsia="Cambria" w:cs="Times New Roman"/>
                <w:iCs/>
                <w:szCs w:val="24"/>
              </w:rPr>
              <w:t xml:space="preserve"> adjusted</w:t>
            </w:r>
          </w:p>
        </w:tc>
        <w:tc>
          <w:tcPr>
            <w:tcW w:w="1417" w:type="dxa"/>
            <w:tcBorders>
              <w:top w:val="nil"/>
              <w:left w:val="nil"/>
              <w:bottom w:val="nil"/>
              <w:right w:val="nil"/>
            </w:tcBorders>
          </w:tcPr>
          <w:p w14:paraId="3B0B47E9"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0.037/0.018</w:t>
            </w:r>
          </w:p>
        </w:tc>
        <w:tc>
          <w:tcPr>
            <w:tcW w:w="2410" w:type="dxa"/>
            <w:tcBorders>
              <w:top w:val="nil"/>
              <w:left w:val="nil"/>
              <w:bottom w:val="nil"/>
              <w:right w:val="nil"/>
            </w:tcBorders>
          </w:tcPr>
          <w:p w14:paraId="3AD28897" w14:textId="77777777" w:rsidR="00A5675B" w:rsidRPr="00A5675B" w:rsidRDefault="00A5675B" w:rsidP="00A5675B">
            <w:pPr>
              <w:spacing w:after="240" w:line="480" w:lineRule="auto"/>
              <w:jc w:val="center"/>
              <w:rPr>
                <w:rFonts w:eastAsia="Cambria" w:cs="Times New Roman"/>
                <w:iCs/>
                <w:szCs w:val="24"/>
              </w:rPr>
            </w:pPr>
          </w:p>
        </w:tc>
        <w:tc>
          <w:tcPr>
            <w:tcW w:w="1552" w:type="dxa"/>
            <w:tcBorders>
              <w:top w:val="nil"/>
              <w:left w:val="nil"/>
              <w:bottom w:val="nil"/>
              <w:right w:val="nil"/>
            </w:tcBorders>
          </w:tcPr>
          <w:p w14:paraId="39CEE59E" w14:textId="77777777" w:rsidR="00A5675B" w:rsidRPr="00A5675B" w:rsidRDefault="00A5675B" w:rsidP="00A5675B">
            <w:pPr>
              <w:spacing w:after="240" w:line="480" w:lineRule="auto"/>
              <w:jc w:val="right"/>
              <w:rPr>
                <w:rFonts w:eastAsia="Cambria" w:cs="Times New Roman"/>
                <w:iCs/>
                <w:szCs w:val="24"/>
              </w:rPr>
            </w:pPr>
          </w:p>
        </w:tc>
      </w:tr>
    </w:tbl>
    <w:p w14:paraId="33095290"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docGrid w:linePitch="326"/>
        </w:sectPr>
      </w:pPr>
    </w:p>
    <w:p w14:paraId="7131CF68" w14:textId="77777777" w:rsidR="00A5675B" w:rsidRPr="00A5675B" w:rsidRDefault="00A5675B" w:rsidP="00A5675B">
      <w:pPr>
        <w:pStyle w:val="SectionSubtitle"/>
        <w:spacing w:line="480" w:lineRule="auto"/>
        <w:rPr>
          <w:rFonts w:cs="Times New Roman"/>
        </w:rPr>
      </w:pPr>
      <w:bookmarkStart w:id="49" w:name="_Toc162204965"/>
      <w:bookmarkStart w:id="50" w:name="_Toc162794610"/>
      <w:bookmarkStart w:id="51" w:name="_Toc174089134"/>
      <w:bookmarkStart w:id="52" w:name="_Toc178590832"/>
      <w:r w:rsidRPr="00A5675B">
        <w:rPr>
          <w:rFonts w:cs="Times New Roman"/>
        </w:rPr>
        <w:lastRenderedPageBreak/>
        <w:t>Duration of bouts of all behaviours</w:t>
      </w:r>
      <w:bookmarkEnd w:id="49"/>
      <w:bookmarkEnd w:id="50"/>
      <w:bookmarkEnd w:id="51"/>
      <w:bookmarkEnd w:id="52"/>
    </w:p>
    <w:p w14:paraId="1EEEBD26" w14:textId="4AA09BAA" w:rsidR="00A5675B" w:rsidRPr="00A5675B" w:rsidRDefault="00A5675B" w:rsidP="00A5675B">
      <w:pPr>
        <w:spacing w:after="240" w:line="480" w:lineRule="auto"/>
        <w:rPr>
          <w:rFonts w:cs="Times New Roman"/>
          <w:iCs/>
          <w:szCs w:val="24"/>
        </w:rPr>
      </w:pPr>
      <w:r w:rsidRPr="00A5675B">
        <w:rPr>
          <w:rFonts w:cs="Times New Roman"/>
          <w:iCs/>
          <w:szCs w:val="24"/>
        </w:rPr>
        <w:t>In total, 3897 bouts were recorded, of which 2110 bouts, or instances of each behaviour, were of “alert” behaviour, and 1787 bouts were of “foraging” behaviour. The average duration of bouts was 1.75 seconds. Bouts of alertness and foraging differed significantly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-0.256, SE = 0.051, t = -5.002,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with bouts of alertness significantly (</w:t>
      </w:r>
      <m:oMath>
        <m:acc>
          <m:accPr>
            <m:chr m:val="̅"/>
            <m:ctrlPr>
              <w:rPr>
                <w:rFonts w:ascii="Cambria Math" w:hAnsi="Cambria Math" w:cs="Times New Roman"/>
                <w:i/>
                <w:iCs/>
                <w:szCs w:val="24"/>
              </w:rPr>
            </m:ctrlPr>
          </m:accPr>
          <m:e>
            <m:r>
              <w:rPr>
                <w:rFonts w:ascii="Cambria Math" w:hAnsi="Cambria Math" w:cs="Times New Roman"/>
                <w:szCs w:val="24"/>
              </w:rPr>
              <m:t>x</m:t>
            </m:r>
          </m:e>
        </m:acc>
        <m:r>
          <w:rPr>
            <w:rFonts w:ascii="Cambria Math" w:hAnsi="Cambria Math" w:cs="Times New Roman"/>
            <w:szCs w:val="24"/>
          </w:rPr>
          <m:t>=</m:t>
        </m:r>
      </m:oMath>
      <w:r w:rsidRPr="00A5675B">
        <w:rPr>
          <w:rFonts w:cs="Times New Roman"/>
          <w:iCs/>
          <w:szCs w:val="24"/>
        </w:rPr>
        <w:t>1.64 seconds) shorter than bouts of foraging (</w:t>
      </w:r>
      <m:oMath>
        <m:acc>
          <m:accPr>
            <m:chr m:val="̅"/>
            <m:ctrlPr>
              <w:rPr>
                <w:rFonts w:ascii="Cambria Math" w:hAnsi="Cambria Math" w:cs="Times New Roman"/>
                <w:i/>
                <w:iCs/>
                <w:szCs w:val="24"/>
              </w:rPr>
            </m:ctrlPr>
          </m:accPr>
          <m:e>
            <m:r>
              <w:rPr>
                <w:rFonts w:ascii="Cambria Math" w:hAnsi="Cambria Math" w:cs="Times New Roman"/>
                <w:szCs w:val="24"/>
              </w:rPr>
              <m:t>x</m:t>
            </m:r>
          </m:e>
        </m:acc>
        <m:r>
          <w:rPr>
            <w:rFonts w:ascii="Cambria Math" w:hAnsi="Cambria Math" w:cs="Times New Roman"/>
            <w:szCs w:val="24"/>
          </w:rPr>
          <m:t>=</m:t>
        </m:r>
      </m:oMath>
      <w:r w:rsidRPr="00A5675B">
        <w:rPr>
          <w:rFonts w:cs="Times New Roman"/>
          <w:iCs/>
          <w:szCs w:val="24"/>
        </w:rPr>
        <w:t>1.88 seconds). Sentinel presence significantly increased the duration of bouts of all behaviours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0.197, SE = 0.072, t = 2.741, p = 0.006;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In green areas, bouts of all behaviours were significantly longer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0.353, SE = 0.087, t = 4.048,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Disturbance frequency had a significant effect on the duration of all bouts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-0.088, SE = 0.030, t = -2.975, p = 0.003,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with bout duration decreasing as disturbance frequency increased. We found a significant interaction between generalized environment and sentinel presence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-0.252, SE = 0.088, t = -2.863, p = 0.004;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b/>
          <w:bCs/>
          <w:iCs/>
          <w:szCs w:val="24"/>
        </w:rPr>
        <w:t>,</w:t>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and between behaviour type and generalized environment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-0.202, SE = 0.054, t = -3.769,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w:t>
      </w:r>
    </w:p>
    <w:p w14:paraId="47DB11BA" w14:textId="77777777" w:rsidR="00A5675B" w:rsidRPr="00A5675B" w:rsidRDefault="00A5675B" w:rsidP="00A5675B">
      <w:pPr>
        <w:pStyle w:val="SectionSubtitle"/>
        <w:spacing w:line="480" w:lineRule="auto"/>
        <w:rPr>
          <w:rFonts w:cs="Times New Roman"/>
        </w:rPr>
      </w:pPr>
      <w:bookmarkStart w:id="53" w:name="_Toc162204966"/>
      <w:bookmarkStart w:id="54" w:name="_Toc162794611"/>
      <w:bookmarkStart w:id="55" w:name="_Toc174089135"/>
      <w:bookmarkStart w:id="56" w:name="_Toc178590833"/>
      <w:r w:rsidRPr="00A5675B">
        <w:rPr>
          <w:rFonts w:cs="Times New Roman"/>
        </w:rPr>
        <w:t>Duration of bouts of “foraging” behaviour</w:t>
      </w:r>
      <w:bookmarkEnd w:id="53"/>
      <w:bookmarkEnd w:id="54"/>
      <w:bookmarkEnd w:id="55"/>
      <w:bookmarkEnd w:id="56"/>
    </w:p>
    <w:p w14:paraId="196B0A03"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docGrid w:linePitch="326"/>
        </w:sectPr>
      </w:pPr>
      <w:r w:rsidRPr="00A5675B">
        <w:rPr>
          <w:rFonts w:cs="Times New Roman"/>
          <w:iCs/>
          <w:szCs w:val="24"/>
        </w:rPr>
        <w:t>Sentinel presence had no significant effect on the duration of bouts of foraging behaviour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0.092, SE = 0.072, t = 1.280, p = 0.201;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Generalized environment had a significant effect on the duration of bouts of foraging behaviour, with longer bouts in green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0.383, SE = 0.078, t = 4.919,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Larger groups had significantly longer bouts of foraging behaviour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-0.152, SE = 0.068, t = -2.221, </w:t>
      </w:r>
    </w:p>
    <w:p w14:paraId="5ABCF260" w14:textId="2ADD39B1" w:rsidR="00A5675B" w:rsidRPr="00A5675B" w:rsidRDefault="00A5675B" w:rsidP="00A5675B">
      <w:pPr>
        <w:spacing w:after="240" w:line="480" w:lineRule="auto"/>
        <w:rPr>
          <w:rFonts w:cs="Times New Roman"/>
          <w:iCs/>
          <w:szCs w:val="24"/>
        </w:rPr>
      </w:pPr>
      <w:r w:rsidRPr="00A5675B">
        <w:rPr>
          <w:rFonts w:cs="Times New Roman"/>
          <w:iCs/>
          <w:noProof/>
          <w:szCs w:val="24"/>
        </w:rPr>
        <w:lastRenderedPageBreak/>
        <w:drawing>
          <wp:inline distT="0" distB="0" distL="0" distR="0" wp14:anchorId="7629498E" wp14:editId="28F7C932">
            <wp:extent cx="5520906" cy="3943505"/>
            <wp:effectExtent l="0" t="0" r="3810" b="0"/>
            <wp:docPr id="1544946594" name="Picture 4" descr="A graph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6594" name="Picture 4" descr="A graph of numbers and letters&#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1808" cy="3979863"/>
                    </a:xfrm>
                    <a:prstGeom prst="rect">
                      <a:avLst/>
                    </a:prstGeom>
                    <a:noFill/>
                    <a:ln>
                      <a:noFill/>
                    </a:ln>
                  </pic:spPr>
                </pic:pic>
              </a:graphicData>
            </a:graphic>
          </wp:inline>
        </w:drawing>
      </w:r>
    </w:p>
    <w:p w14:paraId="5D90C886" w14:textId="77777777" w:rsidR="00A5675B" w:rsidRDefault="00A5675B" w:rsidP="00A5675B">
      <w:pPr>
        <w:spacing w:after="240" w:line="480" w:lineRule="auto"/>
        <w:rPr>
          <w:rFonts w:cs="Times New Roman"/>
          <w:iCs/>
          <w:szCs w:val="24"/>
        </w:rPr>
        <w:sectPr w:rsidR="00A5675B" w:rsidSect="00A5675B">
          <w:type w:val="continuous"/>
          <w:pgSz w:w="12240" w:h="15840"/>
          <w:pgMar w:top="1440" w:right="1440" w:bottom="1440" w:left="1440" w:header="720" w:footer="720" w:gutter="0"/>
          <w:lnNumType w:countBy="1" w:restart="continuous"/>
          <w:cols w:space="720"/>
        </w:sectPr>
      </w:pPr>
      <w:bookmarkStart w:id="57" w:name="_Ref151137725"/>
      <w:bookmarkStart w:id="58" w:name="_Ref169246911"/>
      <w:bookmarkStart w:id="59" w:name="_Toc174089080"/>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bookmarkEnd w:id="57"/>
      <w:r w:rsidRPr="00A5675B">
        <w:rPr>
          <w:rFonts w:cs="Times New Roman"/>
          <w:b/>
          <w:bCs/>
          <w:szCs w:val="24"/>
        </w:rPr>
        <w:t>:</w:t>
      </w:r>
      <w:r w:rsidRPr="00A5675B">
        <w:rPr>
          <w:rFonts w:cs="Times New Roman"/>
          <w:iCs/>
          <w:szCs w:val="24"/>
        </w:rPr>
        <w:t xml:space="preserve"> Mean bout duration of foragers in commercial and green areas. The error bars represent the standard error.</w:t>
      </w:r>
      <w:bookmarkStart w:id="60" w:name="_Ref151137897"/>
      <w:bookmarkStart w:id="61" w:name="_Ref151143600"/>
      <w:bookmarkStart w:id="62" w:name="_Toc178514314"/>
      <w:bookmarkEnd w:id="58"/>
      <w:bookmarkEnd w:id="59"/>
    </w:p>
    <w:p w14:paraId="4AD0A274" w14:textId="193BFD56" w:rsidR="00A5675B" w:rsidRPr="00A5675B" w:rsidRDefault="00A5675B" w:rsidP="00A5675B">
      <w:pPr>
        <w:spacing w:after="240" w:line="480" w:lineRule="auto"/>
        <w:rPr>
          <w:rFonts w:cs="Times New Roman"/>
          <w:iCs/>
          <w:szCs w:val="24"/>
        </w:rPr>
      </w:pPr>
      <w:r w:rsidRPr="00A5675B">
        <w:rPr>
          <w:rFonts w:cs="Times New Roman"/>
          <w:b/>
          <w:bCs/>
          <w:szCs w:val="24"/>
        </w:rPr>
        <w:lastRenderedPageBreak/>
        <w:t xml:space="preserve">Table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Table \* ARABIC \s 1 </w:instrText>
      </w:r>
      <w:r w:rsidRPr="00A5675B">
        <w:rPr>
          <w:rFonts w:cs="Times New Roman"/>
          <w:b/>
          <w:bCs/>
          <w:szCs w:val="24"/>
        </w:rPr>
        <w:fldChar w:fldCharType="separate"/>
      </w:r>
      <w:r w:rsidRPr="00A5675B">
        <w:rPr>
          <w:rFonts w:cs="Times New Roman"/>
          <w:b/>
          <w:bCs/>
          <w:noProof/>
          <w:szCs w:val="24"/>
        </w:rPr>
        <w:t>2</w:t>
      </w:r>
      <w:r w:rsidRPr="00A5675B">
        <w:rPr>
          <w:rFonts w:cs="Times New Roman"/>
          <w:b/>
          <w:bCs/>
          <w:szCs w:val="24"/>
        </w:rPr>
        <w:fldChar w:fldCharType="end"/>
      </w:r>
      <w:bookmarkEnd w:id="60"/>
      <w:r w:rsidRPr="00A5675B">
        <w:rPr>
          <w:rFonts w:cs="Times New Roman"/>
          <w:b/>
          <w:bCs/>
          <w:szCs w:val="24"/>
        </w:rPr>
        <w:t>:</w:t>
      </w:r>
      <w:r w:rsidRPr="00A5675B">
        <w:rPr>
          <w:rFonts w:cs="Times New Roman"/>
          <w:iCs/>
          <w:szCs w:val="24"/>
        </w:rPr>
        <w:t xml:space="preserve"> Results of the linear mixed models fit to the mean bout duration</w:t>
      </w:r>
      <w:bookmarkEnd w:id="61"/>
      <w:r w:rsidRPr="00A5675B">
        <w:rPr>
          <w:rFonts w:cs="Times New Roman"/>
          <w:iCs/>
          <w:szCs w:val="24"/>
        </w:rPr>
        <w:t>.</w:t>
      </w:r>
      <w:bookmarkEnd w:id="62"/>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4"/>
        <w:gridCol w:w="994"/>
        <w:gridCol w:w="766"/>
        <w:gridCol w:w="780"/>
        <w:gridCol w:w="994"/>
        <w:gridCol w:w="766"/>
        <w:gridCol w:w="780"/>
        <w:gridCol w:w="994"/>
        <w:gridCol w:w="766"/>
        <w:gridCol w:w="666"/>
      </w:tblGrid>
      <w:tr w:rsidR="00A5675B" w:rsidRPr="00A5675B" w14:paraId="2125CBB4" w14:textId="77777777" w:rsidTr="00463440">
        <w:tc>
          <w:tcPr>
            <w:tcW w:w="1302" w:type="pct"/>
            <w:tcBorders>
              <w:bottom w:val="single" w:sz="12" w:space="0" w:color="auto"/>
            </w:tcBorders>
          </w:tcPr>
          <w:p w14:paraId="40F5135C" w14:textId="77777777" w:rsidR="00A5675B" w:rsidRPr="00A5675B" w:rsidRDefault="00A5675B" w:rsidP="00A5675B">
            <w:pPr>
              <w:spacing w:before="120" w:after="120" w:line="240" w:lineRule="auto"/>
              <w:rPr>
                <w:rFonts w:eastAsia="Cambria" w:cs="Times New Roman"/>
                <w:b/>
                <w:bCs/>
                <w:iCs/>
                <w:sz w:val="20"/>
                <w:szCs w:val="20"/>
              </w:rPr>
            </w:pPr>
          </w:p>
        </w:tc>
        <w:tc>
          <w:tcPr>
            <w:tcW w:w="1250" w:type="pct"/>
            <w:gridSpan w:val="3"/>
            <w:tcBorders>
              <w:bottom w:val="single" w:sz="12" w:space="0" w:color="auto"/>
            </w:tcBorders>
          </w:tcPr>
          <w:p w14:paraId="14F47463"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all behaviours</w:t>
            </w:r>
          </w:p>
        </w:tc>
        <w:tc>
          <w:tcPr>
            <w:tcW w:w="1251" w:type="pct"/>
            <w:gridSpan w:val="3"/>
            <w:tcBorders>
              <w:bottom w:val="single" w:sz="12" w:space="0" w:color="auto"/>
            </w:tcBorders>
          </w:tcPr>
          <w:p w14:paraId="0121A3C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foraging behaviour</w:t>
            </w:r>
          </w:p>
        </w:tc>
        <w:tc>
          <w:tcPr>
            <w:tcW w:w="1197" w:type="pct"/>
            <w:gridSpan w:val="3"/>
            <w:tcBorders>
              <w:bottom w:val="single" w:sz="12" w:space="0" w:color="auto"/>
            </w:tcBorders>
          </w:tcPr>
          <w:p w14:paraId="0294CA6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alert behaviour</w:t>
            </w:r>
          </w:p>
        </w:tc>
      </w:tr>
      <w:tr w:rsidR="00A5675B" w:rsidRPr="00A5675B" w14:paraId="3A773FA9" w14:textId="77777777" w:rsidTr="00463440">
        <w:tc>
          <w:tcPr>
            <w:tcW w:w="1302" w:type="pct"/>
            <w:tcBorders>
              <w:top w:val="single" w:sz="12" w:space="0" w:color="auto"/>
              <w:bottom w:val="double" w:sz="4" w:space="0" w:color="auto"/>
            </w:tcBorders>
          </w:tcPr>
          <w:p w14:paraId="42048826"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Predictors</w:t>
            </w:r>
          </w:p>
        </w:tc>
        <w:tc>
          <w:tcPr>
            <w:tcW w:w="497" w:type="pct"/>
            <w:tcBorders>
              <w:top w:val="single" w:sz="12" w:space="0" w:color="auto"/>
              <w:bottom w:val="double" w:sz="4" w:space="0" w:color="auto"/>
            </w:tcBorders>
          </w:tcPr>
          <w:p w14:paraId="42E7FD7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58F4D1A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61" w:type="pct"/>
            <w:tcBorders>
              <w:top w:val="single" w:sz="12" w:space="0" w:color="auto"/>
              <w:bottom w:val="double" w:sz="4" w:space="0" w:color="auto"/>
            </w:tcBorders>
          </w:tcPr>
          <w:p w14:paraId="431B7EFB"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c>
          <w:tcPr>
            <w:tcW w:w="499" w:type="pct"/>
            <w:tcBorders>
              <w:top w:val="single" w:sz="12" w:space="0" w:color="auto"/>
              <w:bottom w:val="double" w:sz="4" w:space="0" w:color="auto"/>
            </w:tcBorders>
          </w:tcPr>
          <w:p w14:paraId="10E34D6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7B1E6487"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61" w:type="pct"/>
            <w:tcBorders>
              <w:top w:val="single" w:sz="12" w:space="0" w:color="auto"/>
              <w:bottom w:val="double" w:sz="4" w:space="0" w:color="auto"/>
            </w:tcBorders>
          </w:tcPr>
          <w:p w14:paraId="58037A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c>
          <w:tcPr>
            <w:tcW w:w="497" w:type="pct"/>
            <w:tcBorders>
              <w:top w:val="single" w:sz="12" w:space="0" w:color="auto"/>
              <w:bottom w:val="double" w:sz="4" w:space="0" w:color="auto"/>
            </w:tcBorders>
          </w:tcPr>
          <w:p w14:paraId="1884B9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36BEC8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08" w:type="pct"/>
            <w:tcBorders>
              <w:top w:val="single" w:sz="12" w:space="0" w:color="auto"/>
              <w:bottom w:val="double" w:sz="4" w:space="0" w:color="auto"/>
            </w:tcBorders>
          </w:tcPr>
          <w:p w14:paraId="501B181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r>
      <w:tr w:rsidR="00A5675B" w:rsidRPr="00A5675B" w14:paraId="2F701562" w14:textId="77777777" w:rsidTr="00463440">
        <w:tc>
          <w:tcPr>
            <w:tcW w:w="1302" w:type="pct"/>
            <w:tcBorders>
              <w:top w:val="double" w:sz="4" w:space="0" w:color="auto"/>
            </w:tcBorders>
          </w:tcPr>
          <w:p w14:paraId="0BD1F710"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Intercept</w:t>
            </w:r>
          </w:p>
        </w:tc>
        <w:tc>
          <w:tcPr>
            <w:tcW w:w="497" w:type="pct"/>
            <w:tcBorders>
              <w:top w:val="double" w:sz="4" w:space="0" w:color="auto"/>
            </w:tcBorders>
          </w:tcPr>
          <w:p w14:paraId="10FFCAE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0.3330</w:t>
            </w:r>
          </w:p>
        </w:tc>
        <w:tc>
          <w:tcPr>
            <w:tcW w:w="392" w:type="pct"/>
            <w:tcBorders>
              <w:top w:val="double" w:sz="4" w:space="0" w:color="auto"/>
            </w:tcBorders>
          </w:tcPr>
          <w:p w14:paraId="40189CB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0.1032</w:t>
            </w:r>
          </w:p>
        </w:tc>
        <w:tc>
          <w:tcPr>
            <w:tcW w:w="361" w:type="pct"/>
            <w:tcBorders>
              <w:top w:val="double" w:sz="4" w:space="0" w:color="auto"/>
            </w:tcBorders>
          </w:tcPr>
          <w:p w14:paraId="0B4128A5"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0.001</w:t>
            </w:r>
          </w:p>
        </w:tc>
        <w:tc>
          <w:tcPr>
            <w:tcW w:w="499" w:type="pct"/>
            <w:tcBorders>
              <w:top w:val="double" w:sz="4" w:space="0" w:color="auto"/>
            </w:tcBorders>
          </w:tcPr>
          <w:p w14:paraId="5DC107B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0.4370</w:t>
            </w:r>
          </w:p>
        </w:tc>
        <w:tc>
          <w:tcPr>
            <w:tcW w:w="392" w:type="pct"/>
            <w:tcBorders>
              <w:top w:val="double" w:sz="4" w:space="0" w:color="auto"/>
            </w:tcBorders>
          </w:tcPr>
          <w:p w14:paraId="51513BF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0.0929</w:t>
            </w:r>
          </w:p>
        </w:tc>
        <w:tc>
          <w:tcPr>
            <w:tcW w:w="361" w:type="pct"/>
            <w:tcBorders>
              <w:top w:val="double" w:sz="4" w:space="0" w:color="auto"/>
            </w:tcBorders>
          </w:tcPr>
          <w:p w14:paraId="34772A35"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Borders>
              <w:top w:val="double" w:sz="4" w:space="0" w:color="auto"/>
            </w:tcBorders>
          </w:tcPr>
          <w:p w14:paraId="5A9B10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0.0165</w:t>
            </w:r>
          </w:p>
        </w:tc>
        <w:tc>
          <w:tcPr>
            <w:tcW w:w="392" w:type="pct"/>
            <w:tcBorders>
              <w:top w:val="double" w:sz="4" w:space="0" w:color="auto"/>
            </w:tcBorders>
          </w:tcPr>
          <w:p w14:paraId="09C7FE1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0.1530</w:t>
            </w:r>
          </w:p>
        </w:tc>
        <w:tc>
          <w:tcPr>
            <w:tcW w:w="308" w:type="pct"/>
            <w:tcBorders>
              <w:top w:val="double" w:sz="4" w:space="0" w:color="auto"/>
            </w:tcBorders>
          </w:tcPr>
          <w:p w14:paraId="586B823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0.914</w:t>
            </w:r>
          </w:p>
        </w:tc>
      </w:tr>
      <w:tr w:rsidR="00A5675B" w:rsidRPr="00A5675B" w14:paraId="0D6E4AAB" w14:textId="77777777" w:rsidTr="00463440">
        <w:tc>
          <w:tcPr>
            <w:tcW w:w="1302" w:type="pct"/>
          </w:tcPr>
          <w:p w14:paraId="79F1256B"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Sentinel Presence</w:t>
            </w:r>
          </w:p>
        </w:tc>
        <w:tc>
          <w:tcPr>
            <w:tcW w:w="497" w:type="pct"/>
          </w:tcPr>
          <w:p w14:paraId="33356B6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0.1974</w:t>
            </w:r>
          </w:p>
        </w:tc>
        <w:tc>
          <w:tcPr>
            <w:tcW w:w="392" w:type="pct"/>
          </w:tcPr>
          <w:p w14:paraId="2365960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0.0720</w:t>
            </w:r>
          </w:p>
        </w:tc>
        <w:tc>
          <w:tcPr>
            <w:tcW w:w="361" w:type="pct"/>
          </w:tcPr>
          <w:p w14:paraId="0B383A1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0.006</w:t>
            </w:r>
          </w:p>
        </w:tc>
        <w:tc>
          <w:tcPr>
            <w:tcW w:w="499" w:type="pct"/>
          </w:tcPr>
          <w:p w14:paraId="071978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0.0919</w:t>
            </w:r>
          </w:p>
        </w:tc>
        <w:tc>
          <w:tcPr>
            <w:tcW w:w="392" w:type="pct"/>
          </w:tcPr>
          <w:p w14:paraId="7722091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0.0718</w:t>
            </w:r>
          </w:p>
        </w:tc>
        <w:tc>
          <w:tcPr>
            <w:tcW w:w="361" w:type="pct"/>
          </w:tcPr>
          <w:p w14:paraId="6FC38A4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0.201</w:t>
            </w:r>
          </w:p>
        </w:tc>
        <w:tc>
          <w:tcPr>
            <w:tcW w:w="497" w:type="pct"/>
          </w:tcPr>
          <w:p w14:paraId="3B9D88C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0.1480</w:t>
            </w:r>
          </w:p>
        </w:tc>
        <w:tc>
          <w:tcPr>
            <w:tcW w:w="392" w:type="pct"/>
          </w:tcPr>
          <w:p w14:paraId="2596492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0.1005</w:t>
            </w:r>
          </w:p>
        </w:tc>
        <w:tc>
          <w:tcPr>
            <w:tcW w:w="308" w:type="pct"/>
          </w:tcPr>
          <w:p w14:paraId="118098B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0.141</w:t>
            </w:r>
          </w:p>
        </w:tc>
      </w:tr>
      <w:tr w:rsidR="00A5675B" w:rsidRPr="00A5675B" w14:paraId="4CF2EAE7" w14:textId="77777777" w:rsidTr="00463440">
        <w:tc>
          <w:tcPr>
            <w:tcW w:w="1302" w:type="pct"/>
          </w:tcPr>
          <w:p w14:paraId="5B33347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Generalized Environment</w:t>
            </w:r>
          </w:p>
        </w:tc>
        <w:tc>
          <w:tcPr>
            <w:tcW w:w="497" w:type="pct"/>
          </w:tcPr>
          <w:p w14:paraId="5670E23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0.3534</w:t>
            </w:r>
          </w:p>
        </w:tc>
        <w:tc>
          <w:tcPr>
            <w:tcW w:w="392" w:type="pct"/>
          </w:tcPr>
          <w:p w14:paraId="43A262A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0.0873</w:t>
            </w:r>
          </w:p>
        </w:tc>
        <w:tc>
          <w:tcPr>
            <w:tcW w:w="361" w:type="pct"/>
          </w:tcPr>
          <w:p w14:paraId="47AF1C8C"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Pr>
          <w:p w14:paraId="23E7011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0.3826</w:t>
            </w:r>
          </w:p>
        </w:tc>
        <w:tc>
          <w:tcPr>
            <w:tcW w:w="392" w:type="pct"/>
          </w:tcPr>
          <w:p w14:paraId="7021040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0.0778</w:t>
            </w:r>
          </w:p>
        </w:tc>
        <w:tc>
          <w:tcPr>
            <w:tcW w:w="361" w:type="pct"/>
          </w:tcPr>
          <w:p w14:paraId="3DA551DF"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Pr>
          <w:p w14:paraId="0A42A84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0.1619</w:t>
            </w:r>
          </w:p>
        </w:tc>
        <w:tc>
          <w:tcPr>
            <w:tcW w:w="392" w:type="pct"/>
          </w:tcPr>
          <w:p w14:paraId="3A3DDA6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0.1258</w:t>
            </w:r>
          </w:p>
        </w:tc>
        <w:tc>
          <w:tcPr>
            <w:tcW w:w="308" w:type="pct"/>
          </w:tcPr>
          <w:p w14:paraId="71F1310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0.198</w:t>
            </w:r>
          </w:p>
        </w:tc>
      </w:tr>
      <w:tr w:rsidR="00A5675B" w:rsidRPr="00A5675B" w14:paraId="0D6ED6D1" w14:textId="77777777" w:rsidTr="00463440">
        <w:tc>
          <w:tcPr>
            <w:tcW w:w="1302" w:type="pct"/>
          </w:tcPr>
          <w:p w14:paraId="1E2A887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Group Size</w:t>
            </w:r>
          </w:p>
        </w:tc>
        <w:tc>
          <w:tcPr>
            <w:tcW w:w="497" w:type="pct"/>
          </w:tcPr>
          <w:p w14:paraId="60C13FC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-0.0046</w:t>
            </w:r>
          </w:p>
        </w:tc>
        <w:tc>
          <w:tcPr>
            <w:tcW w:w="392" w:type="pct"/>
          </w:tcPr>
          <w:p w14:paraId="70B972C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0.0766</w:t>
            </w:r>
          </w:p>
        </w:tc>
        <w:tc>
          <w:tcPr>
            <w:tcW w:w="361" w:type="pct"/>
          </w:tcPr>
          <w:p w14:paraId="1574942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0.952</w:t>
            </w:r>
          </w:p>
        </w:tc>
        <w:tc>
          <w:tcPr>
            <w:tcW w:w="499" w:type="pct"/>
          </w:tcPr>
          <w:p w14:paraId="3463A8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-0.1519</w:t>
            </w:r>
          </w:p>
        </w:tc>
        <w:tc>
          <w:tcPr>
            <w:tcW w:w="392" w:type="pct"/>
          </w:tcPr>
          <w:p w14:paraId="6E405F4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0.0684</w:t>
            </w:r>
          </w:p>
        </w:tc>
        <w:tc>
          <w:tcPr>
            <w:tcW w:w="361" w:type="pct"/>
          </w:tcPr>
          <w:p w14:paraId="3693AA7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0.026</w:t>
            </w:r>
          </w:p>
        </w:tc>
        <w:tc>
          <w:tcPr>
            <w:tcW w:w="497" w:type="pct"/>
          </w:tcPr>
          <w:p w14:paraId="59FF6D5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0.1057</w:t>
            </w:r>
          </w:p>
        </w:tc>
        <w:tc>
          <w:tcPr>
            <w:tcW w:w="392" w:type="pct"/>
          </w:tcPr>
          <w:p w14:paraId="3711D7A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0.1186</w:t>
            </w:r>
          </w:p>
        </w:tc>
        <w:tc>
          <w:tcPr>
            <w:tcW w:w="308" w:type="pct"/>
          </w:tcPr>
          <w:p w14:paraId="428BEF7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0.373</w:t>
            </w:r>
          </w:p>
        </w:tc>
      </w:tr>
      <w:tr w:rsidR="00A5675B" w:rsidRPr="00A5675B" w14:paraId="22AB2810" w14:textId="77777777" w:rsidTr="00463440">
        <w:tc>
          <w:tcPr>
            <w:tcW w:w="1302" w:type="pct"/>
          </w:tcPr>
          <w:p w14:paraId="7033CBF1"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Bait Presence</w:t>
            </w:r>
          </w:p>
        </w:tc>
        <w:tc>
          <w:tcPr>
            <w:tcW w:w="497" w:type="pct"/>
          </w:tcPr>
          <w:p w14:paraId="0E23C95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-0.1430</w:t>
            </w:r>
          </w:p>
        </w:tc>
        <w:tc>
          <w:tcPr>
            <w:tcW w:w="392" w:type="pct"/>
          </w:tcPr>
          <w:p w14:paraId="0DF02B4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0.0760</w:t>
            </w:r>
          </w:p>
        </w:tc>
        <w:tc>
          <w:tcPr>
            <w:tcW w:w="361" w:type="pct"/>
          </w:tcPr>
          <w:p w14:paraId="51B93BB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0.060</w:t>
            </w:r>
          </w:p>
        </w:tc>
        <w:tc>
          <w:tcPr>
            <w:tcW w:w="499" w:type="pct"/>
          </w:tcPr>
          <w:p w14:paraId="4A352ED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-0.1385</w:t>
            </w:r>
          </w:p>
        </w:tc>
        <w:tc>
          <w:tcPr>
            <w:tcW w:w="392" w:type="pct"/>
          </w:tcPr>
          <w:p w14:paraId="75534AB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0.0697</w:t>
            </w:r>
          </w:p>
        </w:tc>
        <w:tc>
          <w:tcPr>
            <w:tcW w:w="361" w:type="pct"/>
          </w:tcPr>
          <w:p w14:paraId="17655EEA"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0.047</w:t>
            </w:r>
          </w:p>
        </w:tc>
        <w:tc>
          <w:tcPr>
            <w:tcW w:w="497" w:type="pct"/>
          </w:tcPr>
          <w:p w14:paraId="26F6FF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-0.1378</w:t>
            </w:r>
          </w:p>
        </w:tc>
        <w:tc>
          <w:tcPr>
            <w:tcW w:w="392" w:type="pct"/>
          </w:tcPr>
          <w:p w14:paraId="6CA7C50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0.1180</w:t>
            </w:r>
          </w:p>
        </w:tc>
        <w:tc>
          <w:tcPr>
            <w:tcW w:w="308" w:type="pct"/>
          </w:tcPr>
          <w:p w14:paraId="7B3E5E0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0.243</w:t>
            </w:r>
          </w:p>
        </w:tc>
      </w:tr>
      <w:tr w:rsidR="00A5675B" w:rsidRPr="00A5675B" w14:paraId="34551792" w14:textId="77777777" w:rsidTr="00463440">
        <w:tc>
          <w:tcPr>
            <w:tcW w:w="1302" w:type="pct"/>
          </w:tcPr>
          <w:p w14:paraId="1B2CB3B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Disturbance Frequency</w:t>
            </w:r>
          </w:p>
        </w:tc>
        <w:tc>
          <w:tcPr>
            <w:tcW w:w="497" w:type="pct"/>
          </w:tcPr>
          <w:p w14:paraId="1CF785B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-0.0878</w:t>
            </w:r>
          </w:p>
        </w:tc>
        <w:tc>
          <w:tcPr>
            <w:tcW w:w="392" w:type="pct"/>
          </w:tcPr>
          <w:p w14:paraId="5ED2931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0.0295</w:t>
            </w:r>
          </w:p>
        </w:tc>
        <w:tc>
          <w:tcPr>
            <w:tcW w:w="361" w:type="pct"/>
          </w:tcPr>
          <w:p w14:paraId="4F6143ED"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0.003</w:t>
            </w:r>
          </w:p>
        </w:tc>
        <w:tc>
          <w:tcPr>
            <w:tcW w:w="499" w:type="pct"/>
          </w:tcPr>
          <w:p w14:paraId="6177B6E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-0.1075</w:t>
            </w:r>
          </w:p>
        </w:tc>
        <w:tc>
          <w:tcPr>
            <w:tcW w:w="392" w:type="pct"/>
          </w:tcPr>
          <w:p w14:paraId="48AFE97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0.0301</w:t>
            </w:r>
          </w:p>
        </w:tc>
        <w:tc>
          <w:tcPr>
            <w:tcW w:w="361" w:type="pct"/>
          </w:tcPr>
          <w:p w14:paraId="1F9D8E7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Pr>
          <w:p w14:paraId="7A6F698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-0.0624</w:t>
            </w:r>
          </w:p>
        </w:tc>
        <w:tc>
          <w:tcPr>
            <w:tcW w:w="392" w:type="pct"/>
          </w:tcPr>
          <w:p w14:paraId="1F31763B"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0.0453</w:t>
            </w:r>
          </w:p>
        </w:tc>
        <w:tc>
          <w:tcPr>
            <w:tcW w:w="308" w:type="pct"/>
          </w:tcPr>
          <w:p w14:paraId="479182D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0.169</w:t>
            </w:r>
          </w:p>
        </w:tc>
      </w:tr>
      <w:tr w:rsidR="00A5675B" w:rsidRPr="00A5675B" w14:paraId="38FDBA6E" w14:textId="77777777" w:rsidTr="00463440">
        <w:tc>
          <w:tcPr>
            <w:tcW w:w="1302" w:type="pct"/>
          </w:tcPr>
          <w:p w14:paraId="3F760EFC"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Sentinel Presence: Generalized Environment</w:t>
            </w:r>
          </w:p>
        </w:tc>
        <w:tc>
          <w:tcPr>
            <w:tcW w:w="497" w:type="pct"/>
          </w:tcPr>
          <w:p w14:paraId="2F29B64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-0.2524</w:t>
            </w:r>
          </w:p>
        </w:tc>
        <w:tc>
          <w:tcPr>
            <w:tcW w:w="392" w:type="pct"/>
          </w:tcPr>
          <w:p w14:paraId="6E43C997"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0.0882</w:t>
            </w:r>
          </w:p>
        </w:tc>
        <w:tc>
          <w:tcPr>
            <w:tcW w:w="361" w:type="pct"/>
          </w:tcPr>
          <w:p w14:paraId="39999E5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0.004</w:t>
            </w:r>
          </w:p>
        </w:tc>
        <w:tc>
          <w:tcPr>
            <w:tcW w:w="499" w:type="pct"/>
          </w:tcPr>
          <w:p w14:paraId="555C4C7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-0.2272</w:t>
            </w:r>
          </w:p>
        </w:tc>
        <w:tc>
          <w:tcPr>
            <w:tcW w:w="392" w:type="pct"/>
          </w:tcPr>
          <w:p w14:paraId="50ED66E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0.0914</w:t>
            </w:r>
          </w:p>
        </w:tc>
        <w:tc>
          <w:tcPr>
            <w:tcW w:w="361" w:type="pct"/>
          </w:tcPr>
          <w:p w14:paraId="3E91ED02"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0.013</w:t>
            </w:r>
          </w:p>
        </w:tc>
        <w:tc>
          <w:tcPr>
            <w:tcW w:w="497" w:type="pct"/>
          </w:tcPr>
          <w:p w14:paraId="7F3E42E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-0.2736</w:t>
            </w:r>
          </w:p>
        </w:tc>
        <w:tc>
          <w:tcPr>
            <w:tcW w:w="392" w:type="pct"/>
          </w:tcPr>
          <w:p w14:paraId="129AC98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0.1352</w:t>
            </w:r>
          </w:p>
        </w:tc>
        <w:tc>
          <w:tcPr>
            <w:tcW w:w="308" w:type="pct"/>
          </w:tcPr>
          <w:p w14:paraId="57321FE0"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0.043</w:t>
            </w:r>
          </w:p>
        </w:tc>
      </w:tr>
      <w:tr w:rsidR="00A5675B" w:rsidRPr="00A5675B" w14:paraId="2AED2FAA" w14:textId="77777777" w:rsidTr="00463440">
        <w:tc>
          <w:tcPr>
            <w:tcW w:w="1302" w:type="pct"/>
          </w:tcPr>
          <w:p w14:paraId="78E5D09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w:t>
            </w:r>
          </w:p>
        </w:tc>
        <w:tc>
          <w:tcPr>
            <w:tcW w:w="497" w:type="pct"/>
          </w:tcPr>
          <w:p w14:paraId="237F5D3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-0.2557</w:t>
            </w:r>
          </w:p>
        </w:tc>
        <w:tc>
          <w:tcPr>
            <w:tcW w:w="392" w:type="pct"/>
          </w:tcPr>
          <w:p w14:paraId="6828ABB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0.0511</w:t>
            </w:r>
          </w:p>
        </w:tc>
        <w:tc>
          <w:tcPr>
            <w:tcW w:w="361" w:type="pct"/>
          </w:tcPr>
          <w:p w14:paraId="7B50CBBE"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Pr>
          <w:p w14:paraId="65A53BAC"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0EEF14DF"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05006B42"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7C1F77F3"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5E498F39"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470877EA"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5C8EA438" w14:textId="77777777" w:rsidTr="00463440">
        <w:tc>
          <w:tcPr>
            <w:tcW w:w="1302" w:type="pct"/>
          </w:tcPr>
          <w:p w14:paraId="684A568F"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 Sentinel Presence</w:t>
            </w:r>
          </w:p>
        </w:tc>
        <w:tc>
          <w:tcPr>
            <w:tcW w:w="497" w:type="pct"/>
          </w:tcPr>
          <w:p w14:paraId="06E7A8E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-0.0810</w:t>
            </w:r>
          </w:p>
        </w:tc>
        <w:tc>
          <w:tcPr>
            <w:tcW w:w="392" w:type="pct"/>
          </w:tcPr>
          <w:p w14:paraId="00488B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0.0563</w:t>
            </w:r>
          </w:p>
        </w:tc>
        <w:tc>
          <w:tcPr>
            <w:tcW w:w="361" w:type="pct"/>
          </w:tcPr>
          <w:p w14:paraId="7A18B93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0.150</w:t>
            </w:r>
          </w:p>
        </w:tc>
        <w:tc>
          <w:tcPr>
            <w:tcW w:w="499" w:type="pct"/>
          </w:tcPr>
          <w:p w14:paraId="218597A6"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1D176D22"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26C2832D"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0F2F1650"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1C77C10C"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3935B5DD"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A1D4262" w14:textId="77777777" w:rsidTr="00463440">
        <w:tc>
          <w:tcPr>
            <w:tcW w:w="1302" w:type="pct"/>
            <w:tcBorders>
              <w:bottom w:val="double" w:sz="4" w:space="0" w:color="auto"/>
            </w:tcBorders>
          </w:tcPr>
          <w:p w14:paraId="673ED660"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 Generalized Environment</w:t>
            </w:r>
          </w:p>
        </w:tc>
        <w:tc>
          <w:tcPr>
            <w:tcW w:w="497" w:type="pct"/>
            <w:tcBorders>
              <w:bottom w:val="double" w:sz="4" w:space="0" w:color="auto"/>
            </w:tcBorders>
          </w:tcPr>
          <w:p w14:paraId="70B31F8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-0.2023</w:t>
            </w:r>
          </w:p>
        </w:tc>
        <w:tc>
          <w:tcPr>
            <w:tcW w:w="392" w:type="pct"/>
            <w:tcBorders>
              <w:bottom w:val="double" w:sz="4" w:space="0" w:color="auto"/>
            </w:tcBorders>
          </w:tcPr>
          <w:p w14:paraId="22CC70A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0.0537</w:t>
            </w:r>
          </w:p>
        </w:tc>
        <w:tc>
          <w:tcPr>
            <w:tcW w:w="361" w:type="pct"/>
            <w:tcBorders>
              <w:bottom w:val="double" w:sz="4" w:space="0" w:color="auto"/>
            </w:tcBorders>
          </w:tcPr>
          <w:p w14:paraId="180A99F3"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Borders>
              <w:bottom w:val="double" w:sz="4" w:space="0" w:color="auto"/>
            </w:tcBorders>
          </w:tcPr>
          <w:p w14:paraId="69C0CC9A"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bottom w:val="double" w:sz="4" w:space="0" w:color="auto"/>
            </w:tcBorders>
          </w:tcPr>
          <w:p w14:paraId="24761B2B"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61FD17B0"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bottom w:val="double" w:sz="4" w:space="0" w:color="auto"/>
            </w:tcBorders>
          </w:tcPr>
          <w:p w14:paraId="45829753"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bottom w:val="double" w:sz="4" w:space="0" w:color="auto"/>
            </w:tcBorders>
          </w:tcPr>
          <w:p w14:paraId="3DF42391"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bottom w:val="double" w:sz="4" w:space="0" w:color="auto"/>
            </w:tcBorders>
          </w:tcPr>
          <w:p w14:paraId="5A055867"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0C6EC01" w14:textId="77777777" w:rsidTr="00463440">
        <w:tc>
          <w:tcPr>
            <w:tcW w:w="1799" w:type="pct"/>
            <w:gridSpan w:val="2"/>
            <w:tcBorders>
              <w:top w:val="double" w:sz="4" w:space="0" w:color="auto"/>
            </w:tcBorders>
          </w:tcPr>
          <w:p w14:paraId="6F8870B5" w14:textId="77777777" w:rsidR="00A5675B" w:rsidRPr="00A5675B" w:rsidRDefault="00A5675B" w:rsidP="00A5675B">
            <w:pPr>
              <w:spacing w:before="120" w:after="120" w:line="240" w:lineRule="auto"/>
              <w:rPr>
                <w:rFonts w:eastAsia="Cambria" w:cs="Times New Roman"/>
                <w:b/>
                <w:bCs/>
                <w:iCs/>
                <w:sz w:val="20"/>
                <w:szCs w:val="20"/>
              </w:rPr>
            </w:pPr>
            <w:r w:rsidRPr="00A5675B">
              <w:rPr>
                <w:rFonts w:eastAsia="Cambria" w:cs="Times New Roman"/>
                <w:b/>
                <w:bCs/>
                <w:iCs/>
                <w:sz w:val="20"/>
                <w:szCs w:val="20"/>
              </w:rPr>
              <w:t>Random Effects</w:t>
            </w:r>
          </w:p>
        </w:tc>
        <w:tc>
          <w:tcPr>
            <w:tcW w:w="392" w:type="pct"/>
            <w:tcBorders>
              <w:top w:val="double" w:sz="4" w:space="0" w:color="auto"/>
            </w:tcBorders>
          </w:tcPr>
          <w:p w14:paraId="6058B80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4699C4EE"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Borders>
              <w:top w:val="double" w:sz="4" w:space="0" w:color="auto"/>
            </w:tcBorders>
          </w:tcPr>
          <w:p w14:paraId="1424C21E"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top w:val="double" w:sz="4" w:space="0" w:color="auto"/>
            </w:tcBorders>
          </w:tcPr>
          <w:p w14:paraId="6137C2B3"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33354A02"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top w:val="double" w:sz="4" w:space="0" w:color="auto"/>
            </w:tcBorders>
          </w:tcPr>
          <w:p w14:paraId="1E6507AB"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top w:val="double" w:sz="4" w:space="0" w:color="auto"/>
            </w:tcBorders>
          </w:tcPr>
          <w:p w14:paraId="24E3F5E7"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top w:val="double" w:sz="4" w:space="0" w:color="auto"/>
            </w:tcBorders>
          </w:tcPr>
          <w:p w14:paraId="585D5D08"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6F9B4B0B" w14:textId="77777777" w:rsidTr="00463440">
        <w:tc>
          <w:tcPr>
            <w:tcW w:w="1302" w:type="pct"/>
          </w:tcPr>
          <w:p w14:paraId="3A588BA6" w14:textId="77777777" w:rsidR="00A5675B" w:rsidRPr="00A5675B" w:rsidRDefault="00A5675B" w:rsidP="00A5675B">
            <w:pPr>
              <w:spacing w:before="120" w:after="120" w:line="240" w:lineRule="auto"/>
              <w:rPr>
                <w:rFonts w:eastAsia="Cambria" w:cs="Times New Roman"/>
                <w:iCs/>
                <w:sz w:val="20"/>
                <w:szCs w:val="20"/>
                <w:vertAlign w:val="superscript"/>
              </w:rPr>
            </w:pPr>
            <w:r w:rsidRPr="00A5675B">
              <w:rPr>
                <w:rFonts w:eastAsia="Cambria" w:cs="Times New Roman"/>
                <w:iCs/>
                <w:sz w:val="20"/>
                <w:szCs w:val="20"/>
              </w:rPr>
              <w:sym w:font="Symbol" w:char="F073"/>
            </w:r>
            <w:r w:rsidRPr="00A5675B">
              <w:rPr>
                <w:rFonts w:eastAsia="Cambria" w:cs="Times New Roman"/>
                <w:iCs/>
                <w:sz w:val="20"/>
                <w:szCs w:val="20"/>
                <w:vertAlign w:val="superscript"/>
              </w:rPr>
              <w:t>2</w:t>
            </w:r>
          </w:p>
        </w:tc>
        <w:tc>
          <w:tcPr>
            <w:tcW w:w="497" w:type="pct"/>
          </w:tcPr>
          <w:p w14:paraId="71F23C5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0.65</w:t>
            </w:r>
          </w:p>
        </w:tc>
        <w:tc>
          <w:tcPr>
            <w:tcW w:w="392" w:type="pct"/>
          </w:tcPr>
          <w:p w14:paraId="7502AC8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02A2854D"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2FE099F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0.45</w:t>
            </w:r>
          </w:p>
        </w:tc>
        <w:tc>
          <w:tcPr>
            <w:tcW w:w="392" w:type="pct"/>
          </w:tcPr>
          <w:p w14:paraId="56804F8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13781656"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00FD936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0.81</w:t>
            </w:r>
          </w:p>
        </w:tc>
        <w:tc>
          <w:tcPr>
            <w:tcW w:w="392" w:type="pct"/>
          </w:tcPr>
          <w:p w14:paraId="1B0B6AD9"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200EB750"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7E06C87D" w14:textId="77777777" w:rsidTr="00463440">
        <w:tc>
          <w:tcPr>
            <w:tcW w:w="1302" w:type="pct"/>
          </w:tcPr>
          <w:p w14:paraId="339AD86D" w14:textId="77777777" w:rsidR="00A5675B" w:rsidRPr="00A5675B" w:rsidRDefault="00A5675B" w:rsidP="00A5675B">
            <w:pPr>
              <w:spacing w:before="120" w:after="120" w:line="240" w:lineRule="auto"/>
              <w:rPr>
                <w:rFonts w:eastAsia="Cambria" w:cs="Times New Roman"/>
                <w:iCs/>
                <w:sz w:val="20"/>
                <w:szCs w:val="20"/>
                <w:vertAlign w:val="subscript"/>
              </w:rPr>
            </w:pPr>
            <w:r w:rsidRPr="00A5675B">
              <w:rPr>
                <w:rFonts w:eastAsia="Cambria" w:cs="Times New Roman"/>
                <w:iCs/>
                <w:sz w:val="20"/>
                <w:szCs w:val="20"/>
              </w:rPr>
              <w:sym w:font="Symbol" w:char="F074"/>
            </w:r>
            <w:r w:rsidRPr="00A5675B">
              <w:rPr>
                <w:rFonts w:eastAsia="Cambria" w:cs="Times New Roman"/>
                <w:iCs/>
                <w:sz w:val="20"/>
                <w:szCs w:val="20"/>
                <w:vertAlign w:val="subscript"/>
              </w:rPr>
              <w:t>00</w:t>
            </w:r>
          </w:p>
        </w:tc>
        <w:tc>
          <w:tcPr>
            <w:tcW w:w="497" w:type="pct"/>
          </w:tcPr>
          <w:p w14:paraId="566D8D5C"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0.03</w:t>
            </w:r>
            <w:r w:rsidRPr="00A5675B">
              <w:rPr>
                <w:rFonts w:eastAsia="Cambria" w:cs="Times New Roman"/>
                <w:iCs/>
                <w:sz w:val="20"/>
                <w:szCs w:val="20"/>
                <w:vertAlign w:val="subscript"/>
              </w:rPr>
              <w:t>ID</w:t>
            </w:r>
          </w:p>
        </w:tc>
        <w:tc>
          <w:tcPr>
            <w:tcW w:w="392" w:type="pct"/>
          </w:tcPr>
          <w:p w14:paraId="43D4F25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5B62C1DC" w14:textId="77777777" w:rsidR="00A5675B" w:rsidRPr="00A5675B" w:rsidRDefault="00A5675B" w:rsidP="00A5675B">
            <w:pPr>
              <w:spacing w:before="120" w:after="120" w:line="240" w:lineRule="auto"/>
              <w:jc w:val="center"/>
              <w:rPr>
                <w:rFonts w:eastAsia="Cambria" w:cs="Times New Roman"/>
                <w:iCs/>
                <w:sz w:val="20"/>
                <w:szCs w:val="20"/>
                <w:vertAlign w:val="subscript"/>
              </w:rPr>
            </w:pPr>
          </w:p>
        </w:tc>
        <w:tc>
          <w:tcPr>
            <w:tcW w:w="499" w:type="pct"/>
          </w:tcPr>
          <w:p w14:paraId="76B3FA3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w:t>
            </w:r>
            <w:r w:rsidRPr="00A5675B">
              <w:rPr>
                <w:rFonts w:eastAsia="Cambria" w:cs="Times New Roman"/>
                <w:iCs/>
                <w:sz w:val="20"/>
                <w:szCs w:val="20"/>
                <w:vertAlign w:val="subscript"/>
              </w:rPr>
              <w:t>ID</w:t>
            </w:r>
          </w:p>
        </w:tc>
        <w:tc>
          <w:tcPr>
            <w:tcW w:w="392" w:type="pct"/>
          </w:tcPr>
          <w:p w14:paraId="71934CB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3AF34454"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21910C61"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0.07</w:t>
            </w:r>
            <w:r w:rsidRPr="00A5675B">
              <w:rPr>
                <w:rFonts w:eastAsia="Cambria" w:cs="Times New Roman"/>
                <w:iCs/>
                <w:sz w:val="20"/>
                <w:szCs w:val="20"/>
                <w:vertAlign w:val="subscript"/>
              </w:rPr>
              <w:t>ID</w:t>
            </w:r>
          </w:p>
        </w:tc>
        <w:tc>
          <w:tcPr>
            <w:tcW w:w="392" w:type="pct"/>
          </w:tcPr>
          <w:p w14:paraId="5494B21D"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6781EA4F"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5308FDC1" w14:textId="77777777" w:rsidTr="00463440">
        <w:tc>
          <w:tcPr>
            <w:tcW w:w="1302" w:type="pct"/>
          </w:tcPr>
          <w:p w14:paraId="654663E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ICC</w:t>
            </w:r>
          </w:p>
        </w:tc>
        <w:tc>
          <w:tcPr>
            <w:tcW w:w="497" w:type="pct"/>
          </w:tcPr>
          <w:p w14:paraId="5873CF4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0.04</w:t>
            </w:r>
          </w:p>
        </w:tc>
        <w:tc>
          <w:tcPr>
            <w:tcW w:w="392" w:type="pct"/>
          </w:tcPr>
          <w:p w14:paraId="6DE33393"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403E805E"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38CF7AA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0.03</w:t>
            </w:r>
          </w:p>
        </w:tc>
        <w:tc>
          <w:tcPr>
            <w:tcW w:w="392" w:type="pct"/>
          </w:tcPr>
          <w:p w14:paraId="0AA03C3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4032FFFE"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7F93905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w:t>
            </w:r>
          </w:p>
        </w:tc>
        <w:tc>
          <w:tcPr>
            <w:tcW w:w="392" w:type="pct"/>
          </w:tcPr>
          <w:p w14:paraId="5B14FDA5"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4F538B04"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2BDB5689" w14:textId="77777777" w:rsidTr="00463440">
        <w:tc>
          <w:tcPr>
            <w:tcW w:w="1302" w:type="pct"/>
            <w:tcBorders>
              <w:bottom w:val="double" w:sz="4" w:space="0" w:color="auto"/>
            </w:tcBorders>
          </w:tcPr>
          <w:p w14:paraId="1AFBC52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N</w:t>
            </w:r>
          </w:p>
        </w:tc>
        <w:tc>
          <w:tcPr>
            <w:tcW w:w="497" w:type="pct"/>
            <w:tcBorders>
              <w:bottom w:val="double" w:sz="4" w:space="0" w:color="auto"/>
            </w:tcBorders>
          </w:tcPr>
          <w:p w14:paraId="47C67208"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64</w:t>
            </w:r>
            <w:r w:rsidRPr="00A5675B">
              <w:rPr>
                <w:rFonts w:eastAsia="Cambria" w:cs="Times New Roman"/>
                <w:iCs/>
                <w:sz w:val="20"/>
                <w:szCs w:val="20"/>
                <w:vertAlign w:val="subscript"/>
              </w:rPr>
              <w:t>ID</w:t>
            </w:r>
          </w:p>
        </w:tc>
        <w:tc>
          <w:tcPr>
            <w:tcW w:w="392" w:type="pct"/>
            <w:tcBorders>
              <w:bottom w:val="double" w:sz="4" w:space="0" w:color="auto"/>
            </w:tcBorders>
          </w:tcPr>
          <w:p w14:paraId="23117E1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711F0262" w14:textId="77777777" w:rsidR="00A5675B" w:rsidRPr="00A5675B" w:rsidRDefault="00A5675B" w:rsidP="00A5675B">
            <w:pPr>
              <w:spacing w:before="120" w:after="120" w:line="240" w:lineRule="auto"/>
              <w:jc w:val="center"/>
              <w:rPr>
                <w:rFonts w:eastAsia="Cambria" w:cs="Times New Roman"/>
                <w:iCs/>
                <w:sz w:val="20"/>
                <w:szCs w:val="20"/>
                <w:vertAlign w:val="subscript"/>
              </w:rPr>
            </w:pPr>
          </w:p>
        </w:tc>
        <w:tc>
          <w:tcPr>
            <w:tcW w:w="499" w:type="pct"/>
            <w:tcBorders>
              <w:bottom w:val="double" w:sz="4" w:space="0" w:color="auto"/>
            </w:tcBorders>
          </w:tcPr>
          <w:p w14:paraId="4DAB55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64</w:t>
            </w:r>
            <w:r w:rsidRPr="00A5675B">
              <w:rPr>
                <w:rFonts w:eastAsia="Cambria" w:cs="Times New Roman"/>
                <w:iCs/>
                <w:sz w:val="20"/>
                <w:szCs w:val="20"/>
                <w:vertAlign w:val="subscript"/>
              </w:rPr>
              <w:t>ID</w:t>
            </w:r>
          </w:p>
        </w:tc>
        <w:tc>
          <w:tcPr>
            <w:tcW w:w="392" w:type="pct"/>
            <w:tcBorders>
              <w:bottom w:val="double" w:sz="4" w:space="0" w:color="auto"/>
            </w:tcBorders>
          </w:tcPr>
          <w:p w14:paraId="40ED794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71526BA9"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bottom w:val="double" w:sz="4" w:space="0" w:color="auto"/>
            </w:tcBorders>
          </w:tcPr>
          <w:p w14:paraId="01F92E8E"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63</w:t>
            </w:r>
            <w:r w:rsidRPr="00A5675B">
              <w:rPr>
                <w:rFonts w:eastAsia="Cambria" w:cs="Times New Roman"/>
                <w:iCs/>
                <w:sz w:val="20"/>
                <w:szCs w:val="20"/>
                <w:vertAlign w:val="subscript"/>
              </w:rPr>
              <w:t>ID</w:t>
            </w:r>
          </w:p>
        </w:tc>
        <w:tc>
          <w:tcPr>
            <w:tcW w:w="392" w:type="pct"/>
            <w:tcBorders>
              <w:bottom w:val="double" w:sz="4" w:space="0" w:color="auto"/>
            </w:tcBorders>
          </w:tcPr>
          <w:p w14:paraId="4F7BB050"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bottom w:val="double" w:sz="4" w:space="0" w:color="auto"/>
            </w:tcBorders>
          </w:tcPr>
          <w:p w14:paraId="5727C5C7"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39FD2ABE" w14:textId="77777777" w:rsidTr="00463440">
        <w:tc>
          <w:tcPr>
            <w:tcW w:w="1302" w:type="pct"/>
            <w:tcBorders>
              <w:top w:val="double" w:sz="4" w:space="0" w:color="auto"/>
            </w:tcBorders>
          </w:tcPr>
          <w:p w14:paraId="1893872F"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Observations</w:t>
            </w:r>
          </w:p>
        </w:tc>
        <w:tc>
          <w:tcPr>
            <w:tcW w:w="497" w:type="pct"/>
            <w:tcBorders>
              <w:top w:val="double" w:sz="4" w:space="0" w:color="auto"/>
            </w:tcBorders>
          </w:tcPr>
          <w:p w14:paraId="6EB5DF8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3897</w:t>
            </w:r>
          </w:p>
        </w:tc>
        <w:tc>
          <w:tcPr>
            <w:tcW w:w="392" w:type="pct"/>
            <w:tcBorders>
              <w:top w:val="double" w:sz="4" w:space="0" w:color="auto"/>
            </w:tcBorders>
          </w:tcPr>
          <w:p w14:paraId="524C3200"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5027179F"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Borders>
              <w:top w:val="double" w:sz="4" w:space="0" w:color="auto"/>
            </w:tcBorders>
          </w:tcPr>
          <w:p w14:paraId="06C1FE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1787</w:t>
            </w:r>
          </w:p>
        </w:tc>
        <w:tc>
          <w:tcPr>
            <w:tcW w:w="392" w:type="pct"/>
            <w:tcBorders>
              <w:top w:val="double" w:sz="4" w:space="0" w:color="auto"/>
            </w:tcBorders>
          </w:tcPr>
          <w:p w14:paraId="5B527ED1"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06D7FC55"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top w:val="double" w:sz="4" w:space="0" w:color="auto"/>
            </w:tcBorders>
          </w:tcPr>
          <w:p w14:paraId="26F80B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2110</w:t>
            </w:r>
          </w:p>
        </w:tc>
        <w:tc>
          <w:tcPr>
            <w:tcW w:w="392" w:type="pct"/>
            <w:tcBorders>
              <w:top w:val="double" w:sz="4" w:space="0" w:color="auto"/>
            </w:tcBorders>
          </w:tcPr>
          <w:p w14:paraId="14E3665A"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top w:val="double" w:sz="4" w:space="0" w:color="auto"/>
            </w:tcBorders>
          </w:tcPr>
          <w:p w14:paraId="72DA4104"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BEA7030" w14:textId="77777777" w:rsidTr="00463440">
        <w:tc>
          <w:tcPr>
            <w:tcW w:w="1302" w:type="pct"/>
          </w:tcPr>
          <w:p w14:paraId="405D9144" w14:textId="77777777" w:rsidR="00A5675B" w:rsidRPr="00A5675B" w:rsidRDefault="00A5675B" w:rsidP="00A5675B">
            <w:pPr>
              <w:spacing w:before="120" w:after="120" w:line="240" w:lineRule="auto"/>
              <w:rPr>
                <w:rFonts w:eastAsia="Cambria" w:cs="Times New Roman"/>
                <w:iCs/>
                <w:sz w:val="20"/>
                <w:szCs w:val="20"/>
                <w:vertAlign w:val="superscript"/>
              </w:rPr>
            </w:pPr>
            <w:r w:rsidRPr="00A5675B">
              <w:rPr>
                <w:rFonts w:eastAsia="Cambria" w:cs="Times New Roman"/>
                <w:iCs/>
                <w:sz w:val="20"/>
                <w:szCs w:val="20"/>
              </w:rPr>
              <w:t>Marginal R</w:t>
            </w:r>
            <w:r w:rsidRPr="00A5675B">
              <w:rPr>
                <w:rFonts w:eastAsia="Cambria" w:cs="Times New Roman"/>
                <w:iCs/>
                <w:sz w:val="20"/>
                <w:szCs w:val="20"/>
                <w:vertAlign w:val="superscript"/>
              </w:rPr>
              <w:t>2</w:t>
            </w:r>
            <w:r w:rsidRPr="00A5675B">
              <w:rPr>
                <w:rFonts w:eastAsia="Cambria" w:cs="Times New Roman"/>
                <w:iCs/>
                <w:sz w:val="20"/>
                <w:szCs w:val="20"/>
              </w:rPr>
              <w:t xml:space="preserve"> / Conditional R</w:t>
            </w:r>
            <w:r w:rsidRPr="00A5675B">
              <w:rPr>
                <w:rFonts w:eastAsia="Cambria" w:cs="Times New Roman"/>
                <w:iCs/>
                <w:sz w:val="20"/>
                <w:szCs w:val="20"/>
                <w:vertAlign w:val="superscript"/>
              </w:rPr>
              <w:t>2</w:t>
            </w:r>
          </w:p>
        </w:tc>
        <w:tc>
          <w:tcPr>
            <w:tcW w:w="497" w:type="pct"/>
          </w:tcPr>
          <w:p w14:paraId="609ABA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 / 0.113</w:t>
            </w:r>
          </w:p>
        </w:tc>
        <w:tc>
          <w:tcPr>
            <w:tcW w:w="392" w:type="pct"/>
          </w:tcPr>
          <w:p w14:paraId="2AE4BCA5"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2425C230"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5797606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0.050 / 0.075</w:t>
            </w:r>
          </w:p>
        </w:tc>
        <w:tc>
          <w:tcPr>
            <w:tcW w:w="392" w:type="pct"/>
          </w:tcPr>
          <w:p w14:paraId="655A861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5CD71A6A"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431D2A3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0.011 / 0.086</w:t>
            </w:r>
          </w:p>
        </w:tc>
        <w:tc>
          <w:tcPr>
            <w:tcW w:w="392" w:type="pct"/>
          </w:tcPr>
          <w:p w14:paraId="50E9C51E"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333BE5C4" w14:textId="77777777" w:rsidR="00A5675B" w:rsidRPr="00A5675B" w:rsidRDefault="00A5675B" w:rsidP="00A5675B">
            <w:pPr>
              <w:spacing w:before="120" w:after="120" w:line="240" w:lineRule="auto"/>
              <w:jc w:val="center"/>
              <w:rPr>
                <w:rFonts w:eastAsia="Cambria" w:cs="Times New Roman"/>
                <w:iCs/>
                <w:sz w:val="20"/>
                <w:szCs w:val="20"/>
              </w:rPr>
            </w:pPr>
          </w:p>
        </w:tc>
      </w:tr>
    </w:tbl>
    <w:p w14:paraId="785B4167"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sectPr>
      </w:pPr>
    </w:p>
    <w:p w14:paraId="29C44B16" w14:textId="5A36B3A2" w:rsidR="00A5675B" w:rsidRPr="00A5675B" w:rsidRDefault="00A5675B" w:rsidP="00A5675B">
      <w:pPr>
        <w:spacing w:after="240" w:line="480" w:lineRule="auto"/>
        <w:rPr>
          <w:rFonts w:cs="Times New Roman"/>
          <w:iCs/>
          <w:szCs w:val="24"/>
        </w:rPr>
      </w:pPr>
      <w:r w:rsidRPr="00A5675B">
        <w:rPr>
          <w:rFonts w:cs="Times New Roman"/>
          <w:iCs/>
          <w:szCs w:val="24"/>
        </w:rPr>
        <w:lastRenderedPageBreak/>
        <w:t xml:space="preserve">p = 0.026;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Bouts of foraging behaviour were significantly shorter in the presence of bait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-0.139, SE = 0.070, t = -1.989, p = 0.047;</w:t>
      </w:r>
      <w:r w:rsidR="0049789F">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The duration of bouts of foraging significantly decreased as disturbance frequency increased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-0.108, SE = 0.030, t = -3.566, p = &lt;0.001,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We found a significant interaction between generalized environment and sentinel presence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-0.227, SE = 0.091, t = -2.485, p = 0.013; </w:t>
      </w:r>
      <w:r w:rsidRPr="00A5675B">
        <w:rPr>
          <w:rFonts w:cs="Times New Roman"/>
          <w:iCs/>
          <w:szCs w:val="24"/>
        </w:rPr>
        <w:fldChar w:fldCharType="begin"/>
      </w:r>
      <w:r w:rsidRPr="00A5675B">
        <w:rPr>
          <w:rFonts w:cs="Times New Roman"/>
          <w:iCs/>
          <w:szCs w:val="24"/>
        </w:rPr>
        <w:instrText xml:space="preserve"> REF _Ref151137725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Figure 3.3</w:t>
      </w:r>
      <w:r w:rsidRPr="00A5675B">
        <w:rPr>
          <w:rFonts w:cs="Times New Roman"/>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Post hoc tests showed significant differences in the duration of bouts of foraging behaviour. In the absence of a sentinel, foragers in green areas had significantly longer bouts of foraging behaviour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-0.383, SE = 0.078, z-ratio = -4.919, p &lt; 0.001). In the presence of a sentinel, foragers in green areas also had significantly longer bouts of foraging behaviour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-0.156, SE = 0.067, z-ratio = -2.337, p = 0.029). In green areas, foragers in the presence of a sentinel had marginally shorter bouts of foraging behaviour than in the absence of a sentinel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0.135, SE = 0.068, z-ratio = 1.977, p = 0.058).</w:t>
      </w:r>
    </w:p>
    <w:p w14:paraId="6A816355" w14:textId="77777777" w:rsidR="00A5675B" w:rsidRPr="00A5675B" w:rsidRDefault="00A5675B" w:rsidP="00A5675B">
      <w:pPr>
        <w:pStyle w:val="SectionSubtitle"/>
        <w:spacing w:line="480" w:lineRule="auto"/>
        <w:rPr>
          <w:rFonts w:cs="Times New Roman"/>
        </w:rPr>
      </w:pPr>
      <w:bookmarkStart w:id="63" w:name="_Toc162204967"/>
      <w:bookmarkStart w:id="64" w:name="_Toc162794612"/>
      <w:bookmarkStart w:id="65" w:name="_Toc174089136"/>
      <w:bookmarkStart w:id="66" w:name="_Toc178590834"/>
      <w:r w:rsidRPr="00A5675B">
        <w:rPr>
          <w:rFonts w:cs="Times New Roman"/>
        </w:rPr>
        <w:t>Duration of bouts of “alert” behaviour</w:t>
      </w:r>
      <w:bookmarkEnd w:id="63"/>
      <w:bookmarkEnd w:id="64"/>
      <w:bookmarkEnd w:id="65"/>
      <w:bookmarkEnd w:id="66"/>
    </w:p>
    <w:p w14:paraId="00CC93A4"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Sentinel behaviour, generalized environment, group size, bait presence and disturbance frequency had no significant effect on the duration of bouts of alert behaviour (p &gt; 0.05;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We found a significant interaction between sentinel behaviour and generalized environment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-0.274, SE = 0.135, t = -2.024, p = 0.043;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Post hoc pairwise t-tests revealed no significant differences in the duration of bouts of alert behaviour.</w:t>
      </w:r>
    </w:p>
    <w:p w14:paraId="724ED742" w14:textId="77777777" w:rsidR="0074547E" w:rsidRDefault="00A5675B" w:rsidP="00A5675B">
      <w:pPr>
        <w:spacing w:after="240" w:line="480" w:lineRule="auto"/>
        <w:rPr>
          <w:rFonts w:cs="Times New Roman"/>
          <w:iCs/>
          <w:szCs w:val="24"/>
        </w:rPr>
        <w:sectPr w:rsidR="0074547E" w:rsidSect="00A5675B">
          <w:headerReference w:type="default" r:id="rId19"/>
          <w:type w:val="continuous"/>
          <w:pgSz w:w="12240" w:h="15840"/>
          <w:pgMar w:top="1440" w:right="1440" w:bottom="1440" w:left="1440" w:header="708" w:footer="708" w:gutter="0"/>
          <w:lnNumType w:countBy="1" w:restart="continuous"/>
          <w:cols w:space="708"/>
          <w:docGrid w:linePitch="360"/>
        </w:sectPr>
      </w:pPr>
      <w:r w:rsidRPr="00A5675B">
        <w:rPr>
          <w:rFonts w:cs="Times New Roman"/>
          <w:iCs/>
          <w:szCs w:val="24"/>
        </w:rPr>
        <w:t xml:space="preserve"> The duration of bouts of alert behaviour were not affected by recurrent, baited sampling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-0.009, SE = 0.007, t = -1.230, p = 0.198), suggesting little effect of habituation on the alertness of individuals in the recurrent sampling location.</w:t>
      </w:r>
    </w:p>
    <w:p w14:paraId="67CEC7EA" w14:textId="77777777" w:rsidR="00A5675B" w:rsidRPr="00A5675B" w:rsidRDefault="00A5675B" w:rsidP="00D67361">
      <w:pPr>
        <w:pStyle w:val="ManuSectionTitle"/>
      </w:pPr>
      <w:bookmarkStart w:id="67" w:name="_Toc162204970"/>
      <w:bookmarkStart w:id="68" w:name="_Toc162794615"/>
      <w:bookmarkStart w:id="69" w:name="_Toc174089139"/>
      <w:bookmarkStart w:id="70" w:name="_Toc178590837"/>
      <w:bookmarkStart w:id="71" w:name="_Hlk162792491"/>
      <w:r w:rsidRPr="00A5675B">
        <w:lastRenderedPageBreak/>
        <w:t>Discussion</w:t>
      </w:r>
      <w:bookmarkEnd w:id="67"/>
      <w:bookmarkEnd w:id="68"/>
      <w:bookmarkEnd w:id="69"/>
      <w:bookmarkEnd w:id="70"/>
    </w:p>
    <w:p w14:paraId="02D84F54" w14:textId="3511ADAF" w:rsidR="00A5675B" w:rsidRPr="00A5675B" w:rsidRDefault="00A5675B" w:rsidP="00D67361">
      <w:pPr>
        <w:pStyle w:val="MainText"/>
      </w:pPr>
      <w:r w:rsidRPr="00A5675B">
        <w:t>We investigated if the presence of a sentinel and the type of environment affected the behaviour of foraging American crows. We predicted that in the presence of a sentinel the individual vigilance of crow foragers would decrease and that this effect would be stronger in green areas where reduced ambient noise and longer lines of sight would make a sentinel more effective. We found that sentinel presence alone had no significant effects on the behaviour of foragers apart from the duration of all behaviours were significantly higher in the presence of a sentinel. We did observe a significant interaction between sentinel presence and generalized environment on the duration of bouts of foraging and alert behaviour. This suggests that the benefits of sentinel coverage are affected by the type of foraging environment, and that foragers will rely more on sentinels when their coverage is most effective. We found that the generalized environment had a significant effect on forager behaviour, with foragers in green areas having longer bouts of foraging behaviour</w:t>
      </w:r>
      <w:r w:rsidR="00712D7C" w:rsidRPr="00712D7C">
        <w:t>.</w:t>
      </w:r>
      <w:r w:rsidR="00712D7C">
        <w:t xml:space="preserve"> </w:t>
      </w:r>
      <w:r w:rsidRPr="00A5675B">
        <w:t xml:space="preserve">This suggests that crows need to spend more time being vulnerable to search for food items. The increased vulnerability, and therefore risk, could be traded off for increased likelihood of finding higher quality food items. Overall, our results do not fully support our initial hypotheses and suggest that sentinel behaviour and forager behaviour in crows could be influenced by complex interactions between individual factors and forager’s perception of the safety in their environment. Additional factors, such as group composition, could likewise affect foraging behaviour, with the presence of juveniles potentially increasing the vigilance of adults </w:t>
      </w:r>
      <w:r w:rsidRPr="00A5675B">
        <w:fldChar w:fldCharType="begin"/>
      </w:r>
      <w:r w:rsidR="00F0528E">
        <w:instrText xml:space="preserve"> ADDIN ZOTERO_ITEM CSL_CITATION {"citationID":"BuO1zfm9","properties":{"formattedCitation":"(Santema and Clutton-Brock 2013)","plainCitation":"(Santema and Clutton-Brock 2013)","noteIndex":0},"citationItems":[{"id":616,"uris":["http://zotero.org/users/8430992/items/R3QC9GEW"],"itemData":{"id":616,"type":"article-journal","container-title":"Animal Behaviour","DOI":"10.1016/j.anbehav.2012.12.029","ISSN":"00033472","issue":"3","journalAbbreviation":"Animal Behaviour","language":"en","page":"655-661","source":"DOI.org (Crossref)","title":"Meerkat helpers increase sentinel behaviour and bipedal vigilance in the presence of pups","volume":"85","author":[{"family":"Santema","given":"Peter"},{"family":"Clutton-Brock","given":"Tim"}],"issued":{"date-parts":[["2013",3]]},"citation-key":"santemaMeerkatHelpersIncrease2013"}}],"schema":"https://github.com/citation-style-language/schema/raw/master/csl-citation.json"} </w:instrText>
      </w:r>
      <w:r w:rsidRPr="00A5675B">
        <w:fldChar w:fldCharType="separate"/>
      </w:r>
      <w:r w:rsidRPr="00A5675B">
        <w:t>(Santema and Clutton-Brock 2013)</w:t>
      </w:r>
      <w:r w:rsidRPr="00A5675B">
        <w:fldChar w:fldCharType="end"/>
      </w:r>
      <w:r w:rsidRPr="00A5675B">
        <w:t>.</w:t>
      </w:r>
    </w:p>
    <w:p w14:paraId="3F67EB89" w14:textId="77777777" w:rsidR="00A5675B" w:rsidRPr="00A5675B" w:rsidRDefault="00A5675B" w:rsidP="0074547E">
      <w:pPr>
        <w:pStyle w:val="ManuSectionSubtitle"/>
      </w:pPr>
      <w:bookmarkStart w:id="72" w:name="_Toc162204971"/>
      <w:bookmarkStart w:id="73" w:name="_Toc162794616"/>
      <w:bookmarkStart w:id="74" w:name="_Toc174089140"/>
      <w:bookmarkStart w:id="75" w:name="_Toc178590838"/>
      <w:r w:rsidRPr="00A5675B">
        <w:t xml:space="preserve">The effects of sentinel </w:t>
      </w:r>
      <w:bookmarkEnd w:id="72"/>
      <w:bookmarkEnd w:id="73"/>
      <w:r w:rsidRPr="00A5675B">
        <w:t>presence on forager behaviour</w:t>
      </w:r>
      <w:bookmarkEnd w:id="74"/>
      <w:bookmarkEnd w:id="75"/>
    </w:p>
    <w:p w14:paraId="10C3AC15" w14:textId="10EA0F40" w:rsidR="00A5675B" w:rsidRPr="00A5675B" w:rsidRDefault="00A5675B" w:rsidP="0074547E">
      <w:pPr>
        <w:pStyle w:val="MainText"/>
      </w:pPr>
      <w:r w:rsidRPr="00A5675B">
        <w:t xml:space="preserve">Our results contrast with previous studies that found that the presence of a sentinel led to a decrease in alert behaviour </w:t>
      </w:r>
      <w:r w:rsidRPr="00A5675B">
        <w:fldChar w:fldCharType="begin"/>
      </w:r>
      <w:r w:rsidR="00F0528E">
        <w:instrText xml:space="preserve"> ADDIN ZOTERO_ITEM CSL_CITATION {"citationID":"yrwlaKz4","properties":{"formattedCitation":"(Holl\\uc0\\u233{}n et al. 2008; Ridley et al. 2014)","plainCitation":"(Hollén et al. 2008; Ridley et al. 2014)","noteIndex":0},"citationItems":[{"id":240,"uris":["http://zotero.org/users/8430992/items/MPPQIDNU"],"itemData":{"id":240,"type":"article-journal","container-title":"Current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N."}],"issued":{"date-parts":[["2008",4,22]]},"citation-key":"hollenCooperativeSentinelCalling2008"},"label":"page"},{"id":600,"uris":["http://zotero.org/users/8430992/items/VJDVFLV9"],"itemData":{"id":600,"type":"article-journal","container-title":"Functional Ecology","DOI":"10.1111/1365-2435.12153","ISSN":"02698463","issue":"1","journalAbbreviation":"Funct Ecol","language":"en","page":"197-205","source":"DOI.org (Crossref)","title":"The ecological benefits of interceptive eavesdropping","volume":"28","author":[{"family":"Ridley","given":"Amanda R."},{"family":"Wiley","given":"Elizabeth M."},{"family":"Thompson","given":"Alex M."}],"editor":[{"family":"Lewis","given":"Sara"}],"issued":{"date-parts":[["2014",2]]},"citation-key":"ridleyEcologicalBenefitsInterceptive2014"},"label":"page"}],"schema":"https://github.com/citation-style-language/schema/raw/master/csl-citation.json"} </w:instrText>
      </w:r>
      <w:r w:rsidRPr="00A5675B">
        <w:fldChar w:fldCharType="separate"/>
      </w:r>
      <w:r w:rsidR="00F0528E" w:rsidRPr="00F0528E">
        <w:t>(Hollén et al. 2008; Ridley et al. 2014)</w:t>
      </w:r>
      <w:r w:rsidRPr="00A5675B">
        <w:fldChar w:fldCharType="end"/>
      </w:r>
      <w:r w:rsidRPr="00A5675B">
        <w:t xml:space="preserve">. </w:t>
      </w:r>
      <w:r w:rsidR="00ED1898">
        <w:t>P</w:t>
      </w:r>
      <w:r w:rsidRPr="00A5675B">
        <w:t>ied babblers (</w:t>
      </w:r>
      <w:proofErr w:type="spellStart"/>
      <w:r w:rsidRPr="00A5675B">
        <w:rPr>
          <w:i/>
        </w:rPr>
        <w:t>Turdoides</w:t>
      </w:r>
      <w:proofErr w:type="spellEnd"/>
      <w:r w:rsidRPr="00A5675B">
        <w:rPr>
          <w:i/>
        </w:rPr>
        <w:t xml:space="preserve"> </w:t>
      </w:r>
      <w:r w:rsidRPr="00A5675B">
        <w:rPr>
          <w:i/>
        </w:rPr>
        <w:lastRenderedPageBreak/>
        <w:t>bicolor</w:t>
      </w:r>
      <w:r w:rsidRPr="00A5675B">
        <w:t xml:space="preserve">) increase the proportion of time spent foraging after the start of a sentinel bout and had increased biomass intake </w:t>
      </w:r>
      <w:r w:rsidRPr="00A5675B">
        <w:fldChar w:fldCharType="begin"/>
      </w:r>
      <w:r w:rsidR="00F0528E">
        <w:instrText xml:space="preserve"> ADDIN ZOTERO_ITEM CSL_CITATION {"citationID":"Oh8TJXj2","properties":{"formattedCitation":"(Holl\\uc0\\u233{}n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N."}],"issued":{"date-parts":[["2008",4,22]]},"citation-key":"hollenCooperativeSentinelCalling2008"}}],"schema":"https://github.com/citation-style-language/schema/raw/master/csl-citation.json"} </w:instrText>
      </w:r>
      <w:r w:rsidRPr="00A5675B">
        <w:fldChar w:fldCharType="separate"/>
      </w:r>
      <w:r w:rsidRPr="00A5675B">
        <w:t>(Hollén et al. 2008)</w:t>
      </w:r>
      <w:r w:rsidRPr="00A5675B">
        <w:fldChar w:fldCharType="end"/>
      </w:r>
      <w:r w:rsidRPr="00A5675B">
        <w:t>. In our case, American crows did not appear to alter their alert or foraging behaviour in response to sentinel presence alone. Instead, sentinel coverage appears to be most effective in green areas, as we saw a decrease in the duration of bouts of alert behaviour, and an increase in the duration of bouts of foraging behaviour. The significant interaction between sentinel presence and generalized environment shows that the comparatively busier and noisier commercial areas can potentially make sentinel-forager communication more difficult. This could result in decreased reliance on sentinel coverage, and greater individual vigilance in foragers. In the absence of a sentinel, foragers in green areas appear to have comparatively longer bouts of alert and foraging behaviour though these differences were not significant. This increase could potentially be the result of increased reliance on some form of coordination of vigilance between foragers, with longer but fewer bouts of alert behaviour. Whether crows have ground-level coordination of vigilance, and how they could be switching between reliance on the sentinel and reliance on ground-level vigilance, is an interesting topic for future research.</w:t>
      </w:r>
    </w:p>
    <w:p w14:paraId="3DAD6CC8" w14:textId="77777777" w:rsidR="00A5675B" w:rsidRPr="00A5675B" w:rsidRDefault="00A5675B" w:rsidP="0074547E">
      <w:pPr>
        <w:pStyle w:val="MainText"/>
      </w:pPr>
      <w:r w:rsidRPr="00A5675B">
        <w:t xml:space="preserve">Foragers in commercial areas and in the absence of a sentinel do not appear to rely on other group members, as the duration of their bouts of alert and foraging behaviour are similar, and short. Foraging crows could be devoting as little time as possible to each behaviour to decrease the duration time spent on the ground where the risk is greatest. In the presence of a sentinel, foragers in commercial areas appear to have slightly longer bouts of alert and foraging behaviour than in the absence of a sentinel, although this comparison was not significant in our post-hoc tests. Though potentially impaired by ambient noise, sentinels in commercial areas could inform the foragers of more dangerous disturbances (e.g. raptors, humans), potentially resulting in the </w:t>
      </w:r>
      <w:r w:rsidRPr="00A5675B">
        <w:lastRenderedPageBreak/>
        <w:t>longer bouts of foraging behaviour. As for the increased duration of alert behaviour, foragers in the absence of a sentinel could elect to immediately take flight when disturbed, while foragers in the presence of a sentinel could have longer to decide whether to stay or flee.</w:t>
      </w:r>
    </w:p>
    <w:p w14:paraId="4133159D" w14:textId="11940C86" w:rsidR="00A5675B" w:rsidRPr="00A5675B" w:rsidRDefault="00A5675B" w:rsidP="0074547E">
      <w:pPr>
        <w:pStyle w:val="MainText"/>
      </w:pPr>
      <w:r w:rsidRPr="00A5675B">
        <w:t xml:space="preserve">The benefits of sentinel behaviour can be more subtle or indirect than initially thought, such as providing a greater sense of security that allows foragers to focus more on foraging without actively reducing their vigilance </w:t>
      </w:r>
      <w:r w:rsidRPr="00A5675B">
        <w:fldChar w:fldCharType="begin"/>
      </w:r>
      <w:r w:rsidR="00F0528E">
        <w:instrText xml:space="preserve"> ADDIN ZOTERO_ITEM CSL_CITATION {"citationID":"DQCkwqwi","properties":{"formattedCitation":"(Holl\\uc0\\u233{}n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N."}],"issued":{"date-parts":[["2008",4,22]]},"citation-key":"hollenCooperativeSentinelCalling2008"},"label":"page"}],"schema":"https://github.com/citation-style-language/schema/raw/master/csl-citation.json"} </w:instrText>
      </w:r>
      <w:r w:rsidRPr="00A5675B">
        <w:fldChar w:fldCharType="separate"/>
      </w:r>
      <w:r w:rsidRPr="00A5675B">
        <w:t>(Hollén et al. 2008)</w:t>
      </w:r>
      <w:r w:rsidRPr="00A5675B">
        <w:fldChar w:fldCharType="end"/>
      </w:r>
      <w:r w:rsidRPr="00A5675B">
        <w:t xml:space="preserve">. The proportion of time allocated to alert behaviour might also be used to scan for foraging patches and other foragers, explaining the absence of effects of sentinel presence on the proportion of time spent being alert. Foragers could also benefit from sentinel presence by increasing the distance between foragers, permitting the group to forage over a greater surface area while compensating for the increased predation risk from foraging further apart </w:t>
      </w:r>
      <w:r w:rsidRPr="00A5675B">
        <w:fldChar w:fldCharType="begin"/>
      </w:r>
      <w:r w:rsidR="00F0528E">
        <w:instrText xml:space="preserve"> ADDIN ZOTERO_ITEM CSL_CITATION {"citationID":"FeCcQ6iy","properties":{"formattedCitation":"(Holl\\uc0\\u233{}n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N."}],"issued":{"date-parts":[["2008",4,22]]},"citation-key":"hollenCooperativeSentinelCalling2008"},"label":"page"}],"schema":"https://github.com/citation-style-language/schema/raw/master/csl-citation.json"} </w:instrText>
      </w:r>
      <w:r w:rsidRPr="00A5675B">
        <w:fldChar w:fldCharType="separate"/>
      </w:r>
      <w:r w:rsidRPr="00A5675B">
        <w:t>(Hollén et al. 2008)</w:t>
      </w:r>
      <w:r w:rsidRPr="00A5675B">
        <w:fldChar w:fldCharType="end"/>
      </w:r>
      <w:r w:rsidRPr="00A5675B">
        <w:t>. Sentinel behaviour could therefore compensate for riskier group-foraging strategies, not only individual changes in behaviour. This suggests the relationship between sentinels and foragers could be more complex, reinforcing the importance of considering individual differences and motivations when studying social behaviours. The presence of juveniles in the foraging group could also affect how group members forage and is an important aspect to consider in future studies.</w:t>
      </w:r>
    </w:p>
    <w:p w14:paraId="5FD10385" w14:textId="77777777" w:rsidR="00A5675B" w:rsidRPr="00A5675B" w:rsidRDefault="00A5675B" w:rsidP="0074547E">
      <w:pPr>
        <w:pStyle w:val="ManuSectionSubtitle"/>
      </w:pPr>
      <w:bookmarkStart w:id="76" w:name="_Toc174089141"/>
      <w:bookmarkStart w:id="77" w:name="_Toc178590839"/>
      <w:r w:rsidRPr="00A5675B">
        <w:t>Effects of foraging in commercial vs green areas</w:t>
      </w:r>
      <w:bookmarkEnd w:id="76"/>
      <w:bookmarkEnd w:id="77"/>
    </w:p>
    <w:p w14:paraId="41D306DE" w14:textId="3DABFD1E" w:rsidR="009F2347" w:rsidRPr="000F1DB6" w:rsidRDefault="00A5675B" w:rsidP="000F1DB6">
      <w:pPr>
        <w:spacing w:after="240" w:line="480" w:lineRule="auto"/>
        <w:rPr>
          <w:rFonts w:cs="Times New Roman"/>
          <w:iCs/>
          <w:szCs w:val="24"/>
        </w:rPr>
      </w:pPr>
      <w:r w:rsidRPr="00A5675B">
        <w:rPr>
          <w:iCs/>
        </w:rPr>
        <w:t xml:space="preserve">We found that the generalized environment had significant effects on forager behaviour, with significantly longer bouts of foraging observed in green areas. The increased duration of bouts of foraging behaviour suggests that foraging in green areas takes longer. Vegetation might obscure food items, making them harder to spot and, in the case of prey, harder to catch. Additionally, food patches could be dispersed over a greater area, requiring more time to search for. </w:t>
      </w:r>
      <w:r w:rsidR="009F2347">
        <w:t xml:space="preserve">This was observed in the decreased duration of foraging bouts in the presence of bait, a proxy for human </w:t>
      </w:r>
      <w:r w:rsidR="009F2347">
        <w:lastRenderedPageBreak/>
        <w:t xml:space="preserve">litter. </w:t>
      </w:r>
      <w:r w:rsidR="000F1DB6">
        <w:rPr>
          <w:rFonts w:cs="Times New Roman"/>
          <w:iCs/>
          <w:szCs w:val="24"/>
        </w:rPr>
        <w:t>O</w:t>
      </w:r>
      <w:r w:rsidR="000F1DB6" w:rsidRPr="00A5675B">
        <w:rPr>
          <w:rFonts w:cs="Times New Roman"/>
          <w:iCs/>
          <w:szCs w:val="24"/>
        </w:rPr>
        <w:t xml:space="preserve">ur results suggest that foraging on bait or litter could be quicker and decrease time being vulnerable when compared to foraging on natural food patches. </w:t>
      </w:r>
      <w:r w:rsidR="000F1DB6">
        <w:rPr>
          <w:rFonts w:cs="Times New Roman"/>
          <w:iCs/>
          <w:szCs w:val="24"/>
        </w:rPr>
        <w:t>The lack of significant effects of sampling effort in the baited, recurrent sampling location could suggest that American crows are not habituating but are habituated to this type of food source.</w:t>
      </w:r>
    </w:p>
    <w:p w14:paraId="7080FD33" w14:textId="11A57FD9" w:rsidR="00A5675B" w:rsidRPr="00A5675B" w:rsidRDefault="00A5675B" w:rsidP="0074547E">
      <w:pPr>
        <w:pStyle w:val="MainText"/>
      </w:pPr>
      <w:r w:rsidRPr="00A5675B">
        <w:t xml:space="preserve">Green areas, such as parks, offer longer lines of sight and less ambient noise which makes the sentinel more effective </w:t>
      </w:r>
      <w:r w:rsidRPr="00A5675B">
        <w:fldChar w:fldCharType="begin"/>
      </w:r>
      <w:r w:rsidR="00F0528E">
        <w:instrText xml:space="preserve"> ADDIN ZOTERO_ITEM CSL_CITATION {"citationID":"Rsk0q6YD","properties":{"formattedCitation":"(Holl\\uc0\\u233{}n et al. 2011)","plainCitation":"(Hollén et al. 2011)","noteIndex":0},"citationItems":[{"id":1724,"uris":["http://zotero.org/users/8430992/items/9YP83AVX"],"itemData":{"id":1724,"type":"article-journal","container-title":"Animal Behaviour","DOI":"10.1016/j.anbehav.2011.09.028","ISSN":"00033472","issue":"6","journalAbbreviation":"Animal Behaviour","language":"en","page":"1435-1441","source":"DOI.org (Crossref)","title":"Ecological conditions influence sentinel decisions","volume":"82","author":[{"family":"Hollén","given":"L.I."},{"family":"Bell","given":"M.B.V."},{"family":"Wade","given":"H.M."},{"family":"Rose","given":"R."},{"family":"Russell","given":"A."},{"family":"Niven","given":"F."},{"family":"Ridley","given":"A.R."},{"family":"Radford","given":"A.N."}],"issued":{"date-parts":[["2011",12]]},"citation-key":"hollenEcologicalConditionsInfluence2011"}}],"schema":"https://github.com/citation-style-language/schema/raw/master/csl-citation.json"} </w:instrText>
      </w:r>
      <w:r w:rsidRPr="00A5675B">
        <w:fldChar w:fldCharType="separate"/>
      </w:r>
      <w:r w:rsidRPr="00A5675B">
        <w:t>(Hollén et al. 2011)</w:t>
      </w:r>
      <w:r w:rsidRPr="00A5675B">
        <w:fldChar w:fldCharType="end"/>
      </w:r>
      <w:r w:rsidRPr="00A5675B">
        <w:t xml:space="preserve"> but could also benefit urban raptors. Urban red-tailed hawk (</w:t>
      </w:r>
      <w:r w:rsidRPr="00A5675B">
        <w:rPr>
          <w:i/>
        </w:rPr>
        <w:t>Buteo jamaicensis</w:t>
      </w:r>
      <w:r w:rsidRPr="00A5675B">
        <w:t xml:space="preserve">) populations make large green areas the cores of their home ranges </w:t>
      </w:r>
      <w:r w:rsidRPr="00A5675B">
        <w:fldChar w:fldCharType="begin"/>
      </w:r>
      <w:r w:rsidR="00F0528E">
        <w:instrText xml:space="preserve"> ADDIN ZOTERO_ITEM CSL_CITATION {"citationID":"05OtysYk","properties":{"formattedCitation":"(Morrison et al. 2016)","plainCitation":"(Morrison et al. 2016)","noteIndex":0},"citationItems":[{"id":1786,"uris":["http://zotero.org/users/8430992/items/I7ZMZB27"],"itemData":{"id":1786,"type":"article-journal","abstract":"Raptors increasingly live and nest successfully in urban areas. In the urban landscape of Hartford, CT, red-tailed hawks established home ranges in large green spaces such as parks, golf courses, and cemeteries but also nested successfully in the commercial district of downtown and in densely built urban and suburban neighborhoods. Data collected from 11 radio-tagged breeding adult hawks indicated that year-round home ranges averaged 107.7 ha, much smaller than home ranges reported for hawks inhabiting rural areas. Most hawk home ranges had multiple core areas that were usually associated with favored perches or larger patches of ‘usable’ green space, defined as patches ≥0.25 ha in size, and home range size was positively associated with larger usable green space patches in core areas. Most nests were located in the largest core area and were within a larger patch of green space within the largest core area. Rather than just the amount or size of green space patches, the value of urban green spaces for these hawks likely also varies with the number and proximity of suitable perches such as buildings or tall trees, types and density of prey, and amount of human activity in and adjacent to these spaces. Territoriality and intraspecific competition may also influence home range size and dispersion of red-tailed hawks nesting in Hartford. In this urban area, mortality due to ingestion of rodenticides and collisions with vehicles affected hawk reproductive success.","container-title":"Urban Ecosystems","DOI":"10.1007/s11252-016-0554-0","ISSN":"1083-8155, 1573-1642","issue":"3","journalAbbreviation":"Urban Ecosyst","language":"en","page":"1373-1388","source":"Semantic Scholar","title":"Spatial distribution and the value of green spaces for urban red-tailed hawks","volume":"19","author":[{"family":"Morrison","given":"Joan L."},{"family":"Gottlieb","given":"Isabel G. W."},{"family":"Pias","given":"Kyle E."}],"issued":{"date-parts":[["2016",9]]},"citation-key":"morrisonSpatialDistributionValue2016"}}],"schema":"https://github.com/citation-style-language/schema/raw/master/csl-citation.json"} </w:instrText>
      </w:r>
      <w:r w:rsidRPr="00A5675B">
        <w:fldChar w:fldCharType="separate"/>
      </w:r>
      <w:r w:rsidRPr="00A5675B">
        <w:t>(Morrison et al. 2016)</w:t>
      </w:r>
      <w:r w:rsidRPr="00A5675B">
        <w:fldChar w:fldCharType="end"/>
      </w:r>
      <w:r w:rsidRPr="00A5675B">
        <w:t xml:space="preserve">. Foraging in green areas could therefore be risky, explaining an individual’s need to maintain vigilance. </w:t>
      </w:r>
      <w:r w:rsidR="009F2347" w:rsidRPr="00A5675B">
        <w:t>Higher disturbance frequency</w:t>
      </w:r>
      <w:r w:rsidR="009F2347">
        <w:t>, regardless of area type,</w:t>
      </w:r>
      <w:r w:rsidR="009F2347" w:rsidRPr="00A5675B">
        <w:t xml:space="preserve"> led to a decrease in the duration of bouts of all behaviours, particularly foraging. American crows could be decreasing the duration of bouts of foraging behaviour to minimize their exposure to perceived threats. Areas with higher disturbance frequencies typically had a greater frequency of vehicular disturbances, which American crows could be more tolerant of </w:t>
      </w:r>
      <w:r w:rsidR="009F2347" w:rsidRPr="00A5675B">
        <w:rPr>
          <w:iCs w:val="0"/>
        </w:rPr>
        <w:fldChar w:fldCharType="begin"/>
      </w:r>
      <w:r w:rsidR="009F2347">
        <w:instrText xml:space="preserve"> ADDIN ZOTERO_ITEM CSL_CITATION {"citationID":"Kp0oU3Bb","properties":{"formattedCitation":"(Mukherjee et al. 2013)","plainCitation":"(Mukherjee et al. 2013)","noteIndex":0},"citationItems":[{"id":1788,"uris":["http://zotero.org/users/8430992/items/KUKT9VKG"],"itemData":{"id":1788,"type":"article-journal","abstract":"A carrion feeder attempting to forage on a road benefits greatly from an appropriate response to vehicular traffic. In this observational study, we tested the ability of American Crows (Corvus brachyrhynchos) to judge the behaviour of fast-moving vehicles and avoid collision on a narrow road. Unsurprisingly, American Crows feeding in the same lane as the approaching vehicle always flew off, but interestingly, a significant proportion of American Crows in the opposite lane chose to remain on the road. In addition, 21% of the American Crows in the same lane as the approaching vehicle walked over to the opposite lane to avoid injury, but none of the American Crows in the opposite lane walked over to the lane in which the vehicle was approaching. These are among the first quantitative data indicating that a non-human animal can detect the directionality of oncoming vehicles on a road and, like humans, actively move out of the way or switch lanes to avoid death based on an understanding of the bahaviour of vehicular traffic.","container-title":"The Canadian Field-Naturalist","DOI":"10.22621/cfn.v127i3.1488","ISSN":"0008-3550","issue":"3","journalAbbreviation":"Can Field Nat","page":"229","source":"Semantic Scholar","title":"Behaviour of American Crows (Corvus brachyrhynchos) when encountering an oncoming vehicle","volume":"127","author":[{"family":"Mukherjee","given":"Shomen"},{"family":"Ray-Mukherjee","given":"Jayanti"},{"family":"Sarabia","given":"Robin"}],"issued":{"date-parts":[["2013",12,3]]},"citation-key":"mukherjeeBehaviourAmericanCrows2013"}}],"schema":"https://github.com/citation-style-language/schema/raw/master/csl-citation.json"} </w:instrText>
      </w:r>
      <w:r w:rsidR="009F2347" w:rsidRPr="00A5675B">
        <w:rPr>
          <w:iCs w:val="0"/>
        </w:rPr>
        <w:fldChar w:fldCharType="separate"/>
      </w:r>
      <w:r w:rsidR="009F2347" w:rsidRPr="00A5675B">
        <w:t>(Mukherjee et al. 2013)</w:t>
      </w:r>
      <w:r w:rsidR="009F2347" w:rsidRPr="00A5675B">
        <w:rPr>
          <w:iCs w:val="0"/>
        </w:rPr>
        <w:fldChar w:fldCharType="end"/>
      </w:r>
      <w:r w:rsidR="009F2347" w:rsidRPr="00A5675B">
        <w:t xml:space="preserve">. Though not formally quantified, we did observe foraging crows abandon sites when disturbed by raptors but only temporarily flee when disturbed by vehicles. This suggests that the type of disturbances in each environment could change how risky an environment is to forage </w:t>
      </w:r>
      <w:r w:rsidR="000F1DB6" w:rsidRPr="00A5675B">
        <w:t>on</w:t>
      </w:r>
      <w:r w:rsidR="000F1DB6">
        <w:t xml:space="preserve"> and</w:t>
      </w:r>
      <w:r w:rsidR="009F2347">
        <w:t xml:space="preserve"> adds another layer of complexity when comparing different areas within a city.</w:t>
      </w:r>
    </w:p>
    <w:p w14:paraId="1F7E7F59" w14:textId="07B88993" w:rsidR="00A5675B" w:rsidRDefault="00A5675B" w:rsidP="0074547E">
      <w:pPr>
        <w:pStyle w:val="MainText"/>
      </w:pPr>
      <w:r w:rsidRPr="00A5675B">
        <w:t xml:space="preserve">We observed shorter bouts of foraging behaviour in commercial areas. Food scraps and litter in commercial areas are considerably easier to find when on impermeable surfaces, reducing the time to find and catch food. </w:t>
      </w:r>
      <w:r w:rsidR="009F2347">
        <w:t xml:space="preserve">The decreased duration of bouts of foraging behaviour in the presence of bait, regardless of environment, supports this hypothesis. In green and commercial areas, bait was dropped on an impermeable surface, mimicking human litter. The ease of </w:t>
      </w:r>
      <w:r w:rsidR="009F2347">
        <w:lastRenderedPageBreak/>
        <w:t xml:space="preserve">foraging on anthropogenic foods could explain the shift in preference observed in many urban species. </w:t>
      </w:r>
      <w:r w:rsidRPr="00A5675B">
        <w:t xml:space="preserve">Moreover, anthropogenic foods can have a greater caloric content than non-anthropogenic foods, making them more satiating than other food sources, likely playing a role in the shift in their foraging preferences for anthropogenic foods </w:t>
      </w:r>
      <w:r w:rsidRPr="00A5675B">
        <w:fldChar w:fldCharType="begin"/>
      </w:r>
      <w:r w:rsidR="00F0528E">
        <w:instrText xml:space="preserve"> ADDIN ZOTERO_ITEM CSL_CITATION {"citationID":"rkTfrvXv","properties":{"formattedCitation":"(Marzluff et al. 2001; Marzluff and Neatherlin 2006)","plainCitation":"(Marzluff et al. 2001; Marzluff and Neatherlin 2006)","noteIndex":0},"citationItems":[{"id":27,"uris":["http://zotero.org/users/8430992/items/AHRLEAVU"],"itemData":{"id":27,"type":"article-journal","abstract":"Human development often favors species adapted to human conditions with subsequent negative effects on sensitive species. This is occurring throughout the urbanizing world as increases by generalist omnivores, like some crows and ravens (corvids) threaten other birds with increased rates of nest predation. The process of corvid responses and their actual effects on other species is only vaguely understood, so we quantified the population response of radio-tagged American crows (\nCorvus brachyrhynchos), common ravens (\nCorvus corax), and Steller’s jays (\nCyanocitta stelleri) to human settlements and campgrounds and examined their influence as nest predators on simulated marbled murrelet (\nBrachyramphus marmoratus) nests on Washington’s Olympic Peninsula from 1995 to 2000. The behavior and demography of crows, ravens, and jays was correlated to varying degrees with proximity to human development. Crows and ravens had smaller home ranges and higher reproduction near human settlements and recreation. Annual survival of crows was positively associated with proximity to human development. Home range and reproduction of Steller’s jays was independent of proximity to human settlements and campgrounds. Local density of crows increased because home ranges of neighboring breeding pairs overlapped extensively (6× more than ravens and 3× more than Steller’s jays) and breeders far from anthropogenic foods traveled 10s of kilometers to access them. Corvids accounted for 32.5% of the predation events (\nn\n=\n837) we documented on artificial murrelet nests. Small corvids (jays) were common nest predators across our study area but their contribution as predators did not vary with proximity to settlements and campgrounds. In contrast, large corvids (crows and ravens) were rare nest predators across our study area but their contribution varied greatly with proximity to settlements and campgrounds. Managers seeking to reduce the risk of nest predation need to consider the varied impacts and variable behavioral and population responses of potential nest predators. In our situation, removing large corvids may do little to reduce overall rates of nest predation because of the diverse predator assemblage, but reducing anthropogenic food in the landscape may be effective.","container-title":"Biological conservation","DOI":"10.1016/j.biocon.2005.12.026","ISSN":"0006-3207","issue":"2","language":"eng","note":"publisher-place: Oxford\npublisher: Elsevier Ltd","page":"301–314","source":"ocul-bu.primo.exlibrisgroup.com","title":"Corvid response to human settlements and campgrounds: Causes, consequences, and challenges for conservation","title-short":"Corvid response to human settlements and campgrounds","volume":"130","author":[{"family":"Marzluff","given":"John M."},{"family":"Neatherlin","given":"Erik"}],"issued":{"date-parts":[["2006"]]},"citation-key":"marzluffCorvidResponseHuman2006"}},{"id":218,"uris":["http://zotero.org/users/8430992/items/WBMUKQWR"],"itemData":{"id":218,"type":"chapter","container-title":"Avian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L."}],"accessed":{"date-parts":[["2022",1,5]]},"issued":{"date-parts":[["2001"]]},"citation-key":"marzluff2001"}}],"schema":"https://github.com/citation-style-language/schema/raw/master/csl-citation.json"} </w:instrText>
      </w:r>
      <w:r w:rsidRPr="00A5675B">
        <w:fldChar w:fldCharType="separate"/>
      </w:r>
      <w:r w:rsidR="00F0528E" w:rsidRPr="00F0528E">
        <w:t>(Marzluff et al. 2001; Marzluff and Neatherlin 2006)</w:t>
      </w:r>
      <w:r w:rsidRPr="00A5675B">
        <w:fldChar w:fldCharType="end"/>
      </w:r>
      <w:r w:rsidRPr="00A5675B">
        <w:t>.</w:t>
      </w:r>
    </w:p>
    <w:p w14:paraId="5C8B5B36" w14:textId="6B71A47D" w:rsidR="00A5675B" w:rsidRPr="000F1DB6" w:rsidRDefault="00A5675B" w:rsidP="000F1DB6">
      <w:pPr>
        <w:pStyle w:val="MainText"/>
      </w:pPr>
      <w:r w:rsidRPr="00A5675B">
        <w:t xml:space="preserve">The absence of effect of generalized environment on the likelihood of a sentinel being present in our videos is not necessarily unexpected. </w:t>
      </w:r>
      <w:proofErr w:type="spellStart"/>
      <w:r w:rsidRPr="00A5675B">
        <w:t>Bedneckoff's</w:t>
      </w:r>
      <w:proofErr w:type="spellEnd"/>
      <w:r w:rsidRPr="00A5675B">
        <w:t xml:space="preserve"> state-dependent model states that individuals make decisions based on their own energetic needs and the benefits they receive </w:t>
      </w:r>
      <w:r w:rsidRPr="00A5675B">
        <w:fldChar w:fldCharType="begin"/>
      </w:r>
      <w:r w:rsidR="00F0528E">
        <w:instrText xml:space="preserve"> ADDIN ZOTERO_ITEM CSL_CITATION {"citationID":"AyMXBJ0y","properties":{"formattedCitation":"(Bednekoff 1997)","plainCitation":"(Bednekoff 1997)","noteIndex":0},"citationItems":[{"id":1726,"uris":["http://zotero.org/users/8430992/items/5Y2MYXKI"],"itemData":{"id":1726,"type":"article-journal","container-title":"The American Naturalist","DOI":"10.1086/286070","ISSN":"0003-0147, 1537-5323","issue":"3","journalAbbreviation":"The American Naturalist","language":"en","page":"373-392","source":"DOI.org (Crossref)","title":"Mutualism among safe, selfish sentinels: a dynamic game","title-short":"Mutualism among safe, selfish sentinels","volume":"150","author":[{"family":"Bednekoff","given":"Peter A."}],"issued":{"date-parts":[["1997",9]]},"citation-key":"bednekoffMutualismSafeSelfish1997"}}],"schema":"https://github.com/citation-style-language/schema/raw/master/csl-citation.json"} </w:instrText>
      </w:r>
      <w:r w:rsidRPr="00A5675B">
        <w:fldChar w:fldCharType="separate"/>
      </w:r>
      <w:r w:rsidRPr="00A5675B">
        <w:t>(Bednekoff 1997)</w:t>
      </w:r>
      <w:r w:rsidRPr="00A5675B">
        <w:fldChar w:fldCharType="end"/>
      </w:r>
      <w:r w:rsidRPr="00A5675B">
        <w:t>. An individual with sufficient energetic reserves could decide to perform sentinel behaviour as a safer option if the alternative is foraging without a sentinel. In urban areas, the presence of anthropogenic food could facilitate the replenishment of energetic reserves. As a result, individuals might be more likely to engage in sentinel behaviour and increase their sentinel efforts, either by increasing frequency and/or duration of behaviour bouts. In our case, all individuals are urban and can move between environments within the urban area. If travel time or time between foraging events is short, individuals could then be able to immediately sentinel upon arriving at a foraging site. Unfortunately, we were unable to track crow movements within a city to test this hypothesis, but it would be an interesting avenue for future research.</w:t>
      </w:r>
    </w:p>
    <w:p w14:paraId="3153F4C2" w14:textId="77777777" w:rsidR="00A5675B" w:rsidRPr="00A5675B" w:rsidRDefault="00A5675B" w:rsidP="000F1DB6">
      <w:pPr>
        <w:pStyle w:val="ManuSectionSubtitle"/>
      </w:pPr>
      <w:bookmarkStart w:id="78" w:name="_Toc162204975"/>
      <w:bookmarkStart w:id="79" w:name="_Toc162794620"/>
      <w:bookmarkStart w:id="80" w:name="_Toc174089144"/>
      <w:bookmarkStart w:id="81" w:name="_Toc178590842"/>
      <w:r w:rsidRPr="00A5675B">
        <w:t>Group Size</w:t>
      </w:r>
      <w:bookmarkEnd w:id="78"/>
      <w:bookmarkEnd w:id="79"/>
      <w:bookmarkEnd w:id="80"/>
      <w:bookmarkEnd w:id="81"/>
    </w:p>
    <w:p w14:paraId="7CE191D0" w14:textId="29CFAA99" w:rsidR="00A5675B" w:rsidRPr="00A5675B" w:rsidRDefault="00A5675B" w:rsidP="000F1DB6">
      <w:pPr>
        <w:pStyle w:val="MainText"/>
      </w:pPr>
      <w:r w:rsidRPr="00A5675B">
        <w:t xml:space="preserve">As group size increased, the duration of bouts of foraging behaviour increased but was not associated with a decrease in the duration of bouts of alert behaviour. The proportion of time allocated to either behaviour was also unchanged by the size of the group. This finding is surprising, as previous studies suggest that larger group sizes should decrease individual </w:t>
      </w:r>
      <w:r w:rsidRPr="00A5675B">
        <w:lastRenderedPageBreak/>
        <w:t xml:space="preserve">vigilance while increasing foraging efficiency </w:t>
      </w:r>
      <w:r w:rsidRPr="00A5675B">
        <w:fldChar w:fldCharType="begin"/>
      </w:r>
      <w:r w:rsidR="00F0528E">
        <w:instrText xml:space="preserve"> ADDIN ZOTERO_ITEM CSL_CITATION {"citationID":"gXWiUHEO","properties":{"formattedCitation":"(Lima 1995; Ward and Low 1997; Beauchamp 2008, 2013)","plainCitation":"(Lima 1995; Ward and Low 1997; Beauchamp 2008, 2013)","noteIndex":0},"citationItems":[{"id":300,"uris":["http://zotero.org/users/8430992/items/TNR2EYZJ"],"itemData":{"id":300,"type":"book","abstract":"The classic literature on predation dealt almost exclusively with solitary predators and their prey. Going back to Lotka-Volterra and optimal foraging theory, the theory about predation, including predator-prey population dynamics, was developed for solitary species. Various consequences of sociality for predators have been considered only recently. Similarly, while it was long recognized that prey species can benefit from living in groups, research on the adaptive value of sociality for prey species mostly emerged in the 1970s. The main theme of this book is the various ways that predators and prey may benefit from living in groups. The first part focusses on predators and explores how group membership influences predation success rate, from searching to subduing prey. The second part focusses on how prey in groups can detect and escape predators. The final section explores group size and composition and how individuals respond over evolutionary times to the challenges posed by chasing or being chased by animals in groups. This book will help the reader understand current issues in social predation theory and provide a synthesis of the literature across a broad range of animal taxa.  Includes the whole taxonomical range rather than limiting it to a select few Features in-depth analysis that allows a better understanding of many subtleties surrounding the issues related to social predation Presents both models and empirical results while covering the extensive predator and prey literature Contains extensive illustrations and separate boxes that cover more technical features, i.e., to present models and review results","ISBN":"978-0-12-407654-9","language":"en","note":"Google-Books-ID: BTSjAQAAQBAJ","number-of-pages":"335","publisher":"Elsevier","source":"Google Books","title":"Social predation: how group living benefits predators and prey","title-short":"Social Predation","author":[{"family":"Beauchamp","given":"Guy"}],"issued":{"date-parts":[["2013",12,7]]},"citation-key":"beauchampSocialPredationHow2013"}},{"id":251,"uris":["http://zotero.org/users/8430992/items/V9P63RFU"],"itemData":{"id":251,"type":"article-journal","abstract":"Vigilance has been predicted to decrease with group size due to increased predator detection and dilution of predation risk in larger groups. Although earlier literature reviews have provided ample support for this prediction, an increasing number of studies have failed to document a decline in vigilance with group size. In addition, support for this prediction has been based thus far on the P value of the relationship between vigilance and group size rather than on a quantitative assessment of effect magnitude. Here, I use a meta-analysis of empirical relationships between vigilance and group size in birds published in the last 35 years to provide a reassessment of the group-size effect on vigilance. Nearly one-third of all published relationships between vigilance and group size were not significant (n = 172). Results from the meta-analysis indicate weak to moderate negative correlations between group size and time spent vigilant (n = 43), scan frequency (n = 29), or scan duration (n = 20). The magnitude of the relationship was stronger in studies that controlled the amount of food available to birds. A funnel plot of the relationship between correlation coefficients and sample size failed to reveal an obvious publication bias. Although the meta-analysis results generally support the prediction that vigilance should decline with group size, a large amount of variation in vigilance remains unexplained in avian studies.","container-title":"Behavioral Ecology","DOI":"10.1093/beheco/arn096","ISSN":"1045-2249","issue":"6","journalAbbreviation":"Behavioral Ecology","page":"1361-1368","source":"Silverchair","title":"What is the magnitude of the group-size effect on vigilance?","volume":"19","author":[{"family":"Beauchamp","given":"Guy"}],"issued":{"date-parts":[["2008",11,1]]},"citation-key":"beauchampWhatMagnitudeGroupsize2008"}},{"id":1750,"uris":["http://zotero.org/users/8430992/items/2LCBYLU5"],"itemData":{"id":1750,"type":"article-journal","abstract":"A negative relationship between group size and levels of individual vigilance is widespread in socially feeding vertebrates. The main explanation of this ‘group-size effect’, the many-eyes hypothesis, is based on the simple premise that as group size increases, there are progressively more eyes scanning the environment for predators. Thus an individual forager can devote less time to vigilance (and more time to feeding) as group size increases without any lessening of the group's ability to detect an attack. Basic to this hypothesis is the assumption of collective detection: that all members of the group are alerted to an attack as long as it is detected by at least one individual. In addition, an important presumption associated with the many-eyes hypothesis is that individuals monitor the vigilance behaviour of their groupmates in determining their own level of vigilance. Neither the idea of collective detection nor behavioural monitoring received strong support in an experimental study of vigilance in mixed flocks of dark-eyed juncos, Junco hyemalis, and American tree sparrows, Spizella arborea. The lack of support for behavioural monitoring was particularly evident; however, some degree of collective detection was apparent. It is possible that anti-predatory rules-of-thumb may explain the group-size effect while keeping intact the basics of the many-eyes hypothesis.","container-title":"Animal Behaviour","DOI":"10.1016/0003-3472(95)80149-9","ISSN":"0003-3472","issue":"1","journalAbbreviation":"Animal Behaviour","page":"11-20","source":"ScienceDirect","title":"Back to the basics of anti-predatory vigilance: the group-size effect","title-short":"Back to the basics of anti-predatory vigilance","volume":"49","author":[{"family":"Lima","given":"Steven L."}],"issued":{"date-parts":[["1995",1,1]]},"citation-key":"limaBackBasicsAntipredatory1995"}},{"id":1792,"uris":["http://zotero.org/users/8430992/items/LLUML8WY"],"itemData":{"id":1792,"type":"article-journal","abstract":"We examined ways in which American Crows (Corvus brachyrhynchos) foraging in an urban environment balance the conflicting demands of finding food and avoiding predators. As individual vigilance (i.e., scanning) decreased, time devoted to foraging increased. Significant predictors of vigilance varied with location and included time of day, temperature, food availability, distance to nearest source of disturbance, cover distance, and size of foraging group. Group size and, secondarily, distance from cover accounted for most of the variability in vigilance. Crows were more vigilant in areas of high human disturbance than in areas of low human disturbance.","container-title":"The Wilson Bulletin","ISSN":"0043-5643","issue":"3","note":"publisher: Wilson Ornithological Society","page":"481-489","source":"JSTOR","title":"Predictors of vigilance for american crows foraging in an urban environment","volume":"109","author":[{"family":"Ward","given":"Camille"},{"family":"Low","given":"Bobbi S."}],"issued":{"date-parts":[["1997"]]},"citation-key":"ward1997"}}],"schema":"https://github.com/citation-style-language/schema/raw/master/csl-citation.json"} </w:instrText>
      </w:r>
      <w:r w:rsidRPr="00A5675B">
        <w:fldChar w:fldCharType="separate"/>
      </w:r>
      <w:r w:rsidR="00F0528E" w:rsidRPr="00F0528E">
        <w:t>(Lima 1995; Ward and Low 1997; Beauchamp 2008, 2013)</w:t>
      </w:r>
      <w:r w:rsidRPr="00A5675B">
        <w:fldChar w:fldCharType="end"/>
      </w:r>
      <w:r w:rsidRPr="00A5675B">
        <w:t>, yet the effect of group size was only observed in the duration of bouts of foraging behaviour. Bouts of alert behaviour could have a minimal duration to effectively monitor the surrounding environment for sources of threat. Alternatively, the bouts of alert behaviour be used to also maintain awareness of other group members due to the increased competition for resources in larger groups. Instead of only looking out for sources of threat, foragers could be looking at the behaviour of other group members in case they found a better patch to forage on.</w:t>
      </w:r>
    </w:p>
    <w:p w14:paraId="74A3C282" w14:textId="77777777" w:rsidR="00A5675B" w:rsidRPr="00A5675B" w:rsidRDefault="00A5675B" w:rsidP="00A5675B">
      <w:pPr>
        <w:pStyle w:val="SectionSubtitle"/>
        <w:spacing w:line="480" w:lineRule="auto"/>
        <w:rPr>
          <w:rFonts w:cs="Times New Roman"/>
        </w:rPr>
      </w:pPr>
      <w:bookmarkStart w:id="82" w:name="_Toc162204976"/>
      <w:bookmarkStart w:id="83" w:name="_Toc162794621"/>
      <w:bookmarkStart w:id="84" w:name="_Toc174089145"/>
      <w:bookmarkStart w:id="85" w:name="_Toc178590843"/>
      <w:r w:rsidRPr="00A5675B">
        <w:rPr>
          <w:rFonts w:cs="Times New Roman"/>
        </w:rPr>
        <w:t>Future directions and improvements</w:t>
      </w:r>
      <w:bookmarkEnd w:id="82"/>
      <w:bookmarkEnd w:id="83"/>
      <w:bookmarkEnd w:id="84"/>
      <w:bookmarkEnd w:id="85"/>
    </w:p>
    <w:p w14:paraId="4969EF6F"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Our study has several limitations that should be acknowledged. Our sample size could have limited the ability to detect more subtle effects. As such, caution should be exercised when interpreting the results, and future studies should build upon our preliminary findings using long-term video recorders and sampling locations across a wider breadth of urbanization. Additionally, the study focused on the population of crows in St. Catharines Ontario, which could limit the generalizability of our results to other populations or environments. Factors such as local food availability, the number and area of green spaces, and predator presence can vary widely between cities, and these factors can affect the behaviour of foraging crows. Therefore, the findings of our study could differ from those of a similar study performed in a different city. </w:t>
      </w:r>
    </w:p>
    <w:p w14:paraId="0013590F" w14:textId="3D356C9A" w:rsidR="00A5675B" w:rsidRPr="00A5675B" w:rsidRDefault="00A5675B" w:rsidP="00A5675B">
      <w:pPr>
        <w:spacing w:after="240" w:line="480" w:lineRule="auto"/>
        <w:rPr>
          <w:rFonts w:cs="Times New Roman"/>
          <w:iCs/>
          <w:szCs w:val="24"/>
        </w:rPr>
      </w:pPr>
      <w:r w:rsidRPr="00A5675B">
        <w:rPr>
          <w:rFonts w:cs="Times New Roman"/>
          <w:iCs/>
          <w:szCs w:val="24"/>
        </w:rPr>
        <w:t xml:space="preserve">Our study investigated the effects of sentinel behaviour and the generalized environment on the behaviour of foraging American crows in urban environments. Contrary to expectations, sentinel presence did not have a significant effect on forager behaviour. The generalized environment, however, had a significant impact on forager behaviour. Crows in green areas exhibited longer bouts of foraging behaviour and more transitions from the vulnerable to the alert state compared </w:t>
      </w:r>
      <w:r w:rsidRPr="00A5675B">
        <w:rPr>
          <w:rFonts w:cs="Times New Roman"/>
          <w:iCs/>
          <w:szCs w:val="24"/>
        </w:rPr>
        <w:lastRenderedPageBreak/>
        <w:t xml:space="preserve">to those in commercial areas. Crows therefore alter their foraging behaviour in response to changes in environmental factors such as resource distribution and predation risk. A significant interaction between sentinel presence and generalized environment was also observed, suggesting that the effectiveness of the sentinel might differ between environments. This is reflected in an increased reliance on the sentinel in foragers in green areas, where the sentinel’s effectiveness is greatest. </w:t>
      </w:r>
    </w:p>
    <w:p w14:paraId="696C764B" w14:textId="77777777" w:rsidR="0052550C" w:rsidRDefault="00A5675B" w:rsidP="0052550C">
      <w:pPr>
        <w:spacing w:after="240" w:line="480" w:lineRule="auto"/>
        <w:rPr>
          <w:rFonts w:cs="Times New Roman"/>
          <w:iCs/>
          <w:szCs w:val="24"/>
        </w:rPr>
      </w:pPr>
      <w:r w:rsidRPr="00A5675B">
        <w:rPr>
          <w:rFonts w:cs="Times New Roman"/>
          <w:iCs/>
          <w:szCs w:val="24"/>
        </w:rPr>
        <w:t>These findings have several implications for understanding crow behaviour. They suggest that crows can adapt their behaviour based on environmental conditions and individual needs. The lack of significant effects of sentinel behaviour points towards the complexity of social behaviour in crows and the importance of considering individual variation in decision-making. Overall, the study provides valuable insights into the factors influencing crow behaviour in urban environments and highlights the need for further research to fully understand these complex behaviours.</w:t>
      </w:r>
      <w:bookmarkEnd w:id="71"/>
      <w:r w:rsidRPr="00A5675B">
        <w:rPr>
          <w:rFonts w:cs="Times New Roman"/>
          <w:iCs/>
          <w:szCs w:val="24"/>
        </w:rPr>
        <w:t xml:space="preserve"> </w:t>
      </w:r>
      <w:bookmarkStart w:id="86" w:name="_Toc174089146"/>
      <w:bookmarkStart w:id="87" w:name="_Toc178590844"/>
    </w:p>
    <w:p w14:paraId="618813AF" w14:textId="77777777" w:rsidR="0052550C" w:rsidRDefault="0052550C" w:rsidP="0052550C">
      <w:pPr>
        <w:spacing w:after="240" w:line="480" w:lineRule="auto"/>
        <w:sectPr w:rsidR="0052550C" w:rsidSect="0074547E">
          <w:headerReference w:type="default" r:id="rId20"/>
          <w:pgSz w:w="12240" w:h="15840"/>
          <w:pgMar w:top="1440" w:right="1440" w:bottom="1440" w:left="1440" w:header="708" w:footer="708" w:gutter="0"/>
          <w:lnNumType w:countBy="1" w:restart="continuous"/>
          <w:cols w:space="708"/>
          <w:docGrid w:linePitch="360"/>
        </w:sectPr>
      </w:pPr>
    </w:p>
    <w:p w14:paraId="6514506B" w14:textId="6CC55576" w:rsidR="00A5675B" w:rsidRPr="00A5675B" w:rsidRDefault="00A5675B" w:rsidP="0052550C">
      <w:pPr>
        <w:pStyle w:val="ManuSectionTitle"/>
      </w:pPr>
      <w:commentRangeStart w:id="88"/>
      <w:r w:rsidRPr="00A5675B">
        <w:lastRenderedPageBreak/>
        <w:t>References</w:t>
      </w:r>
      <w:bookmarkEnd w:id="86"/>
      <w:bookmarkEnd w:id="87"/>
      <w:commentRangeEnd w:id="88"/>
      <w:r w:rsidR="0052550C">
        <w:rPr>
          <w:rStyle w:val="CommentReference"/>
          <w:rFonts w:eastAsia="Arial" w:cs="Arial"/>
          <w:b w:val="0"/>
          <w:color w:val="auto"/>
        </w:rPr>
        <w:commentReference w:id="88"/>
      </w:r>
    </w:p>
    <w:p w14:paraId="6799565B" w14:textId="77777777" w:rsidR="00D67361" w:rsidRPr="00D67361" w:rsidRDefault="00A5675B" w:rsidP="00D67361">
      <w:pPr>
        <w:pStyle w:val="Bibliography"/>
        <w:rPr>
          <w:rFonts w:cs="Times New Roman"/>
        </w:rPr>
      </w:pPr>
      <w:r w:rsidRPr="00A5675B">
        <w:rPr>
          <w:szCs w:val="24"/>
        </w:rPr>
        <w:fldChar w:fldCharType="begin"/>
      </w:r>
      <w:r w:rsidRPr="00A5675B">
        <w:rPr>
          <w:szCs w:val="24"/>
        </w:rPr>
        <w:instrText xml:space="preserve"> ADDIN ZOTERO_BIBL {"uncited":[],"omitted":[],"custom":[]} CSL_BIBLIOGRAPHY </w:instrText>
      </w:r>
      <w:r w:rsidRPr="00A5675B">
        <w:rPr>
          <w:szCs w:val="24"/>
        </w:rPr>
        <w:fldChar w:fldCharType="separate"/>
      </w:r>
      <w:r w:rsidR="00D67361" w:rsidRPr="00D67361">
        <w:rPr>
          <w:rFonts w:cs="Times New Roman"/>
        </w:rPr>
        <w:t>Aronson MFJ, La Sorte FA, Nilon CH, et al (2014) A global analysis of the impacts of urbanization on bird and plant diversity reveals key anthropogenic drivers. Proceedings of the Royal Society B: Biological Sciences 281:20133330. https://doi.org/10.1098/rspb.2013.3330</w:t>
      </w:r>
    </w:p>
    <w:p w14:paraId="0092D37A" w14:textId="77777777" w:rsidR="00D67361" w:rsidRPr="00D67361" w:rsidRDefault="00D67361" w:rsidP="00D67361">
      <w:pPr>
        <w:pStyle w:val="Bibliography"/>
        <w:rPr>
          <w:rFonts w:cs="Times New Roman"/>
        </w:rPr>
      </w:pPr>
      <w:r w:rsidRPr="00D67361">
        <w:rPr>
          <w:rFonts w:cs="Times New Roman"/>
        </w:rPr>
        <w:t>Auman HJ, Meathrel CE, Richardson A (2008) Supersize me: does anthropogenic food change the body condition of silver gulls? A comparison between urbanized and remote, non-urbanized areas. Waterbirds 31:122–126</w:t>
      </w:r>
    </w:p>
    <w:p w14:paraId="1BC7B0CF" w14:textId="77777777" w:rsidR="00D67361" w:rsidRPr="00D67361" w:rsidRDefault="00D67361" w:rsidP="00D67361">
      <w:pPr>
        <w:pStyle w:val="Bibliography"/>
        <w:rPr>
          <w:rFonts w:cs="Times New Roman"/>
        </w:rPr>
      </w:pPr>
      <w:r w:rsidRPr="00D67361">
        <w:rPr>
          <w:rFonts w:cs="Times New Roman"/>
        </w:rPr>
        <w:t>Beauchamp G (2013) Social predation: how group living benefits predators and prey. Elsevier</w:t>
      </w:r>
    </w:p>
    <w:p w14:paraId="56D6C599" w14:textId="77777777" w:rsidR="00D67361" w:rsidRPr="00D67361" w:rsidRDefault="00D67361" w:rsidP="00D67361">
      <w:pPr>
        <w:pStyle w:val="Bibliography"/>
        <w:rPr>
          <w:rFonts w:cs="Times New Roman"/>
        </w:rPr>
      </w:pPr>
      <w:r w:rsidRPr="00D67361">
        <w:rPr>
          <w:rFonts w:cs="Times New Roman"/>
        </w:rPr>
        <w:t>Beauchamp G (2008) What is the magnitude of the group-size effect on vigilance? Behavioral Ecology 19:1361–1368. https://doi.org/10.1093/beheco/arn096</w:t>
      </w:r>
    </w:p>
    <w:p w14:paraId="0867601B" w14:textId="77777777" w:rsidR="00D67361" w:rsidRPr="00D67361" w:rsidRDefault="00D67361" w:rsidP="00D67361">
      <w:pPr>
        <w:pStyle w:val="Bibliography"/>
        <w:rPr>
          <w:rFonts w:cs="Times New Roman"/>
        </w:rPr>
      </w:pPr>
      <w:r w:rsidRPr="00D67361">
        <w:rPr>
          <w:rFonts w:cs="Times New Roman"/>
        </w:rPr>
        <w:t>Bednekoff PA (2015) Sentinel behavior: a review and prospectus. In: Advances in the Study of Behavior. Elsevier, pp 115–145</w:t>
      </w:r>
    </w:p>
    <w:p w14:paraId="00DE9B9E" w14:textId="77777777" w:rsidR="00D67361" w:rsidRPr="00D67361" w:rsidRDefault="00D67361" w:rsidP="00D67361">
      <w:pPr>
        <w:pStyle w:val="Bibliography"/>
        <w:rPr>
          <w:rFonts w:cs="Times New Roman"/>
        </w:rPr>
      </w:pPr>
      <w:r w:rsidRPr="00D67361">
        <w:rPr>
          <w:rFonts w:cs="Times New Roman"/>
        </w:rPr>
        <w:t>Bednekoff PA (1997) Mutualism among safe, selfish sentinels: a dynamic game. The American Naturalist 150:373–392. https://doi.org/10.1086/286070</w:t>
      </w:r>
    </w:p>
    <w:p w14:paraId="7704AB86" w14:textId="77777777" w:rsidR="00D67361" w:rsidRPr="00D67361" w:rsidRDefault="00D67361" w:rsidP="00D67361">
      <w:pPr>
        <w:pStyle w:val="Bibliography"/>
        <w:rPr>
          <w:rFonts w:cs="Times New Roman"/>
        </w:rPr>
      </w:pPr>
      <w:r w:rsidRPr="00D67361">
        <w:rPr>
          <w:rFonts w:cs="Times New Roman"/>
        </w:rPr>
        <w:t>Benmazouz I, Jokimäki J, Lengyel S, et al (2021) Corvids in urban environments: a systematic global literature review. Animals : an Open Access Journal from MDPI 11:3226. https://doi.org/10.3390/ani11113226</w:t>
      </w:r>
    </w:p>
    <w:p w14:paraId="09353D8D" w14:textId="77777777" w:rsidR="00D67361" w:rsidRPr="00D67361" w:rsidRDefault="00D67361" w:rsidP="00D67361">
      <w:pPr>
        <w:pStyle w:val="Bibliography"/>
        <w:rPr>
          <w:rFonts w:cs="Times New Roman"/>
        </w:rPr>
      </w:pPr>
      <w:r w:rsidRPr="00D67361">
        <w:rPr>
          <w:rFonts w:cs="Times New Roman"/>
        </w:rPr>
        <w:t>Donihue CM, Lambert MR (2015) Adaptive evolution in urban ecosystems. Ambio 44:194–203. https://doi.org/10.1007/s13280-014-0547-2</w:t>
      </w:r>
    </w:p>
    <w:p w14:paraId="5A8711A1" w14:textId="77777777" w:rsidR="00D67361" w:rsidRPr="00D67361" w:rsidRDefault="00D67361" w:rsidP="00D67361">
      <w:pPr>
        <w:pStyle w:val="Bibliography"/>
        <w:rPr>
          <w:rFonts w:cs="Times New Roman"/>
        </w:rPr>
      </w:pPr>
      <w:r w:rsidRPr="00D67361">
        <w:rPr>
          <w:rFonts w:cs="Times New Roman"/>
        </w:rPr>
        <w:t>Friard O, Gamba M (2016) BORIS: a free, versatile open-source event-logging software for video/audio coding and live observations. Methods in Ecology and Evolution 7:1325–1330. https://doi.org/10.1111/2041-210X.12584</w:t>
      </w:r>
    </w:p>
    <w:p w14:paraId="0ABC2B4D" w14:textId="77777777" w:rsidR="00D67361" w:rsidRPr="00D67361" w:rsidRDefault="00D67361" w:rsidP="00D67361">
      <w:pPr>
        <w:pStyle w:val="Bibliography"/>
        <w:rPr>
          <w:rFonts w:cs="Times New Roman"/>
        </w:rPr>
      </w:pPr>
      <w:r w:rsidRPr="00D67361">
        <w:rPr>
          <w:rFonts w:cs="Times New Roman"/>
        </w:rPr>
        <w:t>Hollén LI, Bell MBV, Radford AN (2008) Cooperative sentinel calling? Foragers gain increased biomass intake. Current Biology 18:576–579. https://doi.org/10.1016/j.cub.2008.02.078</w:t>
      </w:r>
    </w:p>
    <w:p w14:paraId="6FD5EC55" w14:textId="77777777" w:rsidR="00D67361" w:rsidRPr="00D67361" w:rsidRDefault="00D67361" w:rsidP="00D67361">
      <w:pPr>
        <w:pStyle w:val="Bibliography"/>
        <w:rPr>
          <w:rFonts w:cs="Times New Roman"/>
        </w:rPr>
      </w:pPr>
      <w:r w:rsidRPr="00D67361">
        <w:rPr>
          <w:rFonts w:cs="Times New Roman"/>
        </w:rPr>
        <w:t>Hollén LI, Bell MBV, Wade HM, et al (2011) Ecological conditions influence sentinel decisions. Animal Behaviour 82:1435–1441. https://doi.org/10.1016/j.anbehav.2011.09.028</w:t>
      </w:r>
    </w:p>
    <w:p w14:paraId="7CD85E07" w14:textId="77777777" w:rsidR="00D67361" w:rsidRPr="00D67361" w:rsidRDefault="00D67361" w:rsidP="00D67361">
      <w:pPr>
        <w:pStyle w:val="Bibliography"/>
        <w:rPr>
          <w:rFonts w:cs="Times New Roman"/>
        </w:rPr>
      </w:pPr>
      <w:r w:rsidRPr="00D67361">
        <w:rPr>
          <w:rFonts w:cs="Times New Roman"/>
        </w:rPr>
        <w:t>Isaksson C (2018) Impact of urbanization on birds. In: Tietze DT (ed) Bird Species: How They Arise, Modify and Vanish. Springer International Publishing, Cham, pp 235–257</w:t>
      </w:r>
    </w:p>
    <w:p w14:paraId="139C3B24" w14:textId="77777777" w:rsidR="00D67361" w:rsidRPr="00D67361" w:rsidRDefault="00D67361" w:rsidP="00D67361">
      <w:pPr>
        <w:pStyle w:val="Bibliography"/>
        <w:rPr>
          <w:rFonts w:cs="Times New Roman"/>
        </w:rPr>
      </w:pPr>
      <w:r w:rsidRPr="00D67361">
        <w:rPr>
          <w:rFonts w:cs="Times New Roman"/>
        </w:rPr>
        <w:t>Kern JM, Radford AN (2016) Anthropogenic noise disrupts use of vocal information about predation risk. Environ Pollut 218:988–995. https://doi.org/10.1016/j.envpol.2016.08.049</w:t>
      </w:r>
    </w:p>
    <w:p w14:paraId="6B958CA6" w14:textId="77777777" w:rsidR="00D67361" w:rsidRPr="00D67361" w:rsidRDefault="00D67361" w:rsidP="00D67361">
      <w:pPr>
        <w:pStyle w:val="Bibliography"/>
        <w:rPr>
          <w:rFonts w:cs="Times New Roman"/>
        </w:rPr>
      </w:pPr>
      <w:r w:rsidRPr="00D67361">
        <w:rPr>
          <w:rFonts w:cs="Times New Roman"/>
        </w:rPr>
        <w:t>Koller M (2016) Robustlmm: an R package for robust estimation of linear mixed-effects models. Journal of Statistical Software 75:1–24. https://doi.org/10.18637/jss.v075.i06</w:t>
      </w:r>
    </w:p>
    <w:p w14:paraId="63419B76" w14:textId="77777777" w:rsidR="00D67361" w:rsidRPr="00D67361" w:rsidRDefault="00D67361" w:rsidP="00D67361">
      <w:pPr>
        <w:pStyle w:val="Bibliography"/>
        <w:rPr>
          <w:rFonts w:cs="Times New Roman"/>
        </w:rPr>
      </w:pPr>
      <w:r w:rsidRPr="00D67361">
        <w:rPr>
          <w:rFonts w:cs="Times New Roman"/>
        </w:rPr>
        <w:lastRenderedPageBreak/>
        <w:t>Lima SL (1995) Back to the basics of anti-predatory vigilance: the group-size effect. Animal Behaviour 49:11–20. https://doi.org/10.1016/0003-3472(95)80149-9</w:t>
      </w:r>
    </w:p>
    <w:p w14:paraId="66F5F214" w14:textId="77777777" w:rsidR="00D67361" w:rsidRPr="00D67361" w:rsidRDefault="00D67361" w:rsidP="00D67361">
      <w:pPr>
        <w:pStyle w:val="Bibliography"/>
        <w:rPr>
          <w:rFonts w:cs="Times New Roman"/>
        </w:rPr>
      </w:pPr>
      <w:r w:rsidRPr="00D67361">
        <w:rPr>
          <w:rFonts w:cs="Times New Roman"/>
        </w:rPr>
        <w:t>Łopucki R, Klich D, Kiersztyn A (2021) Changes in the social behavior of urban animals: more aggression or tolerance? Mamm Biol 101:1–10. https://doi.org/10.1007/s42991-020-00075-1</w:t>
      </w:r>
    </w:p>
    <w:p w14:paraId="0454DEE8" w14:textId="77777777" w:rsidR="00D67361" w:rsidRPr="00D67361" w:rsidRDefault="00D67361" w:rsidP="00D67361">
      <w:pPr>
        <w:pStyle w:val="Bibliography"/>
        <w:rPr>
          <w:rFonts w:cs="Times New Roman"/>
        </w:rPr>
      </w:pPr>
      <w:r w:rsidRPr="00D67361">
        <w:rPr>
          <w:rFonts w:cs="Times New Roman"/>
        </w:rPr>
        <w:t>Lowry H, Lill A, Wong BBM (2013) Behavioural responses of wildlife to urban environments. Biological reviews of the Cambridge Philosophical Society 88:537–549. https://doi.org/10.1111/brv.12012</w:t>
      </w:r>
    </w:p>
    <w:p w14:paraId="46F82480" w14:textId="77777777" w:rsidR="00D67361" w:rsidRPr="00D67361" w:rsidRDefault="00D67361" w:rsidP="00D67361">
      <w:pPr>
        <w:pStyle w:val="Bibliography"/>
        <w:rPr>
          <w:rFonts w:cs="Times New Roman"/>
        </w:rPr>
      </w:pPr>
      <w:r w:rsidRPr="00D67361">
        <w:rPr>
          <w:rFonts w:cs="Times New Roman"/>
        </w:rPr>
        <w:t>Marzluff JM, McGowan KJ, Donnelly R, Knight RL (2001) Causes and consequences of expanding American crow populations. In: Marzluff JM, Bowman R, Donnelly R (eds) Avian Ecology and Conservation in an Urbanizing World. Springer US, Boston, MA, pp 331–363</w:t>
      </w:r>
    </w:p>
    <w:p w14:paraId="389D2183" w14:textId="77777777" w:rsidR="00D67361" w:rsidRPr="00D67361" w:rsidRDefault="00D67361" w:rsidP="00D67361">
      <w:pPr>
        <w:pStyle w:val="Bibliography"/>
        <w:rPr>
          <w:rFonts w:cs="Times New Roman"/>
        </w:rPr>
      </w:pPr>
      <w:r w:rsidRPr="00D67361">
        <w:rPr>
          <w:rFonts w:cs="Times New Roman"/>
        </w:rPr>
        <w:t>Marzluff JM, Neatherlin E (2006) Corvid response to human settlements and campgrounds: Causes, consequences, and challenges for conservation. Biological conservation 130:301–314. https://doi.org/10.1016/j.biocon.2005.12.026</w:t>
      </w:r>
    </w:p>
    <w:p w14:paraId="7F1B5E5A" w14:textId="77777777" w:rsidR="00D67361" w:rsidRPr="00D67361" w:rsidRDefault="00D67361" w:rsidP="00D67361">
      <w:pPr>
        <w:pStyle w:val="Bibliography"/>
        <w:rPr>
          <w:rFonts w:cs="Times New Roman"/>
        </w:rPr>
      </w:pPr>
      <w:r w:rsidRPr="00D67361">
        <w:rPr>
          <w:rFonts w:cs="Times New Roman"/>
        </w:rPr>
        <w:t>Morrison JL, Gottlieb IGW, Pias KE (2016) Spatial distribution and the value of green spaces for urban red-tailed hawks. Urban Ecosyst 19:1373–1388. https://doi.org/10.1007/s11252-016-0554-0</w:t>
      </w:r>
    </w:p>
    <w:p w14:paraId="57FF92A3" w14:textId="77777777" w:rsidR="00D67361" w:rsidRPr="00D67361" w:rsidRDefault="00D67361" w:rsidP="00D67361">
      <w:pPr>
        <w:pStyle w:val="Bibliography"/>
        <w:rPr>
          <w:rFonts w:cs="Times New Roman"/>
        </w:rPr>
      </w:pPr>
      <w:r w:rsidRPr="00D67361">
        <w:rPr>
          <w:rFonts w:cs="Times New Roman"/>
        </w:rPr>
        <w:t>Mukherjee S, Ray-Mukherjee J, Sarabia R (2013) Behaviour of American Crows (Corvus brachyrhynchos) when encountering an oncoming vehicle. Can Field Nat 127:229. https://doi.org/10.22621/cfn.v127i3.1488</w:t>
      </w:r>
    </w:p>
    <w:p w14:paraId="02A95F72" w14:textId="77777777" w:rsidR="00D67361" w:rsidRPr="00D67361" w:rsidRDefault="00D67361" w:rsidP="00D67361">
      <w:pPr>
        <w:pStyle w:val="Bibliography"/>
        <w:rPr>
          <w:rFonts w:cs="Times New Roman"/>
        </w:rPr>
      </w:pPr>
      <w:r w:rsidRPr="00D67361">
        <w:rPr>
          <w:rFonts w:cs="Times New Roman"/>
        </w:rPr>
        <w:t>R Core Team (2022) R: the R project for statistical computing</w:t>
      </w:r>
    </w:p>
    <w:p w14:paraId="36BF3EEE" w14:textId="77777777" w:rsidR="00D67361" w:rsidRPr="00D67361" w:rsidRDefault="00D67361" w:rsidP="00D67361">
      <w:pPr>
        <w:pStyle w:val="Bibliography"/>
        <w:rPr>
          <w:rFonts w:cs="Times New Roman"/>
        </w:rPr>
      </w:pPr>
      <w:r w:rsidRPr="00D67361">
        <w:rPr>
          <w:rFonts w:cs="Times New Roman"/>
        </w:rPr>
        <w:t>Ridley AR, Raihani NJ, Bell MBV (2010) Experimental evidence that sentinel behaviour is affected by risk. Biology Letters 6:445–448. https://doi.org/10.1098/rsbl.2010.0023</w:t>
      </w:r>
    </w:p>
    <w:p w14:paraId="61DDF1E0" w14:textId="77777777" w:rsidR="00D67361" w:rsidRPr="00D67361" w:rsidRDefault="00D67361" w:rsidP="00D67361">
      <w:pPr>
        <w:pStyle w:val="Bibliography"/>
        <w:rPr>
          <w:rFonts w:cs="Times New Roman"/>
        </w:rPr>
      </w:pPr>
      <w:r w:rsidRPr="00D67361">
        <w:rPr>
          <w:rFonts w:cs="Times New Roman"/>
        </w:rPr>
        <w:t>Ridley AR, Wiley EM, Thompson AM (2014) The ecological benefits of interceptive eavesdropping. Funct Ecol 28:197–205. https://doi.org/10.1111/1365-2435.12153</w:t>
      </w:r>
    </w:p>
    <w:p w14:paraId="1A94FECF" w14:textId="77777777" w:rsidR="00D67361" w:rsidRPr="00D67361" w:rsidRDefault="00D67361" w:rsidP="00D67361">
      <w:pPr>
        <w:pStyle w:val="Bibliography"/>
        <w:rPr>
          <w:rFonts w:cs="Times New Roman"/>
        </w:rPr>
      </w:pPr>
      <w:r w:rsidRPr="00D67361">
        <w:rPr>
          <w:rFonts w:cs="Times New Roman"/>
        </w:rPr>
        <w:t>Santema P, Clutton-Brock T (2013) Meerkat helpers increase sentinel behaviour and bipedal vigilance in the presence of pups. Animal Behaviour 85:655–661. https://doi.org/10.1016/j.anbehav.2012.12.029</w:t>
      </w:r>
    </w:p>
    <w:p w14:paraId="61001C45" w14:textId="77777777" w:rsidR="00D67361" w:rsidRPr="00D67361" w:rsidRDefault="00D67361" w:rsidP="00D67361">
      <w:pPr>
        <w:pStyle w:val="Bibliography"/>
        <w:rPr>
          <w:rFonts w:cs="Times New Roman"/>
        </w:rPr>
      </w:pPr>
      <w:r w:rsidRPr="00D67361">
        <w:rPr>
          <w:rFonts w:cs="Times New Roman"/>
        </w:rPr>
        <w:t>UN Department of Economic and Social Affairs (2018) 68% of the world population projected to live in urban areas by 2050, says UN. In: United Nations. https://www.un.org/development/desa/en/news/population/2018-revision-of-world-urbanization-prospects.html</w:t>
      </w:r>
    </w:p>
    <w:p w14:paraId="5C49716F" w14:textId="77777777" w:rsidR="00D67361" w:rsidRPr="00D67361" w:rsidRDefault="00D67361" w:rsidP="00D67361">
      <w:pPr>
        <w:pStyle w:val="Bibliography"/>
        <w:rPr>
          <w:rFonts w:cs="Times New Roman"/>
        </w:rPr>
      </w:pPr>
      <w:r w:rsidRPr="00D67361">
        <w:rPr>
          <w:rFonts w:cs="Times New Roman"/>
        </w:rPr>
        <w:t>Ward C, Low BS (1997) Predictors of vigilance for american crows foraging in an urban environment. The Wilson Bulletin 109:481–489</w:t>
      </w:r>
    </w:p>
    <w:p w14:paraId="08919E86" w14:textId="77777777" w:rsidR="00D67361" w:rsidRPr="00D67361" w:rsidRDefault="00D67361" w:rsidP="00D67361">
      <w:pPr>
        <w:pStyle w:val="Bibliography"/>
        <w:rPr>
          <w:rFonts w:cs="Times New Roman"/>
        </w:rPr>
      </w:pPr>
      <w:r w:rsidRPr="00D67361">
        <w:rPr>
          <w:rFonts w:cs="Times New Roman"/>
        </w:rPr>
        <w:lastRenderedPageBreak/>
        <w:t>Withey JC, Marzluff JM (2009) Multi-scale use of lands providing anthropogenic resources by American Crows in an urbanizing landscape. Landscape Ecol 24:281–293. https://doi.org/10.1007/s10980-008-9305-9</w:t>
      </w:r>
    </w:p>
    <w:p w14:paraId="482F9620" w14:textId="6F1723B0" w:rsidR="00465C42" w:rsidRPr="00A5675B" w:rsidRDefault="00A5675B" w:rsidP="005C1D7D">
      <w:pPr>
        <w:spacing w:after="240" w:line="480" w:lineRule="auto"/>
        <w:rPr>
          <w:rFonts w:cs="Times New Roman"/>
        </w:rPr>
      </w:pPr>
      <w:r w:rsidRPr="00A5675B">
        <w:rPr>
          <w:rFonts w:cs="Times New Roman"/>
          <w:szCs w:val="24"/>
        </w:rPr>
        <w:fldChar w:fldCharType="end"/>
      </w:r>
    </w:p>
    <w:sectPr w:rsidR="00465C42" w:rsidRPr="00A5675B" w:rsidSect="0074547E">
      <w:headerReference w:type="default" r:id="rId21"/>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Alex Popescu" w:date="2024-11-26T10:16:00Z" w:initials="AP">
    <w:p w14:paraId="162B7296" w14:textId="77777777" w:rsidR="0049789F" w:rsidRDefault="0049789F" w:rsidP="0049789F">
      <w:pPr>
        <w:pStyle w:val="CommentText"/>
      </w:pPr>
      <w:r>
        <w:rPr>
          <w:rStyle w:val="CommentReference"/>
        </w:rPr>
        <w:annotationRef/>
      </w:r>
      <w:r>
        <w:t>Should I give examples of this? What’s the best way to do this without appearing critical?</w:t>
      </w:r>
    </w:p>
  </w:comment>
  <w:comment w:id="17" w:author="Alex Popescu" w:date="2024-11-26T10:13:00Z" w:initials="AP">
    <w:p w14:paraId="58AE6ACF" w14:textId="645654BC" w:rsidR="0049789F" w:rsidRDefault="0049789F" w:rsidP="0049789F">
      <w:pPr>
        <w:pStyle w:val="CommentText"/>
      </w:pPr>
      <w:r>
        <w:rPr>
          <w:rStyle w:val="CommentReference"/>
        </w:rPr>
        <w:annotationRef/>
      </w:r>
      <w:r>
        <w:t>Put in annex?</w:t>
      </w:r>
    </w:p>
  </w:comment>
  <w:comment w:id="41" w:author="Alex Popescu" w:date="2024-11-11T22:22:00Z" w:initials="AP">
    <w:p w14:paraId="5A3BBC6D" w14:textId="5FBE92FC" w:rsidR="00712D7C" w:rsidRDefault="00712D7C" w:rsidP="00712D7C">
      <w:pPr>
        <w:pStyle w:val="CommentText"/>
      </w:pPr>
      <w:r>
        <w:rPr>
          <w:rStyle w:val="CommentReference"/>
        </w:rPr>
        <w:annotationRef/>
      </w:r>
      <w:r>
        <w:t>Considering removing this figure. Doesn’t show much. Might be worth removing the “moving” from the proportion of time and see, but the statistical test  didn’t reveal anything close to being significant.</w:t>
      </w:r>
    </w:p>
  </w:comment>
  <w:comment w:id="48" w:author="Alex Popescu" w:date="2024-11-11T22:23:00Z" w:initials="AP">
    <w:p w14:paraId="5563A766" w14:textId="77777777" w:rsidR="00712D7C" w:rsidRDefault="00712D7C" w:rsidP="00712D7C">
      <w:pPr>
        <w:pStyle w:val="CommentText"/>
      </w:pPr>
      <w:r>
        <w:rPr>
          <w:rStyle w:val="CommentReference"/>
        </w:rPr>
        <w:annotationRef/>
      </w:r>
      <w:r>
        <w:t>Also considering removing this, since the stats are reported in-text.</w:t>
      </w:r>
    </w:p>
  </w:comment>
  <w:comment w:id="88" w:author="Alex Popescu" w:date="2024-11-26T10:39:00Z" w:initials="AP">
    <w:p w14:paraId="5C8BEEAC" w14:textId="77777777" w:rsidR="0052550C" w:rsidRDefault="0052550C" w:rsidP="0052550C">
      <w:pPr>
        <w:pStyle w:val="CommentText"/>
      </w:pPr>
      <w:r>
        <w:rPr>
          <w:rStyle w:val="CommentReference"/>
        </w:rPr>
        <w:annotationRef/>
      </w:r>
      <w:r>
        <w:t>Annex: Need to go over the annexed figures and tables in the thesis. Which to keep? 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62B7296" w15:done="0"/>
  <w15:commentEx w15:paraId="58AE6ACF" w15:done="0"/>
  <w15:commentEx w15:paraId="5A3BBC6D" w15:done="0"/>
  <w15:commentEx w15:paraId="5563A766" w15:done="0"/>
  <w15:commentEx w15:paraId="5C8BEE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51783C" w16cex:dateUtc="2024-11-26T15:16:00Z"/>
  <w16cex:commentExtensible w16cex:durableId="030CB290" w16cex:dateUtc="2024-11-26T15:13:00Z"/>
  <w16cex:commentExtensible w16cex:durableId="3519CC01" w16cex:dateUtc="2024-11-12T03:22:00Z"/>
  <w16cex:commentExtensible w16cex:durableId="2AEBB730" w16cex:dateUtc="2024-11-12T03:23:00Z"/>
  <w16cex:commentExtensible w16cex:durableId="61887922" w16cex:dateUtc="2024-11-26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62B7296" w16cid:durableId="5051783C"/>
  <w16cid:commentId w16cid:paraId="58AE6ACF" w16cid:durableId="030CB290"/>
  <w16cid:commentId w16cid:paraId="5A3BBC6D" w16cid:durableId="3519CC01"/>
  <w16cid:commentId w16cid:paraId="5563A766" w16cid:durableId="2AEBB730"/>
  <w16cid:commentId w16cid:paraId="5C8BEEAC" w16cid:durableId="618879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6AC963" w14:textId="77777777" w:rsidR="00556435" w:rsidRDefault="00556435">
      <w:pPr>
        <w:spacing w:line="240" w:lineRule="auto"/>
      </w:pPr>
      <w:r>
        <w:separator/>
      </w:r>
    </w:p>
  </w:endnote>
  <w:endnote w:type="continuationSeparator" w:id="0">
    <w:p w14:paraId="380BD962" w14:textId="77777777" w:rsidR="00556435" w:rsidRDefault="00556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E036D" w14:textId="77777777" w:rsidR="00556435" w:rsidRDefault="00556435">
      <w:pPr>
        <w:spacing w:line="240" w:lineRule="auto"/>
      </w:pPr>
      <w:r>
        <w:separator/>
      </w:r>
    </w:p>
  </w:footnote>
  <w:footnote w:type="continuationSeparator" w:id="0">
    <w:p w14:paraId="5BE8772D" w14:textId="77777777" w:rsidR="00556435" w:rsidRDefault="005564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90EE3" w14:textId="0AB425E1" w:rsidR="001453B5" w:rsidRPr="0060735D" w:rsidRDefault="0074547E" w:rsidP="00F27A73">
    <w:pPr>
      <w:pStyle w:val="Header"/>
      <w:jc w:val="right"/>
      <w:rPr>
        <w:rFonts w:cs="Times New Roman"/>
        <w:szCs w:val="24"/>
      </w:rPr>
    </w:pPr>
    <w:r>
      <w:rPr>
        <w:rFonts w:cs="Times New Roman"/>
        <w:szCs w:val="24"/>
      </w:rPr>
      <w:t>Introduction</w:t>
    </w:r>
    <w:r w:rsidRPr="0060735D">
      <w:rPr>
        <w:rFonts w:cs="Times New Roman"/>
        <w:szCs w:val="24"/>
      </w:rPr>
      <w:t xml:space="preserve"> – Popescu </w:t>
    </w:r>
    <w:sdt>
      <w:sdtPr>
        <w:rPr>
          <w:rFonts w:cs="Times New Roman"/>
          <w:szCs w:val="24"/>
        </w:rPr>
        <w:id w:val="-552460394"/>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91314" w14:textId="77777777" w:rsidR="0074547E" w:rsidRPr="0060735D" w:rsidRDefault="0074547E" w:rsidP="00F27A73">
    <w:pPr>
      <w:pStyle w:val="Header"/>
      <w:jc w:val="right"/>
      <w:rPr>
        <w:rFonts w:cs="Times New Roman"/>
        <w:szCs w:val="24"/>
      </w:rPr>
    </w:pPr>
    <w:r>
      <w:rPr>
        <w:rFonts w:cs="Times New Roman"/>
        <w:szCs w:val="24"/>
      </w:rPr>
      <w:t>Methods</w:t>
    </w:r>
    <w:r w:rsidRPr="0060735D">
      <w:rPr>
        <w:rFonts w:cs="Times New Roman"/>
        <w:szCs w:val="24"/>
      </w:rPr>
      <w:t xml:space="preserve"> – Popescu </w:t>
    </w:r>
    <w:sdt>
      <w:sdtPr>
        <w:rPr>
          <w:rFonts w:cs="Times New Roman"/>
          <w:szCs w:val="24"/>
        </w:rPr>
        <w:id w:val="-2038028920"/>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918BC" w14:textId="2C536819" w:rsidR="001453B5" w:rsidRPr="0060735D" w:rsidRDefault="0074547E" w:rsidP="00F27A73">
    <w:pPr>
      <w:pStyle w:val="Header"/>
      <w:jc w:val="right"/>
      <w:rPr>
        <w:rFonts w:cs="Times New Roman"/>
        <w:szCs w:val="24"/>
      </w:rPr>
    </w:pPr>
    <w:r>
      <w:rPr>
        <w:rFonts w:cs="Times New Roman"/>
        <w:szCs w:val="24"/>
      </w:rPr>
      <w:t>Methods</w:t>
    </w:r>
    <w:r w:rsidRPr="0060735D">
      <w:rPr>
        <w:rFonts w:cs="Times New Roman"/>
        <w:szCs w:val="24"/>
      </w:rPr>
      <w:t xml:space="preserve"> – Popescu </w:t>
    </w:r>
    <w:sdt>
      <w:sdtPr>
        <w:rPr>
          <w:rFonts w:cs="Times New Roman"/>
          <w:szCs w:val="24"/>
        </w:rPr>
        <w:id w:val="-1838528388"/>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03F52" w14:textId="3442E036" w:rsidR="0074547E" w:rsidRPr="0060735D" w:rsidRDefault="0074547E" w:rsidP="00F27A73">
    <w:pPr>
      <w:pStyle w:val="Header"/>
      <w:jc w:val="right"/>
      <w:rPr>
        <w:rFonts w:cs="Times New Roman"/>
        <w:szCs w:val="24"/>
      </w:rPr>
    </w:pPr>
    <w:r>
      <w:rPr>
        <w:rFonts w:cs="Times New Roman"/>
        <w:szCs w:val="24"/>
      </w:rPr>
      <w:t>Results</w:t>
    </w:r>
    <w:r w:rsidRPr="0060735D">
      <w:rPr>
        <w:rFonts w:cs="Times New Roman"/>
        <w:szCs w:val="24"/>
      </w:rPr>
      <w:t xml:space="preserve"> – Popescu </w:t>
    </w:r>
    <w:sdt>
      <w:sdtPr>
        <w:rPr>
          <w:rFonts w:cs="Times New Roman"/>
          <w:szCs w:val="24"/>
        </w:rPr>
        <w:id w:val="1366645191"/>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C1B9D" w14:textId="4CABEB67" w:rsidR="001453B5" w:rsidRPr="006843E1" w:rsidRDefault="0074547E" w:rsidP="00314C8E">
    <w:pPr>
      <w:pStyle w:val="Header"/>
      <w:jc w:val="right"/>
      <w:rPr>
        <w:rFonts w:cs="Times New Roman"/>
        <w:szCs w:val="24"/>
      </w:rPr>
    </w:pPr>
    <w:r>
      <w:rPr>
        <w:rFonts w:cs="Times New Roman"/>
        <w:szCs w:val="24"/>
      </w:rPr>
      <w:t>Results</w:t>
    </w:r>
    <w:r w:rsidRPr="006843E1">
      <w:rPr>
        <w:rFonts w:cs="Times New Roman"/>
        <w:szCs w:val="24"/>
      </w:rPr>
      <w:t xml:space="preserve"> – Popescu </w:t>
    </w:r>
    <w:sdt>
      <w:sdtPr>
        <w:rPr>
          <w:rFonts w:cs="Times New Roman"/>
          <w:szCs w:val="24"/>
        </w:rPr>
        <w:id w:val="961237405"/>
        <w:docPartObj>
          <w:docPartGallery w:val="Page Numbers (Top of Page)"/>
          <w:docPartUnique/>
        </w:docPartObj>
      </w:sdtPr>
      <w:sdtContent>
        <w:r w:rsidRPr="006843E1">
          <w:rPr>
            <w:rFonts w:cs="Times New Roman"/>
            <w:szCs w:val="24"/>
          </w:rPr>
          <w:fldChar w:fldCharType="begin"/>
        </w:r>
        <w:r w:rsidRPr="006843E1">
          <w:rPr>
            <w:rFonts w:cs="Times New Roman"/>
            <w:szCs w:val="24"/>
          </w:rPr>
          <w:instrText xml:space="preserve"> PAGE   \* MERGEFORMAT </w:instrText>
        </w:r>
        <w:r w:rsidRPr="006843E1">
          <w:rPr>
            <w:rFonts w:cs="Times New Roman"/>
            <w:szCs w:val="24"/>
          </w:rPr>
          <w:fldChar w:fldCharType="separate"/>
        </w:r>
        <w:r w:rsidRPr="006843E1">
          <w:rPr>
            <w:rFonts w:cs="Times New Roman"/>
            <w:szCs w:val="24"/>
          </w:rPr>
          <w:t>2</w:t>
        </w:r>
        <w:r w:rsidRPr="006843E1">
          <w:rPr>
            <w:rFonts w:cs="Times New Roman"/>
            <w:szCs w:val="24"/>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A51F1" w14:textId="1B357024" w:rsidR="0074547E" w:rsidRPr="006843E1" w:rsidRDefault="0074547E" w:rsidP="00314C8E">
    <w:pPr>
      <w:pStyle w:val="Header"/>
      <w:jc w:val="right"/>
      <w:rPr>
        <w:rFonts w:cs="Times New Roman"/>
        <w:szCs w:val="24"/>
      </w:rPr>
    </w:pPr>
    <w:r>
      <w:rPr>
        <w:rFonts w:cs="Times New Roman"/>
        <w:szCs w:val="24"/>
      </w:rPr>
      <w:t>Discussion</w:t>
    </w:r>
    <w:r w:rsidRPr="006843E1">
      <w:rPr>
        <w:rFonts w:cs="Times New Roman"/>
        <w:szCs w:val="24"/>
      </w:rPr>
      <w:t xml:space="preserve"> – Popescu </w:t>
    </w:r>
    <w:sdt>
      <w:sdtPr>
        <w:rPr>
          <w:rFonts w:cs="Times New Roman"/>
          <w:szCs w:val="24"/>
        </w:rPr>
        <w:id w:val="647332153"/>
        <w:docPartObj>
          <w:docPartGallery w:val="Page Numbers (Top of Page)"/>
          <w:docPartUnique/>
        </w:docPartObj>
      </w:sdtPr>
      <w:sdtContent>
        <w:r w:rsidRPr="006843E1">
          <w:rPr>
            <w:rFonts w:cs="Times New Roman"/>
            <w:szCs w:val="24"/>
          </w:rPr>
          <w:fldChar w:fldCharType="begin"/>
        </w:r>
        <w:r w:rsidRPr="006843E1">
          <w:rPr>
            <w:rFonts w:cs="Times New Roman"/>
            <w:szCs w:val="24"/>
          </w:rPr>
          <w:instrText xml:space="preserve"> PAGE   \* MERGEFORMAT </w:instrText>
        </w:r>
        <w:r w:rsidRPr="006843E1">
          <w:rPr>
            <w:rFonts w:cs="Times New Roman"/>
            <w:szCs w:val="24"/>
          </w:rPr>
          <w:fldChar w:fldCharType="separate"/>
        </w:r>
        <w:r w:rsidRPr="006843E1">
          <w:rPr>
            <w:rFonts w:cs="Times New Roman"/>
            <w:szCs w:val="24"/>
          </w:rPr>
          <w:t>2</w:t>
        </w:r>
        <w:r w:rsidRPr="006843E1">
          <w:rPr>
            <w:rFonts w:cs="Times New Roman"/>
            <w:szCs w:val="24"/>
          </w:rPr>
          <w:fldChar w:fldCharType="end"/>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087E4" w14:textId="41A93B83" w:rsidR="0052550C" w:rsidRPr="006843E1" w:rsidRDefault="0052550C" w:rsidP="00314C8E">
    <w:pPr>
      <w:pStyle w:val="Header"/>
      <w:jc w:val="right"/>
      <w:rPr>
        <w:rFonts w:cs="Times New Roman"/>
        <w:szCs w:val="24"/>
      </w:rPr>
    </w:pPr>
    <w:r>
      <w:rPr>
        <w:rFonts w:cs="Times New Roman"/>
        <w:szCs w:val="24"/>
      </w:rPr>
      <w:t>References</w:t>
    </w:r>
    <w:r w:rsidRPr="006843E1">
      <w:rPr>
        <w:rFonts w:cs="Times New Roman"/>
        <w:szCs w:val="24"/>
      </w:rPr>
      <w:t xml:space="preserve"> – Popescu </w:t>
    </w:r>
    <w:sdt>
      <w:sdtPr>
        <w:rPr>
          <w:rFonts w:cs="Times New Roman"/>
          <w:szCs w:val="24"/>
        </w:rPr>
        <w:id w:val="-1841689969"/>
        <w:docPartObj>
          <w:docPartGallery w:val="Page Numbers (Top of Page)"/>
          <w:docPartUnique/>
        </w:docPartObj>
      </w:sdtPr>
      <w:sdtContent>
        <w:r w:rsidRPr="006843E1">
          <w:rPr>
            <w:rFonts w:cs="Times New Roman"/>
            <w:szCs w:val="24"/>
          </w:rPr>
          <w:fldChar w:fldCharType="begin"/>
        </w:r>
        <w:r w:rsidRPr="006843E1">
          <w:rPr>
            <w:rFonts w:cs="Times New Roman"/>
            <w:szCs w:val="24"/>
          </w:rPr>
          <w:instrText xml:space="preserve"> PAGE   \* MERGEFORMAT </w:instrText>
        </w:r>
        <w:r w:rsidRPr="006843E1">
          <w:rPr>
            <w:rFonts w:cs="Times New Roman"/>
            <w:szCs w:val="24"/>
          </w:rPr>
          <w:fldChar w:fldCharType="separate"/>
        </w:r>
        <w:r w:rsidRPr="006843E1">
          <w:rPr>
            <w:rFonts w:cs="Times New Roman"/>
            <w:szCs w:val="24"/>
          </w:rPr>
          <w:t>2</w:t>
        </w:r>
        <w:r w:rsidRPr="006843E1">
          <w:rPr>
            <w:rFonts w:cs="Times New Roman"/>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7ADA"/>
    <w:multiLevelType w:val="hybridMultilevel"/>
    <w:tmpl w:val="7DC0B854"/>
    <w:lvl w:ilvl="0" w:tplc="94B6B5F2">
      <w:numFmt w:val="bullet"/>
      <w:lvlText w:val="-"/>
      <w:lvlJc w:val="left"/>
      <w:pPr>
        <w:ind w:left="2279" w:hanging="360"/>
      </w:pPr>
      <w:rPr>
        <w:rFonts w:ascii="Times New Roman" w:eastAsia="Times New Roman" w:hAnsi="Times New Roman" w:cs="Times New Roman" w:hint="default"/>
      </w:rPr>
    </w:lvl>
    <w:lvl w:ilvl="1" w:tplc="10090003">
      <w:start w:val="1"/>
      <w:numFmt w:val="bullet"/>
      <w:lvlText w:val="o"/>
      <w:lvlJc w:val="left"/>
      <w:pPr>
        <w:ind w:left="2999" w:hanging="360"/>
      </w:pPr>
      <w:rPr>
        <w:rFonts w:ascii="Courier New" w:hAnsi="Courier New" w:cs="Courier New" w:hint="default"/>
      </w:rPr>
    </w:lvl>
    <w:lvl w:ilvl="2" w:tplc="10090005" w:tentative="1">
      <w:start w:val="1"/>
      <w:numFmt w:val="bullet"/>
      <w:lvlText w:val=""/>
      <w:lvlJc w:val="left"/>
      <w:pPr>
        <w:ind w:left="3719" w:hanging="360"/>
      </w:pPr>
      <w:rPr>
        <w:rFonts w:ascii="Wingdings" w:hAnsi="Wingdings" w:hint="default"/>
      </w:rPr>
    </w:lvl>
    <w:lvl w:ilvl="3" w:tplc="10090001" w:tentative="1">
      <w:start w:val="1"/>
      <w:numFmt w:val="bullet"/>
      <w:lvlText w:val=""/>
      <w:lvlJc w:val="left"/>
      <w:pPr>
        <w:ind w:left="4439" w:hanging="360"/>
      </w:pPr>
      <w:rPr>
        <w:rFonts w:ascii="Symbol" w:hAnsi="Symbol" w:hint="default"/>
      </w:rPr>
    </w:lvl>
    <w:lvl w:ilvl="4" w:tplc="10090003" w:tentative="1">
      <w:start w:val="1"/>
      <w:numFmt w:val="bullet"/>
      <w:lvlText w:val="o"/>
      <w:lvlJc w:val="left"/>
      <w:pPr>
        <w:ind w:left="5159" w:hanging="360"/>
      </w:pPr>
      <w:rPr>
        <w:rFonts w:ascii="Courier New" w:hAnsi="Courier New" w:cs="Courier New" w:hint="default"/>
      </w:rPr>
    </w:lvl>
    <w:lvl w:ilvl="5" w:tplc="10090005" w:tentative="1">
      <w:start w:val="1"/>
      <w:numFmt w:val="bullet"/>
      <w:lvlText w:val=""/>
      <w:lvlJc w:val="left"/>
      <w:pPr>
        <w:ind w:left="5879" w:hanging="360"/>
      </w:pPr>
      <w:rPr>
        <w:rFonts w:ascii="Wingdings" w:hAnsi="Wingdings" w:hint="default"/>
      </w:rPr>
    </w:lvl>
    <w:lvl w:ilvl="6" w:tplc="10090001" w:tentative="1">
      <w:start w:val="1"/>
      <w:numFmt w:val="bullet"/>
      <w:lvlText w:val=""/>
      <w:lvlJc w:val="left"/>
      <w:pPr>
        <w:ind w:left="6599" w:hanging="360"/>
      </w:pPr>
      <w:rPr>
        <w:rFonts w:ascii="Symbol" w:hAnsi="Symbol" w:hint="default"/>
      </w:rPr>
    </w:lvl>
    <w:lvl w:ilvl="7" w:tplc="10090003" w:tentative="1">
      <w:start w:val="1"/>
      <w:numFmt w:val="bullet"/>
      <w:lvlText w:val="o"/>
      <w:lvlJc w:val="left"/>
      <w:pPr>
        <w:ind w:left="7319" w:hanging="360"/>
      </w:pPr>
      <w:rPr>
        <w:rFonts w:ascii="Courier New" w:hAnsi="Courier New" w:cs="Courier New" w:hint="default"/>
      </w:rPr>
    </w:lvl>
    <w:lvl w:ilvl="8" w:tplc="10090005" w:tentative="1">
      <w:start w:val="1"/>
      <w:numFmt w:val="bullet"/>
      <w:lvlText w:val=""/>
      <w:lvlJc w:val="left"/>
      <w:pPr>
        <w:ind w:left="8039" w:hanging="360"/>
      </w:pPr>
      <w:rPr>
        <w:rFonts w:ascii="Wingdings" w:hAnsi="Wingdings" w:hint="default"/>
      </w:rPr>
    </w:lvl>
  </w:abstractNum>
  <w:abstractNum w:abstractNumId="1" w15:restartNumberingAfterBreak="0">
    <w:nsid w:val="178917CC"/>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10B4141"/>
    <w:multiLevelType w:val="multilevel"/>
    <w:tmpl w:val="42DA1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C5B3363"/>
    <w:multiLevelType w:val="multilevel"/>
    <w:tmpl w:val="1C94AA1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12357222">
    <w:abstractNumId w:val="0"/>
  </w:num>
  <w:num w:numId="2" w16cid:durableId="505437915">
    <w:abstractNumId w:val="3"/>
  </w:num>
  <w:num w:numId="3" w16cid:durableId="2039311880">
    <w:abstractNumId w:val="2"/>
  </w:num>
  <w:num w:numId="4" w16cid:durableId="11900261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ex Popescu">
    <w15:presenceInfo w15:providerId="AD" w15:userId="S::ap21pb@brocku.ca::7a9adc01-f2f7-47f7-a62f-43e96080b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5B"/>
    <w:rsid w:val="00084C44"/>
    <w:rsid w:val="000F1DB6"/>
    <w:rsid w:val="001453B5"/>
    <w:rsid w:val="00200680"/>
    <w:rsid w:val="00280B56"/>
    <w:rsid w:val="002836B8"/>
    <w:rsid w:val="00300738"/>
    <w:rsid w:val="003E48DE"/>
    <w:rsid w:val="00465C42"/>
    <w:rsid w:val="0049789F"/>
    <w:rsid w:val="0052550C"/>
    <w:rsid w:val="00547E9D"/>
    <w:rsid w:val="00556435"/>
    <w:rsid w:val="005C1D7D"/>
    <w:rsid w:val="00646B0B"/>
    <w:rsid w:val="0068144A"/>
    <w:rsid w:val="00682DBD"/>
    <w:rsid w:val="006C5B1E"/>
    <w:rsid w:val="00712D7C"/>
    <w:rsid w:val="0074547E"/>
    <w:rsid w:val="00807FEE"/>
    <w:rsid w:val="00822CF1"/>
    <w:rsid w:val="00912631"/>
    <w:rsid w:val="00946E31"/>
    <w:rsid w:val="009F2347"/>
    <w:rsid w:val="00A5675B"/>
    <w:rsid w:val="00C33058"/>
    <w:rsid w:val="00D67361"/>
    <w:rsid w:val="00E72071"/>
    <w:rsid w:val="00ED1898"/>
    <w:rsid w:val="00F0528E"/>
    <w:rsid w:val="00FE77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59FB"/>
  <w15:chartTrackingRefBased/>
  <w15:docId w15:val="{6AEC9492-BD98-4235-B835-C3DB929C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rsid w:val="00A5675B"/>
    <w:pPr>
      <w:spacing w:after="0" w:line="276" w:lineRule="auto"/>
    </w:pPr>
    <w:rPr>
      <w:rFonts w:ascii="Times New Roman" w:eastAsia="Arial" w:hAnsi="Times New Roman" w:cs="Arial"/>
      <w:kern w:val="0"/>
      <w:sz w:val="24"/>
      <w:lang w:eastAsia="ja-JP"/>
      <w14:ligatures w14:val="none"/>
    </w:rPr>
  </w:style>
  <w:style w:type="paragraph" w:styleId="Heading1">
    <w:name w:val="heading 1"/>
    <w:basedOn w:val="Normal"/>
    <w:next w:val="Normal"/>
    <w:link w:val="Heading1Char"/>
    <w:uiPriority w:val="9"/>
    <w:rsid w:val="00A56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A56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rsid w:val="00A56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rsid w:val="00A56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7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7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7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7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6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75B"/>
    <w:rPr>
      <w:rFonts w:eastAsiaTheme="majorEastAsia" w:cstheme="majorBidi"/>
      <w:color w:val="272727" w:themeColor="text1" w:themeTint="D8"/>
    </w:rPr>
  </w:style>
  <w:style w:type="paragraph" w:styleId="Title">
    <w:name w:val="Title"/>
    <w:basedOn w:val="Normal"/>
    <w:next w:val="Normal"/>
    <w:link w:val="TitleChar"/>
    <w:uiPriority w:val="10"/>
    <w:rsid w:val="00A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A56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A5675B"/>
    <w:pPr>
      <w:spacing w:before="160"/>
      <w:jc w:val="center"/>
    </w:pPr>
    <w:rPr>
      <w:i/>
      <w:iCs/>
      <w:color w:val="404040" w:themeColor="text1" w:themeTint="BF"/>
    </w:rPr>
  </w:style>
  <w:style w:type="character" w:customStyle="1" w:styleId="QuoteChar">
    <w:name w:val="Quote Char"/>
    <w:basedOn w:val="DefaultParagraphFont"/>
    <w:link w:val="Quote"/>
    <w:uiPriority w:val="29"/>
    <w:rsid w:val="00A5675B"/>
    <w:rPr>
      <w:i/>
      <w:iCs/>
      <w:color w:val="404040" w:themeColor="text1" w:themeTint="BF"/>
    </w:rPr>
  </w:style>
  <w:style w:type="paragraph" w:styleId="ListParagraph">
    <w:name w:val="List Paragraph"/>
    <w:basedOn w:val="Normal"/>
    <w:uiPriority w:val="34"/>
    <w:rsid w:val="00A5675B"/>
    <w:pPr>
      <w:ind w:left="720"/>
      <w:contextualSpacing/>
    </w:pPr>
  </w:style>
  <w:style w:type="character" w:styleId="IntenseEmphasis">
    <w:name w:val="Intense Emphasis"/>
    <w:basedOn w:val="DefaultParagraphFont"/>
    <w:uiPriority w:val="21"/>
    <w:rsid w:val="00A5675B"/>
    <w:rPr>
      <w:i/>
      <w:iCs/>
      <w:color w:val="0F4761" w:themeColor="accent1" w:themeShade="BF"/>
    </w:rPr>
  </w:style>
  <w:style w:type="paragraph" w:styleId="IntenseQuote">
    <w:name w:val="Intense Quote"/>
    <w:basedOn w:val="Normal"/>
    <w:next w:val="Normal"/>
    <w:link w:val="IntenseQuoteChar"/>
    <w:uiPriority w:val="30"/>
    <w:rsid w:val="00A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75B"/>
    <w:rPr>
      <w:i/>
      <w:iCs/>
      <w:color w:val="0F4761" w:themeColor="accent1" w:themeShade="BF"/>
    </w:rPr>
  </w:style>
  <w:style w:type="character" w:styleId="IntenseReference">
    <w:name w:val="Intense Reference"/>
    <w:basedOn w:val="DefaultParagraphFont"/>
    <w:uiPriority w:val="32"/>
    <w:rsid w:val="00A5675B"/>
    <w:rPr>
      <w:b/>
      <w:bCs/>
      <w:smallCaps/>
      <w:color w:val="0F4761" w:themeColor="accent1" w:themeShade="BF"/>
      <w:spacing w:val="5"/>
    </w:rPr>
  </w:style>
  <w:style w:type="table" w:customStyle="1" w:styleId="1">
    <w:name w:val="1"/>
    <w:basedOn w:val="TableNormal"/>
    <w:rsid w:val="00A5675B"/>
    <w:pPr>
      <w:spacing w:after="0" w:line="276" w:lineRule="auto"/>
    </w:pPr>
    <w:rPr>
      <w:rFonts w:ascii="Arial" w:eastAsia="Arial" w:hAnsi="Arial" w:cs="Arial"/>
      <w:kern w:val="0"/>
      <w:lang w:val="en" w:eastAsia="ja-JP"/>
      <w14:ligatures w14:val="none"/>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5675B"/>
    <w:rPr>
      <w:color w:val="467886" w:themeColor="hyperlink"/>
      <w:u w:val="single"/>
    </w:rPr>
  </w:style>
  <w:style w:type="paragraph" w:styleId="CommentText">
    <w:name w:val="annotation text"/>
    <w:basedOn w:val="Normal"/>
    <w:link w:val="CommentTextChar"/>
    <w:uiPriority w:val="99"/>
    <w:unhideWhenUsed/>
    <w:rsid w:val="00A5675B"/>
    <w:pPr>
      <w:spacing w:line="240" w:lineRule="auto"/>
    </w:pPr>
    <w:rPr>
      <w:sz w:val="20"/>
      <w:szCs w:val="20"/>
    </w:rPr>
  </w:style>
  <w:style w:type="character" w:customStyle="1" w:styleId="CommentTextChar">
    <w:name w:val="Comment Text Char"/>
    <w:basedOn w:val="DefaultParagraphFont"/>
    <w:link w:val="CommentText"/>
    <w:uiPriority w:val="99"/>
    <w:rsid w:val="00A5675B"/>
    <w:rPr>
      <w:rFonts w:ascii="Times New Roman" w:eastAsia="Arial" w:hAnsi="Times New Roman" w:cs="Arial"/>
      <w:kern w:val="0"/>
      <w:sz w:val="20"/>
      <w:szCs w:val="20"/>
      <w:lang w:eastAsia="ja-JP"/>
      <w14:ligatures w14:val="none"/>
    </w:rPr>
  </w:style>
  <w:style w:type="character" w:styleId="CommentReference">
    <w:name w:val="annotation reference"/>
    <w:basedOn w:val="DefaultParagraphFont"/>
    <w:uiPriority w:val="99"/>
    <w:semiHidden/>
    <w:unhideWhenUsed/>
    <w:rsid w:val="00A5675B"/>
    <w:rPr>
      <w:sz w:val="16"/>
      <w:szCs w:val="16"/>
    </w:rPr>
  </w:style>
  <w:style w:type="paragraph" w:styleId="Revision">
    <w:name w:val="Revision"/>
    <w:hidden/>
    <w:uiPriority w:val="99"/>
    <w:semiHidden/>
    <w:rsid w:val="00A5675B"/>
    <w:pPr>
      <w:spacing w:after="0" w:line="240" w:lineRule="auto"/>
    </w:pPr>
    <w:rPr>
      <w:rFonts w:ascii="Arial" w:eastAsia="Arial" w:hAnsi="Arial" w:cs="Arial"/>
      <w:kern w:val="0"/>
      <w:lang w:val="en" w:eastAsia="ja-JP"/>
      <w14:ligatures w14:val="none"/>
    </w:rPr>
  </w:style>
  <w:style w:type="paragraph" w:styleId="Bibliography">
    <w:name w:val="Bibliography"/>
    <w:basedOn w:val="Normal"/>
    <w:next w:val="Normal"/>
    <w:uiPriority w:val="37"/>
    <w:unhideWhenUsed/>
    <w:rsid w:val="00A5675B"/>
    <w:pPr>
      <w:spacing w:after="240" w:line="240" w:lineRule="auto"/>
      <w:ind w:left="720" w:hanging="720"/>
    </w:pPr>
  </w:style>
  <w:style w:type="character" w:styleId="PlaceholderText">
    <w:name w:val="Placeholder Text"/>
    <w:basedOn w:val="DefaultParagraphFont"/>
    <w:uiPriority w:val="99"/>
    <w:semiHidden/>
    <w:rsid w:val="00A5675B"/>
    <w:rPr>
      <w:color w:val="808080"/>
    </w:rPr>
  </w:style>
  <w:style w:type="paragraph" w:styleId="NormalWeb">
    <w:name w:val="Normal (Web)"/>
    <w:basedOn w:val="Normal"/>
    <w:uiPriority w:val="99"/>
    <w:unhideWhenUsed/>
    <w:rsid w:val="00A5675B"/>
    <w:pPr>
      <w:spacing w:before="100" w:beforeAutospacing="1" w:after="100" w:afterAutospacing="1" w:line="240" w:lineRule="auto"/>
    </w:pPr>
    <w:rPr>
      <w:rFonts w:eastAsia="Times New Roman" w:cs="Times New Roman"/>
      <w:szCs w:val="24"/>
      <w:lang w:eastAsia="en-CA"/>
    </w:rPr>
  </w:style>
  <w:style w:type="paragraph" w:styleId="CommentSubject">
    <w:name w:val="annotation subject"/>
    <w:basedOn w:val="CommentText"/>
    <w:next w:val="CommentText"/>
    <w:link w:val="CommentSubjectChar"/>
    <w:uiPriority w:val="99"/>
    <w:semiHidden/>
    <w:unhideWhenUsed/>
    <w:rsid w:val="00A5675B"/>
    <w:rPr>
      <w:b/>
      <w:bCs/>
    </w:rPr>
  </w:style>
  <w:style w:type="character" w:customStyle="1" w:styleId="CommentSubjectChar">
    <w:name w:val="Comment Subject Char"/>
    <w:basedOn w:val="CommentTextChar"/>
    <w:link w:val="CommentSubject"/>
    <w:uiPriority w:val="99"/>
    <w:semiHidden/>
    <w:rsid w:val="00A5675B"/>
    <w:rPr>
      <w:rFonts w:ascii="Times New Roman" w:eastAsia="Arial" w:hAnsi="Times New Roman" w:cs="Arial"/>
      <w:b/>
      <w:bCs/>
      <w:kern w:val="0"/>
      <w:sz w:val="20"/>
      <w:szCs w:val="20"/>
      <w:lang w:eastAsia="ja-JP"/>
      <w14:ligatures w14:val="none"/>
    </w:rPr>
  </w:style>
  <w:style w:type="paragraph" w:styleId="Header">
    <w:name w:val="header"/>
    <w:basedOn w:val="Normal"/>
    <w:link w:val="HeaderChar"/>
    <w:uiPriority w:val="99"/>
    <w:unhideWhenUsed/>
    <w:rsid w:val="00A5675B"/>
    <w:pPr>
      <w:tabs>
        <w:tab w:val="center" w:pos="4680"/>
        <w:tab w:val="right" w:pos="9360"/>
      </w:tabs>
      <w:spacing w:line="240" w:lineRule="auto"/>
    </w:pPr>
  </w:style>
  <w:style w:type="character" w:customStyle="1" w:styleId="HeaderChar">
    <w:name w:val="Header Char"/>
    <w:basedOn w:val="DefaultParagraphFont"/>
    <w:link w:val="Header"/>
    <w:uiPriority w:val="99"/>
    <w:rsid w:val="00A5675B"/>
    <w:rPr>
      <w:rFonts w:ascii="Times New Roman" w:eastAsia="Arial" w:hAnsi="Times New Roman" w:cs="Arial"/>
      <w:kern w:val="0"/>
      <w:sz w:val="24"/>
      <w:lang w:eastAsia="ja-JP"/>
      <w14:ligatures w14:val="none"/>
    </w:rPr>
  </w:style>
  <w:style w:type="paragraph" w:styleId="Footer">
    <w:name w:val="footer"/>
    <w:basedOn w:val="Normal"/>
    <w:link w:val="FooterChar"/>
    <w:uiPriority w:val="99"/>
    <w:unhideWhenUsed/>
    <w:rsid w:val="00A5675B"/>
    <w:pPr>
      <w:tabs>
        <w:tab w:val="center" w:pos="4680"/>
        <w:tab w:val="right" w:pos="9360"/>
      </w:tabs>
      <w:spacing w:line="240" w:lineRule="auto"/>
    </w:pPr>
  </w:style>
  <w:style w:type="character" w:customStyle="1" w:styleId="FooterChar">
    <w:name w:val="Footer Char"/>
    <w:basedOn w:val="DefaultParagraphFont"/>
    <w:link w:val="Footer"/>
    <w:uiPriority w:val="99"/>
    <w:rsid w:val="00A5675B"/>
    <w:rPr>
      <w:rFonts w:ascii="Times New Roman" w:eastAsia="Arial" w:hAnsi="Times New Roman" w:cs="Arial"/>
      <w:kern w:val="0"/>
      <w:sz w:val="24"/>
      <w:lang w:eastAsia="ja-JP"/>
      <w14:ligatures w14:val="none"/>
    </w:rPr>
  </w:style>
  <w:style w:type="paragraph" w:styleId="Caption">
    <w:name w:val="caption"/>
    <w:basedOn w:val="Normal"/>
    <w:next w:val="Normal"/>
    <w:uiPriority w:val="35"/>
    <w:unhideWhenUsed/>
    <w:rsid w:val="00A5675B"/>
    <w:pPr>
      <w:spacing w:after="200" w:line="240" w:lineRule="auto"/>
    </w:pPr>
    <w:rPr>
      <w:i/>
      <w:iCs/>
      <w:color w:val="0E2841" w:themeColor="text2"/>
      <w:sz w:val="18"/>
      <w:szCs w:val="18"/>
    </w:rPr>
  </w:style>
  <w:style w:type="paragraph" w:customStyle="1" w:styleId="SectionTitle">
    <w:name w:val="Section Title"/>
    <w:basedOn w:val="Heading2"/>
    <w:link w:val="SectionTitleChar"/>
    <w:rsid w:val="00A5675B"/>
    <w:pPr>
      <w:spacing w:before="360" w:after="120"/>
    </w:pPr>
    <w:rPr>
      <w:rFonts w:ascii="Times New Roman" w:eastAsia="Arial" w:hAnsi="Times New Roman" w:cs="Times New Roman"/>
      <w:b/>
      <w:noProof/>
    </w:rPr>
  </w:style>
  <w:style w:type="paragraph" w:customStyle="1" w:styleId="SectionSubtitle">
    <w:name w:val="Section Subtitle"/>
    <w:basedOn w:val="Heading3"/>
    <w:rsid w:val="00A5675B"/>
    <w:pPr>
      <w:spacing w:before="120" w:after="120"/>
    </w:pPr>
    <w:rPr>
      <w:rFonts w:eastAsia="Arial" w:cs="Arial"/>
      <w:b/>
      <w:color w:val="000000" w:themeColor="text1"/>
    </w:rPr>
  </w:style>
  <w:style w:type="paragraph" w:customStyle="1" w:styleId="SectionText">
    <w:name w:val="Section Text"/>
    <w:basedOn w:val="Normal"/>
    <w:link w:val="SectionTextChar"/>
    <w:rsid w:val="00A5675B"/>
    <w:pPr>
      <w:spacing w:after="240"/>
    </w:pPr>
    <w:rPr>
      <w:rFonts w:cs="Times New Roman"/>
      <w:iCs/>
      <w:szCs w:val="24"/>
    </w:rPr>
  </w:style>
  <w:style w:type="paragraph" w:customStyle="1" w:styleId="CaptionB">
    <w:name w:val="Caption B"/>
    <w:basedOn w:val="SectionText"/>
    <w:link w:val="CaptionBChar"/>
    <w:rsid w:val="00A5675B"/>
    <w:pPr>
      <w:spacing w:before="120" w:after="120"/>
    </w:pPr>
    <w:rPr>
      <w:b/>
      <w:bCs/>
    </w:rPr>
  </w:style>
  <w:style w:type="character" w:customStyle="1" w:styleId="SectionTextChar">
    <w:name w:val="Section Text Char"/>
    <w:basedOn w:val="DefaultParagraphFont"/>
    <w:link w:val="SectionText"/>
    <w:rsid w:val="00A5675B"/>
    <w:rPr>
      <w:rFonts w:ascii="Times New Roman" w:eastAsia="Arial" w:hAnsi="Times New Roman" w:cs="Times New Roman"/>
      <w:iCs/>
      <w:kern w:val="0"/>
      <w:sz w:val="24"/>
      <w:szCs w:val="24"/>
      <w:lang w:eastAsia="ja-JP"/>
      <w14:ligatures w14:val="none"/>
    </w:rPr>
  </w:style>
  <w:style w:type="character" w:customStyle="1" w:styleId="CaptionBChar">
    <w:name w:val="Caption B Char"/>
    <w:basedOn w:val="SectionTextChar"/>
    <w:link w:val="CaptionB"/>
    <w:rsid w:val="00A5675B"/>
    <w:rPr>
      <w:rFonts w:ascii="Times New Roman" w:eastAsia="Arial" w:hAnsi="Times New Roman" w:cs="Times New Roman"/>
      <w:b/>
      <w:bCs/>
      <w:iCs/>
      <w:kern w:val="0"/>
      <w:sz w:val="24"/>
      <w:szCs w:val="24"/>
      <w:lang w:eastAsia="ja-JP"/>
      <w14:ligatures w14:val="none"/>
    </w:rPr>
  </w:style>
  <w:style w:type="paragraph" w:styleId="TableofFigures">
    <w:name w:val="table of figures"/>
    <w:basedOn w:val="Normal"/>
    <w:next w:val="Normal"/>
    <w:uiPriority w:val="99"/>
    <w:unhideWhenUsed/>
    <w:rsid w:val="00A5675B"/>
    <w:pPr>
      <w:spacing w:before="120" w:after="120"/>
    </w:pPr>
  </w:style>
  <w:style w:type="paragraph" w:styleId="TOCHeading">
    <w:name w:val="TOC Heading"/>
    <w:basedOn w:val="Heading1"/>
    <w:next w:val="Normal"/>
    <w:uiPriority w:val="39"/>
    <w:unhideWhenUsed/>
    <w:rsid w:val="00A5675B"/>
    <w:pPr>
      <w:spacing w:before="240" w:after="0"/>
      <w:outlineLvl w:val="9"/>
    </w:pPr>
    <w:rPr>
      <w:b/>
      <w:sz w:val="32"/>
      <w:szCs w:val="32"/>
      <w:lang w:val="en-US"/>
    </w:rPr>
  </w:style>
  <w:style w:type="paragraph" w:styleId="TOC1">
    <w:name w:val="toc 1"/>
    <w:basedOn w:val="Normal"/>
    <w:next w:val="Normal"/>
    <w:autoRedefine/>
    <w:uiPriority w:val="39"/>
    <w:unhideWhenUsed/>
    <w:rsid w:val="00A5675B"/>
    <w:pPr>
      <w:spacing w:after="100"/>
    </w:pPr>
    <w:rPr>
      <w:b/>
    </w:rPr>
  </w:style>
  <w:style w:type="paragraph" w:styleId="TOC2">
    <w:name w:val="toc 2"/>
    <w:basedOn w:val="Normal"/>
    <w:next w:val="Normal"/>
    <w:autoRedefine/>
    <w:uiPriority w:val="39"/>
    <w:unhideWhenUsed/>
    <w:rsid w:val="00A5675B"/>
    <w:pPr>
      <w:spacing w:after="100"/>
      <w:ind w:left="220"/>
    </w:pPr>
  </w:style>
  <w:style w:type="character" w:customStyle="1" w:styleId="SectionTitleChar">
    <w:name w:val="Section Title Char"/>
    <w:basedOn w:val="Heading1Char"/>
    <w:link w:val="SectionTitle"/>
    <w:rsid w:val="00A5675B"/>
    <w:rPr>
      <w:rFonts w:ascii="Times New Roman" w:eastAsia="Arial" w:hAnsi="Times New Roman" w:cs="Times New Roman"/>
      <w:b/>
      <w:noProof/>
      <w:color w:val="0F4761" w:themeColor="accent1" w:themeShade="BF"/>
      <w:kern w:val="0"/>
      <w:sz w:val="32"/>
      <w:szCs w:val="32"/>
      <w:lang w:eastAsia="ja-JP"/>
      <w14:ligatures w14:val="none"/>
    </w:rPr>
  </w:style>
  <w:style w:type="character" w:customStyle="1" w:styleId="ChapterTitleChar">
    <w:name w:val="Chapter Title Char"/>
    <w:basedOn w:val="SectionTitleChar"/>
    <w:rsid w:val="00A5675B"/>
    <w:rPr>
      <w:rFonts w:ascii="Times New Roman" w:eastAsia="Arial" w:hAnsi="Times New Roman" w:cs="Times New Roman"/>
      <w:b/>
      <w:iCs/>
      <w:noProof/>
      <w:color w:val="0F4761" w:themeColor="accent1" w:themeShade="BF"/>
      <w:kern w:val="0"/>
      <w:sz w:val="24"/>
      <w:szCs w:val="24"/>
      <w:lang w:eastAsia="ja-JP"/>
      <w14:ligatures w14:val="none"/>
    </w:rPr>
  </w:style>
  <w:style w:type="paragraph" w:customStyle="1" w:styleId="ChapterTitle">
    <w:name w:val="Chapter Title"/>
    <w:basedOn w:val="SectionText"/>
    <w:uiPriority w:val="4"/>
    <w:locked/>
    <w:rsid w:val="00A5675B"/>
  </w:style>
  <w:style w:type="paragraph" w:customStyle="1" w:styleId="ChapterTitleB">
    <w:name w:val="Chapter Title B"/>
    <w:basedOn w:val="Heading1"/>
    <w:next w:val="SectionText"/>
    <w:uiPriority w:val="3"/>
    <w:rsid w:val="00A5675B"/>
    <w:pPr>
      <w:spacing w:before="0" w:after="0" w:line="240" w:lineRule="auto"/>
    </w:pPr>
    <w:rPr>
      <w:rFonts w:ascii="Times New Roman" w:eastAsia="Arial" w:hAnsi="Times New Roman" w:cs="Arial"/>
      <w:color w:val="auto"/>
      <w:sz w:val="36"/>
    </w:rPr>
  </w:style>
  <w:style w:type="paragraph" w:styleId="TOC3">
    <w:name w:val="toc 3"/>
    <w:basedOn w:val="Normal"/>
    <w:next w:val="Normal"/>
    <w:autoRedefine/>
    <w:uiPriority w:val="39"/>
    <w:unhideWhenUsed/>
    <w:rsid w:val="00A5675B"/>
    <w:pPr>
      <w:spacing w:after="100"/>
      <w:ind w:left="440"/>
    </w:pPr>
  </w:style>
  <w:style w:type="paragraph" w:customStyle="1" w:styleId="BetterCaption">
    <w:name w:val="Better Caption"/>
    <w:basedOn w:val="Normal"/>
    <w:link w:val="BetterCaptionChar"/>
    <w:rsid w:val="00A5675B"/>
    <w:pPr>
      <w:spacing w:before="120" w:after="120"/>
    </w:pPr>
    <w:rPr>
      <w:rFonts w:eastAsia="Times New Roman" w:cs="Times New Roman"/>
      <w:b/>
      <w:bCs/>
      <w:szCs w:val="24"/>
      <w:lang w:val="en"/>
    </w:rPr>
  </w:style>
  <w:style w:type="character" w:customStyle="1" w:styleId="BetterCaptionChar">
    <w:name w:val="Better Caption Char"/>
    <w:basedOn w:val="DefaultParagraphFont"/>
    <w:link w:val="BetterCaption"/>
    <w:rsid w:val="00A5675B"/>
    <w:rPr>
      <w:rFonts w:ascii="Times New Roman" w:eastAsia="Times New Roman" w:hAnsi="Times New Roman" w:cs="Times New Roman"/>
      <w:b/>
      <w:bCs/>
      <w:kern w:val="0"/>
      <w:sz w:val="24"/>
      <w:szCs w:val="24"/>
      <w:lang w:val="en" w:eastAsia="ja-JP"/>
      <w14:ligatures w14:val="none"/>
    </w:rPr>
  </w:style>
  <w:style w:type="table" w:styleId="TableGrid">
    <w:name w:val="Table Grid"/>
    <w:basedOn w:val="TableNormal"/>
    <w:uiPriority w:val="39"/>
    <w:rsid w:val="00A56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5675B"/>
    <w:rPr>
      <w:color w:val="96607D" w:themeColor="followedHyperlink"/>
      <w:u w:val="single"/>
    </w:rPr>
  </w:style>
  <w:style w:type="paragraph" w:customStyle="1" w:styleId="PrefaceTitle">
    <w:name w:val="Preface Title"/>
    <w:uiPriority w:val="4"/>
    <w:rsid w:val="00A5675B"/>
    <w:pPr>
      <w:spacing w:before="120" w:after="0" w:line="480" w:lineRule="auto"/>
    </w:pPr>
    <w:rPr>
      <w:rFonts w:ascii="Times New Roman" w:eastAsia="Arial" w:hAnsi="Times New Roman" w:cs="Times New Roman"/>
      <w:b/>
      <w:noProof/>
      <w:kern w:val="0"/>
      <w:sz w:val="32"/>
      <w:szCs w:val="32"/>
      <w:lang w:eastAsia="ja-JP"/>
      <w14:ligatures w14:val="none"/>
    </w:rPr>
  </w:style>
  <w:style w:type="paragraph" w:customStyle="1" w:styleId="SectionText1">
    <w:name w:val="Section Text1"/>
    <w:basedOn w:val="Normal"/>
    <w:rsid w:val="00A5675B"/>
    <w:pPr>
      <w:spacing w:after="240"/>
    </w:pPr>
    <w:rPr>
      <w:rFonts w:cs="Times New Roman"/>
      <w:iCs/>
      <w:noProof/>
      <w:szCs w:val="24"/>
    </w:rPr>
  </w:style>
  <w:style w:type="character" w:styleId="UnresolvedMention">
    <w:name w:val="Unresolved Mention"/>
    <w:basedOn w:val="DefaultParagraphFont"/>
    <w:uiPriority w:val="99"/>
    <w:semiHidden/>
    <w:unhideWhenUsed/>
    <w:rsid w:val="00A5675B"/>
    <w:rPr>
      <w:color w:val="605E5C"/>
      <w:shd w:val="clear" w:color="auto" w:fill="E1DFDD"/>
    </w:rPr>
  </w:style>
  <w:style w:type="numbering" w:customStyle="1" w:styleId="NoList1">
    <w:name w:val="No List1"/>
    <w:next w:val="NoList"/>
    <w:uiPriority w:val="99"/>
    <w:semiHidden/>
    <w:unhideWhenUsed/>
    <w:rsid w:val="00A5675B"/>
  </w:style>
  <w:style w:type="character" w:customStyle="1" w:styleId="Hyperlink1">
    <w:name w:val="Hyperlink1"/>
    <w:basedOn w:val="DefaultParagraphFont"/>
    <w:uiPriority w:val="99"/>
    <w:unhideWhenUsed/>
    <w:rsid w:val="00A5675B"/>
    <w:rPr>
      <w:color w:val="0000FF"/>
      <w:u w:val="single"/>
    </w:rPr>
  </w:style>
  <w:style w:type="paragraph" w:customStyle="1" w:styleId="Caption1">
    <w:name w:val="Caption1"/>
    <w:basedOn w:val="Normal"/>
    <w:next w:val="Normal"/>
    <w:uiPriority w:val="35"/>
    <w:unhideWhenUsed/>
    <w:rsid w:val="00A5675B"/>
    <w:pPr>
      <w:spacing w:after="200" w:line="240" w:lineRule="auto"/>
    </w:pPr>
    <w:rPr>
      <w:i/>
      <w:iCs/>
      <w:color w:val="1F497D"/>
      <w:sz w:val="18"/>
      <w:szCs w:val="18"/>
    </w:rPr>
  </w:style>
  <w:style w:type="paragraph" w:customStyle="1" w:styleId="TOCHeading1">
    <w:name w:val="TOC Heading1"/>
    <w:basedOn w:val="Heading1"/>
    <w:next w:val="Normal"/>
    <w:uiPriority w:val="39"/>
    <w:unhideWhenUsed/>
    <w:rsid w:val="00A5675B"/>
    <w:pPr>
      <w:spacing w:before="240" w:after="0"/>
      <w:outlineLvl w:val="9"/>
    </w:pPr>
    <w:rPr>
      <w:b/>
      <w:sz w:val="32"/>
      <w:szCs w:val="32"/>
      <w:lang w:val="en-US"/>
    </w:rPr>
  </w:style>
  <w:style w:type="table" w:customStyle="1" w:styleId="TableGrid1">
    <w:name w:val="Table Grid1"/>
    <w:basedOn w:val="TableNormal"/>
    <w:next w:val="TableGrid"/>
    <w:uiPriority w:val="39"/>
    <w:rsid w:val="00A56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A5675B"/>
    <w:rPr>
      <w:color w:val="800080"/>
      <w:u w:val="single"/>
    </w:rPr>
  </w:style>
  <w:style w:type="numbering" w:customStyle="1" w:styleId="NoList11">
    <w:name w:val="No List11"/>
    <w:next w:val="NoList"/>
    <w:uiPriority w:val="99"/>
    <w:semiHidden/>
    <w:unhideWhenUsed/>
    <w:rsid w:val="00A5675B"/>
  </w:style>
  <w:style w:type="character" w:styleId="LineNumber">
    <w:name w:val="line number"/>
    <w:basedOn w:val="DefaultParagraphFont"/>
    <w:uiPriority w:val="99"/>
    <w:semiHidden/>
    <w:unhideWhenUsed/>
    <w:rsid w:val="00A5675B"/>
  </w:style>
  <w:style w:type="paragraph" w:customStyle="1" w:styleId="MainText">
    <w:name w:val="Main Text"/>
    <w:basedOn w:val="Normal"/>
    <w:uiPriority w:val="4"/>
    <w:qFormat/>
    <w:rsid w:val="0074547E"/>
    <w:pPr>
      <w:spacing w:before="120" w:after="120" w:line="480" w:lineRule="auto"/>
    </w:pPr>
    <w:rPr>
      <w:rFonts w:cs="Times New Roman"/>
      <w:iCs/>
      <w:szCs w:val="24"/>
    </w:rPr>
  </w:style>
  <w:style w:type="paragraph" w:customStyle="1" w:styleId="ManuTitle">
    <w:name w:val="Manu Title"/>
    <w:basedOn w:val="Heading1"/>
    <w:uiPriority w:val="4"/>
    <w:qFormat/>
    <w:rsid w:val="00D67361"/>
    <w:pPr>
      <w:spacing w:line="480" w:lineRule="auto"/>
    </w:pPr>
    <w:rPr>
      <w:rFonts w:ascii="Times New Roman" w:hAnsi="Times New Roman" w:cs="Times New Roman"/>
      <w:b/>
      <w:color w:val="000000" w:themeColor="text1"/>
    </w:rPr>
  </w:style>
  <w:style w:type="paragraph" w:customStyle="1" w:styleId="ManuSectionTitle">
    <w:name w:val="Manu Section Title"/>
    <w:basedOn w:val="Heading2"/>
    <w:uiPriority w:val="4"/>
    <w:qFormat/>
    <w:rsid w:val="0074547E"/>
    <w:pPr>
      <w:spacing w:before="120" w:after="120"/>
    </w:pPr>
    <w:rPr>
      <w:rFonts w:ascii="Times New Roman" w:hAnsi="Times New Roman"/>
      <w:b/>
      <w:color w:val="000000" w:themeColor="text1"/>
    </w:rPr>
  </w:style>
  <w:style w:type="paragraph" w:customStyle="1" w:styleId="ManuSectionSubtitle">
    <w:name w:val="Manu Section Subtitle"/>
    <w:basedOn w:val="Heading3"/>
    <w:uiPriority w:val="4"/>
    <w:qFormat/>
    <w:rsid w:val="0074547E"/>
    <w:pPr>
      <w:spacing w:before="0" w:after="0" w:line="480" w:lineRule="auto"/>
    </w:pPr>
    <w:rPr>
      <w:rFonts w:cs="Times New Roman"/>
      <w:b/>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eader" Target="header5.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637A8-7225-4E89-B02A-75A6491CD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16130</Words>
  <Characters>91941</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Popescu</dc:creator>
  <cp:keywords/>
  <dc:description/>
  <cp:lastModifiedBy>Kiyoko Gotanda</cp:lastModifiedBy>
  <cp:revision>2</cp:revision>
  <dcterms:created xsi:type="dcterms:W3CDTF">2024-12-03T17:08:00Z</dcterms:created>
  <dcterms:modified xsi:type="dcterms:W3CDTF">2024-12-03T17:08:00Z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id="U6Vbh9Mq"/&gt;&lt;style id="http://www.zotero.org/styles/behavioral-ecology-and-sociobiology" hasBibliography="1" bibliographyStyleHasBeenSet="1"/&gt;&lt;prefs&gt;&lt;pref name="fieldType" value="Field"/&gt;&lt;/prefs&gt;&lt;</vt:lpwstr>
  </property>
  <property fmtid="{D5CDD505-2E9C-101B-9397-08002B2CF9AE}" pid="3" name="ZOTERO_PREF_2">
    <vt:lpwstr>/data&gt;</vt:lpwstr>
  </property>
</Properties>
</file>