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2A33"/>
          <w:spacing w:val="60"/>
          <w:sz w:val="56"/>
          <w:szCs w:val="56"/>
        </w:rPr>
        <w:t xml:space="preserve">INFINEXA</w:t>
      </w:r>
    </w:p>
    <w:p>
      <w:pPr>
        <w:spacing w:before="100"/>
        <w:jc w:val="center"/>
      </w:pPr>
      <w:r>
        <w:rPr>
          <w:color w:val="1B4D5C"/>
          <w:sz w:val="30"/>
          <w:szCs w:val="30"/>
        </w:rPr>
        <w:t xml:space="preserve">Brand Identity Brief</w:t>
      </w:r>
    </w:p>
    <w:p>
      <w:pPr>
        <w:spacing w:before="260"/>
        <w:jc w:val="center"/>
      </w:pPr>
      <w:r>
        <w:rPr>
          <w:color w:val="C8682E"/>
          <w:spacing w:val="30"/>
          <w:sz w:val="18"/>
          <w:szCs w:val="18"/>
        </w:rPr>
        <w:t xml:space="preserve">connecting value with purpose</w:t>
      </w:r>
    </w:p>
    <w:p>
      <w:pPr>
        <w:spacing w:before="60"/>
        <w:jc w:val="center"/>
      </w:pPr>
      <w:r>
        <w:rPr>
          <w:i/>
          <w:iCs/>
          <w:color w:val="3A4750"/>
          <w:sz w:val="19"/>
          <w:szCs w:val="19"/>
        </w:rPr>
        <w:t xml:space="preserve">Especificaciones técnicas para producción vectorial</w:t>
      </w:r>
    </w:p>
    <w:p>
      <w:pPr>
        <w:spacing w:before="500"/>
        <w:jc w:val="center"/>
      </w:pPr>
      <w:r>
        <w:rPr>
          <w:color w:val="C9D2D6"/>
          <w:sz w:val="17"/>
          <w:szCs w:val="17"/>
        </w:rPr>
        <w:t xml:space="preserve">Versión 1.1  ·  Documento 2 de 2 del sistema de marca</w:t>
      </w:r>
    </w:p>
    <w:p>
      <w:pPr>
        <w:pageBreakBefore/>
      </w:pPr>
    </w:p>
    <w:p>
      <w:pPr>
        <w:pStyle w:val="Heading1"/>
      </w:pPr>
      <w:r>
        <w:rPr>
          <w:b/>
          <w:bCs/>
          <w:color w:val="1F2A33"/>
        </w:rPr>
        <w:t xml:space="preserve">Cómo usar este sistema de dos documentos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Infinexa se documenta en dos piezas complementarias, no intercambiables. Cada una responde a una pregunta distinta: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Manual de Marca → ¿qué dice Infinexa y cómo lo dice? Estrategia, tono de voz, bios y checklist de coherencia.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Brand Identity Brief (este documento) → ¿cómo se ve y se construye Infinexa? Símbolo, wordmark, color, tipografía y especificaciones vectoriales exactas.</w:t>
      </w:r>
    </w:p>
    <w:p>
      <w:pPr>
        <w:pBdr>
          <w:left w:val="single" w:color="C8682E" w:sz="12" w:space="8"/>
        </w:pBdr>
        <w:spacing w:after="200" w:before="80"/>
        <w:ind w:left="200"/>
      </w:pPr>
      <w:r>
        <w:rPr>
          <w:i/>
          <w:iCs/>
          <w:color w:val="1B4D5C"/>
          <w:sz w:val="20"/>
          <w:szCs w:val="20"/>
        </w:rPr>
        <w:t xml:space="preserve">Regla práctica: si vas a escribir o publicar, consulta el Manual de Marca. Si vas a diseñar o producir una pieza gráfica (logo, plantilla, archivo vectorial), consulta este Brief.</w:t>
      </w:r>
    </w:p>
    <w:p>
      <w:pPr>
        <w:pStyle w:val="Heading1"/>
      </w:pPr>
      <w:r>
        <w:rPr>
          <w:b/>
          <w:bCs/>
          <w:color w:val="1F2A33"/>
        </w:rPr>
        <w:t xml:space="preserve">00 — Historia y origen del nombre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Los mejores nombres no solo suenan bien: tienen una narrativa que las personas pueden recordar y compartir. Infinexa es uno de ellos.</w:t>
      </w:r>
    </w:p>
    <w:p>
      <w:pPr>
        <w:pStyle w:val="Heading2"/>
      </w:pPr>
      <w:r>
        <w:rPr>
          <w:b/>
          <w:bCs/>
          <w:color w:val="1B4D5C"/>
        </w:rPr>
        <w:t xml:space="preserve">Infinite — Infinito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La primera raíz representa expansión sin límites, crecimiento continuo, escalabilidad global, evolución permanente y visión de largo plazo. En el contexto de Web3 y blockchain, simboliza una economía que trasciende fronteras geográficas, horarios y sistemas tradicionales.</w:t>
      </w:r>
    </w:p>
    <w:p>
      <w:pPr>
        <w:pStyle w:val="Heading2"/>
      </w:pPr>
      <w:r>
        <w:rPr>
          <w:b/>
          <w:bCs/>
          <w:color w:val="1B4D5C"/>
        </w:rPr>
        <w:t xml:space="preserve">Nexus — Conexión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La segunda raíz es una palabra latina utilizada en inglés que significa conexión, punto de encuentro, nodo de unión y centro de convergencia. En blockchain, un nexus representa la interconexión entre personas, redes, conocimiento, tecnología y valor.</w:t>
      </w:r>
    </w:p>
    <w:p>
      <w:pPr>
        <w:pStyle w:val="Heading2"/>
      </w:pPr>
      <w:r>
        <w:rPr>
          <w:b/>
          <w:bCs/>
          <w:color w:val="1B4D5C"/>
        </w:rPr>
        <w:t xml:space="preserve">¿Por qué no InfinityWealth, InfinityAccess o InfinityAlliance?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Se necesitaba un nombre capaz de crecer hacia educación financiera y digital, blockchain y Web3, DeFi e inteligencia artificial, comunidad e infraestructura digital, y nuevas tecnologías emergentes — sin quedar atado a ninguna de ellas en particular.</w:t>
      </w:r>
    </w:p>
    <w:p>
      <w:pPr>
        <w:pStyle w:val="Heading2"/>
      </w:pPr>
      <w:r>
        <w:rPr>
          <w:b/>
          <w:bCs/>
          <w:color w:val="1B4D5C"/>
        </w:rPr>
        <w:t xml:space="preserve">El proceso de síntesis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La solución fue fusionar las dos raíces y simplificar fonéticamente hasta llegar a una sola palabra nueva, elegante y fácil de recordar en cualquier idioma:</w:t>
      </w:r>
    </w:p>
    <w:p>
      <w:pPr>
        <w:spacing w:after="120" w:before="120"/>
        <w:jc w:val="center"/>
      </w:pPr>
      <w:r>
        <w:rPr>
          <w:b/>
          <w:bCs/>
          <w:color w:val="C8682E"/>
          <w:sz w:val="26"/>
          <w:szCs w:val="26"/>
        </w:rPr>
        <w:t xml:space="preserve">Infinite  +  Nexus  =  Infinexa</w:t>
      </w:r>
    </w:p>
    <w:p>
      <w:pPr>
        <w:pStyle w:val="Heading2"/>
      </w:pPr>
      <w:r>
        <w:rPr>
          <w:b/>
          <w:bCs/>
          <w:color w:val="1B4D5C"/>
        </w:rPr>
        <w:t xml:space="preserve">Significado oficial de marca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Infinexa es el punto de conexión donde las posibilidades infinitas se transforman en valor con propósito.</w:t>
      </w:r>
    </w:p>
    <w:p>
      <w:pPr>
        <w:pStyle w:val="Heading2"/>
      </w:pPr>
      <w:r>
        <w:rPr>
          <w:b/>
          <w:bCs/>
          <w:color w:val="1B4D5C"/>
        </w:rPr>
        <w:t xml:space="preserve">Significado en la nueva economía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Cada tecnología de la nueva economía tiene su propia forma de conectar: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Blockchain conecta personas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Web3 conecta comunidades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DeFi conecta capital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IA conecta conocimiento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Infinexa representa la convergencia de todas ellas: tecnología, educación y comunidad para crear valor sin fronteras.</w:t>
      </w:r>
    </w:p>
    <w:p>
      <w:pPr>
        <w:pStyle w:val="Heading2"/>
      </w:pPr>
      <w:r>
        <w:rPr>
          <w:b/>
          <w:bCs/>
          <w:color w:val="1B4D5C"/>
        </w:rPr>
        <w:t xml:space="preserve">Por qué Infinexa trasciende el tiempo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promete riqueza — compliance-safe por diseño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depende de blockchain, DeFi ni ninguna moda tecnológica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Funciona con igual fuerza en español e inglés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Puede seguir vigente dentro de 20 años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describe lo que hace hoy — representa la visión de lo que puede ser mañana</w:t>
      </w:r>
    </w:p>
    <w:p>
      <w:pPr>
        <w:spacing w:after="160" w:line="300"/>
      </w:pPr>
      <w:r>
        <w:rPr>
          <w:b w:val="false"/>
          <w:bCs w:val="false"/>
          <w:i/>
          <w:iCs/>
          <w:color w:val="3A4750"/>
          <w:sz w:val="21"/>
          <w:szCs w:val="21"/>
        </w:rPr>
        <w:t xml:space="preserve">Eso es exactamente lo que tienen las grandes marcas: no describen lo que hacen hoy. Representan la visión de lo que pueden llegar a ser mañana.</w:t>
      </w:r>
    </w:p>
    <w:p>
      <w:pPr>
        <w:pageBreakBefore/>
      </w:pPr>
    </w:p>
    <w:p>
      <w:pPr>
        <w:pStyle w:val="Heading1"/>
      </w:pPr>
      <w:r>
        <w:rPr>
          <w:b/>
          <w:bCs/>
          <w:color w:val="1F2A33"/>
        </w:rPr>
        <w:t xml:space="preserve">01 — Concepto del símbolo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El símbolo de Infinexa es una lemniscata orgánica trazada como un único gesto continuo. No son dos loops cerrados: es una sola idea en movimiento que cruza sobre sí misma en el centro.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La asimetría es intencional: el loop izquierdo es más horizontal y expansivo (comunidad, amplitud); el derecho es más vertical y tenso (precisión, arquitectura digital). Esta dualidad refleja exactamente los dos pilares de la marca.</w:t>
      </w:r>
    </w:p>
    <w:p>
      <w:pPr>
        <w:pStyle w:val="Heading2"/>
      </w:pPr>
      <w:r>
        <w:rPr>
          <w:b/>
          <w:bCs/>
          <w:color w:val="1B4D5C"/>
        </w:rPr>
        <w:t xml:space="preserve">El acento cobre — el nexo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En el punto de cruce aparecen dos micro-arcos en cobre (#C8682E) que abrazan un punto central. No es decoración: es el nexo, el momento donde dos mundos se tocan. Como la barra de una letra caligráfica, aparece con significado, no con ornamento.</w:t>
      </w:r>
    </w:p>
    <w:p>
      <w:pPr>
        <w:pStyle w:val="Heading1"/>
      </w:pPr>
      <w:r>
        <w:rPr>
          <w:b/>
          <w:bCs/>
          <w:color w:val="1F2A33"/>
        </w:rPr>
        <w:t xml:space="preserve">02 — Especificaciones del símbolo</w:t>
      </w:r>
    </w:p>
    <w:p>
      <w:pPr>
        <w:pStyle w:val="Heading2"/>
      </w:pPr>
      <w:r>
        <w:rPr>
          <w:b/>
          <w:bCs/>
          <w:color w:val="1B4D5C"/>
        </w:rPr>
        <w:t xml:space="preserve">Path SVG — Lemniscata orgánica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Trazo principal (stroke, sin fill):</w:t>
      </w:r>
    </w:p>
    <w:p>
      <w:pPr>
        <w:shd w:fill="EDF1F2" w:val="clear"/>
        <w:spacing w:after="80" w:before="80"/>
      </w:pPr>
      <w:r>
        <w:rPr>
          <w:rFonts w:ascii="Courier New" w:cs="Courier New" w:eastAsia="Courier New" w:hAnsi="Courier New"/>
          <w:color w:val="1F2A33"/>
          <w:sz w:val="18"/>
          <w:szCs w:val="18"/>
        </w:rPr>
        <w:t xml:space="preserve">M [cx] [cy]</w:t>
      </w:r>
    </w:p>
    <w:p>
      <w:pPr>
        <w:shd w:fill="EDF1F2" w:val="clear"/>
      </w:pPr>
      <w:r>
        <w:rPr>
          <w:rFonts w:ascii="Courier New" w:cs="Courier New" w:eastAsia="Courier New" w:hAnsi="Courier New"/>
          <w:color w:val="1F2A33"/>
          <w:sz w:val="18"/>
          <w:szCs w:val="18"/>
        </w:rPr>
        <w:t xml:space="preserve">C [cx-12] [cy-32], [cx-56] [cy-70], [cx-104] [cy-68]</w:t>
      </w:r>
    </w:p>
    <w:p>
      <w:pPr>
        <w:shd w:fill="EDF1F2" w:val="clear"/>
      </w:pPr>
      <w:r>
        <w:rPr>
          <w:rFonts w:ascii="Courier New" w:cs="Courier New" w:eastAsia="Courier New" w:hAnsi="Courier New"/>
          <w:color w:val="1F2A33"/>
          <w:sz w:val="18"/>
          <w:szCs w:val="18"/>
        </w:rPr>
        <w:t xml:space="preserve">C [cx-158] [cy-66], [cx-184] [cy-32], [cx-180] [cy-4]</w:t>
      </w:r>
    </w:p>
    <w:p>
      <w:pPr>
        <w:shd w:fill="EDF1F2" w:val="clear"/>
      </w:pPr>
      <w:r>
        <w:rPr>
          <w:rFonts w:ascii="Courier New" w:cs="Courier New" w:eastAsia="Courier New" w:hAnsi="Courier New"/>
          <w:color w:val="1F2A33"/>
          <w:sz w:val="18"/>
          <w:szCs w:val="18"/>
        </w:rPr>
        <w:t xml:space="preserve">C [cx-176] [cy+28], [cx-142] [cy+46], [cx-94] [cy+42]</w:t>
      </w:r>
    </w:p>
    <w:p>
      <w:pPr>
        <w:shd w:fill="EDF1F2" w:val="clear"/>
        <w:spacing w:after="80"/>
      </w:pPr>
      <w:r>
        <w:rPr>
          <w:rFonts w:ascii="Courier New" w:cs="Courier New" w:eastAsia="Courier New" w:hAnsi="Courier New"/>
          <w:color w:val="1F2A33"/>
          <w:sz w:val="18"/>
          <w:szCs w:val="18"/>
        </w:rPr>
        <w:t xml:space="preserve">C [cx-52] [cy+38], [cx-18] [cy+12], [cx] [cy]</w:t>
      </w:r>
    </w:p>
    <w:p>
      <w:pPr>
        <w:spacing w:after="160" w:line="300"/>
      </w:pPr>
      <w:r>
        <w:rPr>
          <w:b w:val="false"/>
          <w:bCs w:val="false"/>
          <w:i/>
          <w:iCs/>
          <w:color w:val="3A4750"/>
          <w:sz w:val="21"/>
          <w:szCs w:val="21"/>
        </w:rPr>
        <w:t xml:space="preserve">(espejo derecho con tensión vertical mayor)</w:t>
      </w:r>
    </w:p>
    <w:p>
      <w:pPr>
        <w:pBdr>
          <w:left w:val="single" w:color="C8682E" w:sz="12" w:space="8"/>
        </w:pBdr>
        <w:spacing w:after="200" w:before="80"/>
        <w:ind w:left="200"/>
      </w:pPr>
      <w:r>
        <w:rPr>
          <w:i/>
          <w:iCs/>
          <w:color w:val="1B4D5C"/>
          <w:sz w:val="20"/>
          <w:szCs w:val="20"/>
        </w:rPr>
        <w:t xml:space="preserve">El símbolo se construye con path único, fill: none. El path completo está en los archivos SVG adjuntos del proyecto.</w:t>
      </w:r>
    </w:p>
    <w:p>
      <w:pPr>
        <w:pStyle w:val="Heading2"/>
      </w:pPr>
      <w:r>
        <w:rPr>
          <w:b/>
          <w:bCs/>
          <w:color w:val="1B4D5C"/>
        </w:rPr>
        <w:t xml:space="preserve">Acento cobre — especificaciones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Color: #C8682E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Forma: dos micro-arcos que abrazan un punto central en el cruce de la lemniscata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Aplicación: trazo, nunca relleno de superficies grandes</w:t>
      </w:r>
    </w:p>
    <w:p>
      <w:pPr>
        <w:pStyle w:val="Heading1"/>
      </w:pPr>
      <w:r>
        <w:rPr>
          <w:b/>
          <w:bCs/>
          <w:color w:val="1F2A33"/>
        </w:rPr>
        <w:t xml:space="preserve">03 — Wordmark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Texto: infinexa (minúsculas)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Tipografía: Inter · SF Pro Display · Helvetica Neue · Arial (fallback)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Peso: 300 (Light)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Tamaño de referencia: 36px en canvas de 800×480px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Letter-spacing: 18px (tracking muy amplio)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Color negativo: #EDF1F2 · Color positivo: #1F2A33</w:t>
      </w:r>
    </w:p>
    <w:p>
      <w:pPr>
        <w:pStyle w:val="Heading2"/>
      </w:pPr>
      <w:r>
        <w:rPr>
          <w:b/>
          <w:bCs/>
          <w:color w:val="1B4D5C"/>
        </w:rPr>
        <w:t xml:space="preserve">Por qué minúsculas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Apple, Airbnb, Spotify, Notion: las marcas de clase mundial usan minúsculas porque comunican humanidad, accesibilidad y confianza sin perder autoridad. Las mayúsculas gritan; las minúsculas con tracking amplio susurran con seguridad.</w:t>
      </w:r>
    </w:p>
    <w:p>
      <w:pPr>
        <w:pStyle w:val="Heading1"/>
      </w:pPr>
      <w:r>
        <w:rPr>
          <w:b/>
          <w:bCs/>
          <w:color w:val="1F2A33"/>
        </w:rPr>
        <w:t xml:space="preserve">04 — Separador y tagline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Separador: línea horizontal · color #C8682E · 0.8px · 44px de ancho · centrado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Posición: entre wordmark y tagline</w:t>
      </w:r>
    </w:p>
    <w:p>
      <w:pPr>
        <w:pStyle w:val="Heading2"/>
      </w:pPr>
      <w:r>
        <w:rPr>
          <w:b/>
          <w:bCs/>
          <w:color w:val="1B4D5C"/>
        </w:rPr>
        <w:t xml:space="preserve">Tagline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Texto: connecting value with purpose (minúsculas)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Tipografía: Inter · SF Pro Text · Helvetica Neue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Peso: 300 (Light) · Tamaño: 11px · Letter-spacing: 5.5px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Opacidad: 50% — el tagline se percibe sin competir con el nombre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Color negativo: #C9D2D6 · Color positivo: #1B4D5C</w:t>
      </w:r>
    </w:p>
    <w:p>
      <w:pPr>
        <w:pageBreakBefore/>
      </w:pPr>
    </w:p>
    <w:p>
      <w:pPr>
        <w:pStyle w:val="Heading1"/>
      </w:pPr>
      <w:r>
        <w:rPr>
          <w:b/>
          <w:bCs/>
          <w:color w:val="1F2A33"/>
        </w:rPr>
        <w:t xml:space="preserve">05 — Paleta de color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La paleta es sobria por diseño. Grafito y petróleo como bases, plata como neutral, cobre como único acento cálido. El cobre nunca debe usarse como fondo ni en superficies grandes: es un acento, no un protagonista.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A33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Grafito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#1F2A33</w:t>
            </w:r>
          </w:p>
        </w:tc>
        <w:tc>
          <w:tcPr>
            <w:tcW w:type="dxa" w:w="3120"/>
            <w:shd w:fill="1B4D5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Petróleo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#1B4D5C</w:t>
            </w:r>
          </w:p>
        </w:tc>
        <w:tc>
          <w:tcPr>
            <w:tcW w:type="dxa" w:w="3120"/>
            <w:shd w:fill="2E6E8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Petróleo claro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#2E6E80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C8682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Cobre (acento)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#C8682E</w:t>
            </w:r>
          </w:p>
        </w:tc>
        <w:tc>
          <w:tcPr>
            <w:tcW w:type="dxa" w:w="3120"/>
            <w:shd w:fill="C9D2D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2A33"/>
                <w:sz w:val="18"/>
                <w:szCs w:val="18"/>
              </w:rPr>
              <w:t xml:space="preserve">Plata</w:t>
            </w:r>
          </w:p>
          <w:p>
            <w:pPr>
              <w:jc w:val="center"/>
            </w:pPr>
            <w:r>
              <w:rPr>
                <w:color w:val="1F2A33"/>
                <w:sz w:val="16"/>
                <w:szCs w:val="16"/>
              </w:rPr>
              <w:t xml:space="preserve">#C9D2D6</w:t>
            </w:r>
          </w:p>
        </w:tc>
        <w:tc>
          <w:tcPr>
            <w:tcW w:type="dxa" w:w="3120"/>
            <w:shd w:fill="EDF1F2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2A33"/>
                <w:sz w:val="18"/>
                <w:szCs w:val="18"/>
              </w:rPr>
              <w:t xml:space="preserve">Plata clara</w:t>
            </w:r>
          </w:p>
          <w:p>
            <w:pPr>
              <w:jc w:val="center"/>
            </w:pPr>
            <w:r>
              <w:rPr>
                <w:color w:val="1F2A33"/>
                <w:sz w:val="16"/>
                <w:szCs w:val="16"/>
              </w:rPr>
              <w:t xml:space="preserve">#EDF1F2</w:t>
            </w:r>
          </w:p>
        </w:tc>
      </w:tr>
    </w:tbl>
    <w:p>
      <w:pPr>
        <w:spacing w:after="60" w:before="240"/>
      </w:pPr>
      <w:r>
        <w:rPr>
          <w:b/>
          <w:bCs/>
          <w:color w:val="1F2A33"/>
          <w:sz w:val="20"/>
          <w:szCs w:val="20"/>
        </w:rPr>
        <w:t xml:space="preserve">Colores de fondo extendidos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F172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Grafito oscuro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#0F1720</w:t>
            </w:r>
          </w:p>
        </w:tc>
        <w:tc>
          <w:tcPr>
            <w:tcW w:type="dxa" w:w="4680"/>
            <w:shd w:fill="F8F8F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2A33"/>
                <w:sz w:val="18"/>
                <w:szCs w:val="18"/>
              </w:rPr>
              <w:t xml:space="preserve">Blanco marca</w:t>
            </w:r>
          </w:p>
          <w:p>
            <w:pPr>
              <w:jc w:val="center"/>
            </w:pPr>
            <w:r>
              <w:rPr>
                <w:color w:val="1F2A33"/>
                <w:sz w:val="16"/>
                <w:szCs w:val="16"/>
              </w:rPr>
              <w:t xml:space="preserve">#F8F8F6</w:t>
            </w:r>
          </w:p>
        </w:tc>
      </w:tr>
    </w:tbl>
    <w:p>
      <w:pPr>
        <w:pBdr>
          <w:left w:val="single" w:color="C8682E" w:sz="12" w:space="8"/>
        </w:pBdr>
        <w:spacing w:after="200" w:before="80"/>
        <w:ind w:left="200"/>
      </w:pPr>
      <w:r>
        <w:rPr>
          <w:i/>
          <w:iCs/>
          <w:color w:val="1B4D5C"/>
          <w:sz w:val="20"/>
          <w:szCs w:val="20"/>
        </w:rPr>
        <w:t xml:space="preserve">Grafito oscuro (#0F1720) es el fondo principal negativo en piezas digitales (sitio web, app). Blanco marca (#F8F8F6) es el fondo principal positivo — no blanco puro, para mantener la calidez sobria de la marca.</w:t>
      </w:r>
    </w:p>
    <w:p>
      <w:pPr>
        <w:spacing w:after="60" w:before="240"/>
      </w:pPr>
      <w:r>
        <w:rPr>
          <w:b/>
          <w:bCs/>
          <w:color w:val="1F2A33"/>
          <w:sz w:val="20"/>
          <w:szCs w:val="20"/>
        </w:rPr>
        <w:t xml:space="preserve">Colores de conexión (uso exclusivo con Hand4Hand)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D1B3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Navy H4H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#0D1B3E</w:t>
            </w:r>
          </w:p>
        </w:tc>
        <w:tc>
          <w:tcPr>
            <w:tcW w:type="dxa" w:w="4680"/>
            <w:shd w:fill="E8450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Naranja H4H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#E8450A</w:t>
            </w:r>
          </w:p>
        </w:tc>
      </w:tr>
    </w:tbl>
    <w:p>
      <w:pPr>
        <w:pBdr>
          <w:left w:val="single" w:color="C8682E" w:sz="12" w:space="8"/>
        </w:pBdr>
        <w:spacing w:after="200" w:before="80"/>
        <w:ind w:left="200"/>
      </w:pPr>
      <w:r>
        <w:rPr>
          <w:i/>
          <w:iCs/>
          <w:color w:val="1B4D5C"/>
          <w:sz w:val="20"/>
          <w:szCs w:val="20"/>
        </w:rPr>
        <w:t xml:space="preserve">Estos dos colores NO pertenecen a Infinexa. Úsalos exclusivamente en piezas donde presentas la plataforma Hand4Hand — nunca en materiales propios de la marca Infinexa.</w:t>
      </w:r>
    </w:p>
    <w:p>
      <w:pPr>
        <w:pBdr>
          <w:top w:val="single" w:color="C9D2D6" w:sz="4"/>
          <w:left w:val="single" w:color="C9D2D6" w:sz="4"/>
          <w:bottom w:val="single" w:color="C9D2D6" w:sz="4"/>
          <w:right w:val="single" w:color="C9D2D6" w:sz="4"/>
        </w:pBdr>
        <w:shd w:fill="EDF1F2" w:val="clear"/>
        <w:spacing w:after="220" w:before="100"/>
        <w:ind w:left="100" w:right="100"/>
      </w:pPr>
      <w:r>
        <w:rPr>
          <w:b/>
          <w:bCs/>
          <w:color w:val="C8682E"/>
          <w:sz w:val="20"/>
          <w:szCs w:val="20"/>
        </w:rPr>
        <w:t xml:space="preserve">↔ </w:t>
      </w:r>
      <w:r>
        <w:rPr>
          <w:color w:val="1F2A33"/>
          <w:sz w:val="20"/>
          <w:szCs w:val="20"/>
        </w:rPr>
        <w:t xml:space="preserve">El criterio de cuándo y cómo comunicar (tono, mensajes, qué se dice junto a estos colores) vive en el Manual de Marca, sección 02 — Arquitectura de marca y sección 03 — Sistema verbal.</w:t>
      </w:r>
    </w:p>
    <w:p>
      <w:pPr>
        <w:pStyle w:val="Heading1"/>
      </w:pPr>
      <w:r>
        <w:rPr>
          <w:b/>
          <w:bCs/>
          <w:color w:val="1F2A33"/>
        </w:rPr>
        <w:t xml:space="preserve">06 — Tipografía del sistema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Sans serif limpia y moderna en toda la marca: Inter, SF Pro o Satoshi como preferidas. Si no están disponibles, Helvetica o Arial son sustitutos seguros.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Titulares: Bold, grafito, generoso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Subtítulos: Medium, petróleo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Cuerpo: Regular, gris oscuro, interlineado amplio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Wordmark: Light (300), tracking 18px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Tagline: Light (300), tracking 5.5px, 50% opacidad</w:t>
      </w:r>
    </w:p>
    <w:p>
      <w:pPr>
        <w:pStyle w:val="Heading1"/>
      </w:pPr>
      <w:r>
        <w:rPr>
          <w:b/>
          <w:bCs/>
          <w:color w:val="1F2A33"/>
        </w:rPr>
        <w:t xml:space="preserve">07 — Sistema de lockups</w:t>
      </w:r>
    </w:p>
    <w:p>
      <w:pPr>
        <w:pStyle w:val="Heading2"/>
      </w:pPr>
      <w:r>
        <w:rPr>
          <w:b/>
          <w:bCs/>
          <w:color w:val="1B4D5C"/>
        </w:rPr>
        <w:t xml:space="preserve">Vertical (principal)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Símbolo arriba centrado. Espacio de aire generoso (equivalente a la altura del símbolo). Wordmark centrado. Separador cobre. Tagline.</w:t>
      </w:r>
    </w:p>
    <w:p>
      <w:pPr>
        <w:pBdr>
          <w:left w:val="single" w:color="C8682E" w:sz="12" w:space="8"/>
        </w:pBdr>
        <w:spacing w:after="200" w:before="80"/>
        <w:ind w:left="200"/>
      </w:pPr>
      <w:r>
        <w:rPr>
          <w:i/>
          <w:iCs/>
          <w:color w:val="1B4D5C"/>
          <w:sz w:val="20"/>
          <w:szCs w:val="20"/>
        </w:rPr>
        <w:t xml:space="preserve">Uso: redes sociales, presentaciones, hero de web, materiales impresos.</w:t>
      </w:r>
    </w:p>
    <w:p>
      <w:pPr>
        <w:pStyle w:val="Heading2"/>
      </w:pPr>
      <w:r>
        <w:rPr>
          <w:b/>
          <w:bCs/>
          <w:color w:val="1B4D5C"/>
        </w:rPr>
        <w:t xml:space="preserve">Horizontal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Símbolo a la izquierda. Separador vertical en petróleo (0.6px). Wordmark + tagline apilados a la derecha.</w:t>
      </w:r>
    </w:p>
    <w:p>
      <w:pPr>
        <w:pBdr>
          <w:left w:val="single" w:color="C8682E" w:sz="12" w:space="8"/>
        </w:pBdr>
        <w:spacing w:after="200" w:before="80"/>
        <w:ind w:left="200"/>
      </w:pPr>
      <w:r>
        <w:rPr>
          <w:i/>
          <w:iCs/>
          <w:color w:val="1B4D5C"/>
          <w:sz w:val="20"/>
          <w:szCs w:val="20"/>
        </w:rPr>
        <w:t xml:space="preserve">Uso: encabezados de documentos, firma de correo, banners, headers web.</w:t>
      </w:r>
    </w:p>
    <w:p>
      <w:pPr>
        <w:pStyle w:val="Heading2"/>
      </w:pPr>
      <w:r>
        <w:rPr>
          <w:b/>
          <w:bCs/>
          <w:color w:val="1B4D5C"/>
        </w:rPr>
        <w:t xml:space="preserve">Solo símbolo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El símbolo con los dos micro-arcos y el punto cobre. Sin wordmark ni tagline.</w:t>
      </w:r>
    </w:p>
    <w:p>
      <w:pPr>
        <w:pBdr>
          <w:left w:val="single" w:color="C8682E" w:sz="12" w:space="8"/>
        </w:pBdr>
        <w:spacing w:after="200" w:before="80"/>
        <w:ind w:left="200"/>
      </w:pPr>
      <w:r>
        <w:rPr>
          <w:i/>
          <w:iCs/>
          <w:color w:val="1B4D5C"/>
          <w:sz w:val="20"/>
          <w:szCs w:val="20"/>
        </w:rPr>
        <w:t xml:space="preserve">Uso: favicon, avatar de perfil secundario, marca de agua, sticker.</w:t>
      </w:r>
    </w:p>
    <w:p>
      <w:pPr>
        <w:pStyle w:val="Heading2"/>
      </w:pPr>
      <w:r>
        <w:rPr>
          <w:b/>
          <w:bCs/>
          <w:color w:val="1B4D5C"/>
        </w:rPr>
        <w:t xml:space="preserve">Solo wordmark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infinexa en Inter 300 con tracking 18px. Sin símbolo.</w:t>
      </w:r>
    </w:p>
    <w:p>
      <w:pPr>
        <w:pBdr>
          <w:left w:val="single" w:color="C8682E" w:sz="12" w:space="8"/>
        </w:pBdr>
        <w:spacing w:after="200" w:before="80"/>
        <w:ind w:left="200"/>
      </w:pPr>
      <w:r>
        <w:rPr>
          <w:i/>
          <w:iCs/>
          <w:color w:val="1B4D5C"/>
          <w:sz w:val="20"/>
          <w:szCs w:val="20"/>
        </w:rPr>
        <w:t xml:space="preserve">Uso: espacios mínimos donde el símbolo no renderiza correctamente.</w:t>
      </w:r>
    </w:p>
    <w:p>
      <w:pPr>
        <w:pageBreakBefore/>
      </w:pPr>
    </w:p>
    <w:p>
      <w:pPr>
        <w:pStyle w:val="Heading1"/>
      </w:pPr>
      <w:r>
        <w:rPr>
          <w:b/>
          <w:bCs/>
          <w:color w:val="1F2A33"/>
        </w:rPr>
        <w:t xml:space="preserve">08 — Zona de exclusión y tamaños mínimos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Zona de exclusión: equivalente a la altura de la ‘i’ del wordmark en todos los lados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Tamaño mínimo digital: 32px de alto para el lockup vertical completo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Tamaño mínimo impreso: 15mm de alto para el lockup vertical completo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Solo símbolo, mínimo: 16px · 6mm</w:t>
      </w:r>
    </w:p>
    <w:p>
      <w:pPr>
        <w:pBdr>
          <w:left w:val="single" w:color="C8682E" w:sz="12" w:space="8"/>
        </w:pBdr>
        <w:spacing w:after="200" w:before="80"/>
        <w:ind w:left="200"/>
      </w:pPr>
      <w:r>
        <w:rPr>
          <w:i/>
          <w:iCs/>
          <w:color w:val="1B4D5C"/>
          <w:sz w:val="20"/>
          <w:szCs w:val="20"/>
        </w:rPr>
        <w:t xml:space="preserve">Nunca comprimir ni estirar el símbolo. Nunca cambiar las proporciones del lockup. Siempre escalar proporcionalmente desde el archivo maestro SVG.</w:t>
      </w:r>
    </w:p>
    <w:p>
      <w:pPr>
        <w:pStyle w:val="Heading1"/>
      </w:pPr>
      <w:r>
        <w:rPr>
          <w:b/>
          <w:bCs/>
          <w:color w:val="1F2A33"/>
        </w:rPr>
        <w:t xml:space="preserve">09 — Usos incorrectos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usar gradientes sobre el símbolo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cambiar el color del cobre por otro color de la paleta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usar el cobre como color de fondo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añadir efectos 3D, sombras, brillos ni gloss al símbolo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escribir INFINEXA en mayúsculas en el wordmark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usar los colores navy/naranja (H4H) en piezas de Infinexa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comprimir horizontalmente ni estirar el símbolo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usar tipografías decorativas ni serif en el wordmark</w:t>
      </w:r>
    </w:p>
    <w:p>
      <w:pPr>
        <w:pStyle w:val="Heading1"/>
      </w:pPr>
      <w:r>
        <w:rPr>
          <w:b/>
          <w:bCs/>
          <w:color w:val="1F2A33"/>
        </w:rPr>
        <w:t xml:space="preserve">10 — Archivos entregables y próximos 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Importar los SVG a Figma o Illustrator y convertir textos a outlines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Instalar la fuente Inter (google.com/fonts) como tipografía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Exportar versiones PNG en 1x, 2x y 3x para uso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Crear el archivo Figma de componentes con tokens de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Configurar la foto de perfil y portada en todas las redes sociales</w:t>
      </w:r>
    </w:p>
    <w:p>
      <w:pPr>
        <w:pBdr>
          <w:bottom w:val="single" w:color="C8682E" w:sz="6" w:space="1"/>
        </w:pBdr>
        <w:spacing w:after="200" w:before="100"/>
      </w:pPr>
    </w:p>
    <w:p>
      <w:pPr>
        <w:pBdr>
          <w:top w:val="single" w:color="C9D2D6" w:sz="4"/>
          <w:left w:val="single" w:color="C9D2D6" w:sz="4"/>
          <w:bottom w:val="single" w:color="C9D2D6" w:sz="4"/>
          <w:right w:val="single" w:color="C9D2D6" w:sz="4"/>
        </w:pBdr>
        <w:shd w:fill="EDF1F2" w:val="clear"/>
        <w:spacing w:after="220" w:before="100"/>
        <w:ind w:left="100" w:right="100"/>
      </w:pPr>
      <w:r>
        <w:rPr>
          <w:b/>
          <w:bCs/>
          <w:color w:val="C8682E"/>
          <w:sz w:val="20"/>
          <w:szCs w:val="20"/>
        </w:rPr>
        <w:t xml:space="preserve">↔ </w:t>
      </w:r>
      <w:r>
        <w:rPr>
          <w:color w:val="1F2A33"/>
          <w:sz w:val="20"/>
          <w:szCs w:val="20"/>
        </w:rPr>
        <w:t xml:space="preserve">Para tono de voz, bios listas para copiar, posicionamiento estratégico y el checklist de coherencia antes de publicar, ver el Manual de Marca (Documento 1 de 2).</w:t>
      </w:r>
    </w:p>
    <w:p>
      <w:pPr>
        <w:spacing w:before="400"/>
        <w:jc w:val="center"/>
      </w:pPr>
      <w:r>
        <w:rPr>
          <w:color w:val="1F2A33"/>
          <w:spacing w:val="40"/>
          <w:sz w:val="24"/>
          <w:szCs w:val="24"/>
        </w:rPr>
        <w:t xml:space="preserve">infinexa</w:t>
      </w:r>
    </w:p>
    <w:p>
      <w:pPr>
        <w:spacing w:before="60"/>
        <w:jc w:val="center"/>
      </w:pPr>
      <w:r>
        <w:rPr>
          <w:color w:val="C8682E"/>
          <w:spacing w:val="20"/>
          <w:sz w:val="16"/>
          <w:szCs w:val="16"/>
        </w:rPr>
        <w:t xml:space="preserve">connecting value with purpose</w:t>
      </w:r>
    </w:p>
    <w:p>
      <w:pPr>
        <w:spacing w:before="200"/>
        <w:jc w:val="center"/>
      </w:pPr>
      <w:r>
        <w:rPr>
          <w:color w:val="C9D2D6"/>
          <w:sz w:val="16"/>
          <w:szCs w:val="16"/>
        </w:rPr>
        <w:t xml:space="preserve">Brand Identity Brief v1.1  ·  Junio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C9D2D6"/>
        <w:sz w:val="16"/>
        <w:szCs w:val="16"/>
      </w:rPr>
      <w:t xml:space="preserve">infinexa.app</w:t>
    </w:r>
    <w:r>
      <w:t xml:space="preserve">	</w:t>
    </w:r>
    <w:r>
      <w:rPr>
        <w:color w:val="C9D2D6"/>
        <w:sz w:val="16"/>
        <w:szCs w:val="16"/>
      </w:rPr>
      <w:t xml:space="preserve">Página </w:t>
    </w:r>
    <w:r>
      <w:rPr>
        <w:color w:val="C9D2D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9D2D6"/>
        <w:sz w:val="16"/>
        <w:szCs w:val="16"/>
      </w:rPr>
      <w:t xml:space="preserve">INFINEXA · Brand Identity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C868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7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2D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2A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B4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2026-06-20T01:59:01.230Z</dcterms:created>
  <dcterms:modified xsi:type="dcterms:W3CDTF">2026-06-20T01:59:01.230Z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