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2A33"/>
          <w:spacing w:val="60"/>
          <w:sz w:val="56"/>
          <w:szCs w:val="56"/>
        </w:rPr>
        <w:t xml:space="preserve">INFINEXA</w:t>
      </w:r>
    </w:p>
    <w:p>
      <w:pPr>
        <w:spacing w:before="100"/>
        <w:jc w:val="center"/>
      </w:pPr>
      <w:r>
        <w:rPr>
          <w:color w:val="1B4D5C"/>
          <w:sz w:val="30"/>
          <w:szCs w:val="30"/>
        </w:rPr>
        <w:t xml:space="preserve">Manual de Marca</w:t>
      </w:r>
    </w:p>
    <w:p>
      <w:pPr>
        <w:spacing w:before="260"/>
        <w:jc w:val="center"/>
      </w:pPr>
      <w:r>
        <w:rPr>
          <w:color w:val="C8682E"/>
          <w:spacing w:val="30"/>
          <w:sz w:val="18"/>
          <w:szCs w:val="18"/>
        </w:rPr>
        <w:t xml:space="preserve">connecting value with purpose</w:t>
      </w:r>
    </w:p>
    <w:p>
      <w:pPr>
        <w:spacing w:before="60"/>
        <w:jc w:val="center"/>
      </w:pPr>
      <w:r>
        <w:rPr>
          <w:i/>
          <w:iCs/>
          <w:color w:val="3A4750"/>
          <w:sz w:val="19"/>
          <w:szCs w:val="19"/>
        </w:rPr>
        <w:t xml:space="preserve">Identidad de marca del Builder</w:t>
      </w:r>
    </w:p>
    <w:p>
      <w:pPr>
        <w:spacing w:before="30"/>
        <w:jc w:val="center"/>
      </w:pPr>
      <w:r>
        <w:rPr>
          <w:i/>
          <w:iCs/>
          <w:color w:val="3A4750"/>
          <w:sz w:val="19"/>
          <w:szCs w:val="19"/>
        </w:rPr>
        <w:t xml:space="preserve">Educación · Arquitectura digital · Comunidad</w:t>
      </w:r>
    </w:p>
    <w:p>
      <w:pPr>
        <w:spacing w:before="500"/>
        <w:jc w:val="center"/>
      </w:pPr>
      <w:r>
        <w:rPr>
          <w:color w:val="C9D2D6"/>
          <w:sz w:val="17"/>
          <w:szCs w:val="17"/>
        </w:rPr>
        <w:t xml:space="preserve">Versión 1.1  ·  Documento 1 de 2 del sistema de marca</w:t>
      </w:r>
    </w:p>
    <w:p>
      <w:pPr>
        <w:pageBreakBefore/>
      </w:pPr>
    </w:p>
    <w:p>
      <w:pPr>
        <w:pStyle w:val="Heading1"/>
      </w:pPr>
      <w:r>
        <w:rPr>
          <w:b/>
          <w:bCs/>
          <w:color w:val="1F2A33"/>
        </w:rPr>
        <w:t xml:space="preserve">Cómo usar este sistema de dos documentos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Infinexa se documenta en dos piezas complementarias, no intercambiables. Cada una responde a una pregunta distinta: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Manual de Marca (este documento) → ¿qué dice Infinexa y cómo lo dice? Estrategia, tono de voz, bios y checklist de coherencia.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Brand Identity Brief → ¿cómo se ve y se construye Infinexa? Símbolo, wordmark, color, tipografía y especificaciones vectoriales exactas.</w:t>
      </w:r>
    </w:p>
    <w:p>
      <w:pPr>
        <w:pBdr>
          <w:left w:val="single" w:color="C8682E" w:sz="12" w:space="8"/>
        </w:pBdr>
        <w:spacing w:after="200" w:before="80"/>
        <w:ind w:left="200"/>
      </w:pPr>
      <w:r>
        <w:rPr>
          <w:i/>
          <w:iCs/>
          <w:color w:val="1B4D5C"/>
          <w:sz w:val="20"/>
          <w:szCs w:val="20"/>
        </w:rPr>
        <w:t xml:space="preserve">Regla práctica: si vas a escribir o publicar, consulta este Manual. Si vas a diseñar o producir una pieza gráfica (logo, plantilla, archivo vectorial), consulta el Brand Identity Brief.</w:t>
      </w:r>
    </w:p>
    <w:p>
      <w:pPr>
        <w:pStyle w:val="Heading1"/>
      </w:pPr>
      <w:r>
        <w:rPr>
          <w:b/>
          <w:bCs/>
          <w:color w:val="1F2A33"/>
        </w:rPr>
        <w:t xml:space="preserve">01 — La marca</w:t>
      </w:r>
    </w:p>
    <w:p>
      <w:pPr>
        <w:pStyle w:val="Heading2"/>
      </w:pPr>
      <w:r>
        <w:rPr>
          <w:b/>
          <w:bCs/>
          <w:color w:val="1B4D5C"/>
        </w:rPr>
        <w:t xml:space="preserve">Qué es Infinexa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Infinexa es la marca personal del Builder: un constructor independiente que conecta tecnología, conocimiento y comunidad para crear valor en la economía descentralizada.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Infinexa no es una plataforma financiera ni un producto de inversión. Es una identidad de autoridad y confianza: la de alguien que entiende hacia dónde se mueve la economía y acompaña a otros a posicionarse a tiempo. La marca representa al profesional detrás del mensaje, no a un esquema ni a una promesa de resultados.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Su nombre une dos ideas: lo infinito y el nexo. La conexión sin límites entre personas, conocimiento y valor. Por eso su esencia se resume en tres palabras que guían todo lo que la marca comunica.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DF1F2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b/>
                <w:bCs/>
                <w:color w:val="C8682E"/>
                <w:sz w:val="20"/>
                <w:szCs w:val="20"/>
              </w:rPr>
              <w:t xml:space="preserve">EDUCACIÓN</w:t>
            </w:r>
          </w:p>
          <w:p>
            <w:pPr>
              <w:spacing w:before="60"/>
            </w:pPr>
            <w:r>
              <w:rPr>
                <w:color w:val="3A4750"/>
                <w:sz w:val="19"/>
                <w:szCs w:val="19"/>
              </w:rPr>
              <w:t xml:space="preserve">Formar criterio sobre la nueva economía digital, sin tecnicismos ni promesas.</w:t>
            </w:r>
          </w:p>
        </w:tc>
        <w:tc>
          <w:tcPr>
            <w:tcW w:type="dxa" w:w="3120"/>
            <w:shd w:fill="EDF1F2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b/>
                <w:bCs/>
                <w:color w:val="C8682E"/>
                <w:sz w:val="20"/>
                <w:szCs w:val="20"/>
              </w:rPr>
              <w:t xml:space="preserve">ARQUITECTURA</w:t>
            </w:r>
          </w:p>
          <w:p>
            <w:pPr>
              <w:spacing w:before="60"/>
            </w:pPr>
            <w:r>
              <w:rPr>
                <w:color w:val="3A4750"/>
                <w:sz w:val="19"/>
                <w:szCs w:val="19"/>
              </w:rPr>
              <w:t xml:space="preserve">Diseñar sistemas y estructuras digitales que generan valor de forma sostenible.</w:t>
            </w:r>
          </w:p>
        </w:tc>
        <w:tc>
          <w:tcPr>
            <w:tcW w:type="dxa" w:w="3120"/>
            <w:shd w:fill="EDF1F2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b/>
                <w:bCs/>
                <w:color w:val="C8682E"/>
                <w:sz w:val="20"/>
                <w:szCs w:val="20"/>
              </w:rPr>
              <w:t xml:space="preserve">COMUNIDAD</w:t>
            </w:r>
          </w:p>
          <w:p>
            <w:pPr>
              <w:spacing w:before="60"/>
            </w:pPr>
            <w:r>
              <w:rPr>
                <w:color w:val="3A4750"/>
                <w:sz w:val="19"/>
                <w:szCs w:val="19"/>
              </w:rPr>
              <w:t xml:space="preserve">Construir redes de personas conectadas por propósito y apoyo mutuo.</w:t>
            </w:r>
          </w:p>
        </w:tc>
      </w:tr>
    </w:tbl>
    <w:p>
      <w:pPr>
        <w:pStyle w:val="Heading2"/>
      </w:pPr>
      <w:r>
        <w:rPr>
          <w:b/>
          <w:bCs/>
          <w:color w:val="1B4D5C"/>
        </w:rPr>
        <w:t xml:space="preserve">Propósito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Acompañar a las personas en la transición hacia la economía descentralizada, ayudándolas a pasar de espectadoras del cambio a constructoras de valor, con educación real, criterio y comunidad.</w:t>
      </w:r>
    </w:p>
    <w:p>
      <w:pPr>
        <w:pStyle w:val="Heading2"/>
      </w:pPr>
      <w:r>
        <w:rPr>
          <w:b/>
          <w:bCs/>
          <w:color w:val="1B4D5C"/>
        </w:rPr>
        <w:t xml:space="preserve">Posicionamiento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Infinexa se posiciona como un faro, no como un cazador. No persigue ni presiona: atrae por autoridad, claridad y valor genuino. Es la marca de quien entendió temprano la era de la descentralización y construye en ella mientras ayuda a otros a entenderla.</w:t>
      </w:r>
    </w:p>
    <w:p>
      <w:pPr>
        <w:pStyle w:val="Heading1"/>
      </w:pPr>
      <w:r>
        <w:rPr>
          <w:b/>
          <w:bCs/>
          <w:color w:val="1F2A33"/>
        </w:rPr>
        <w:t xml:space="preserve">02 — Arquitectura de marca</w:t>
      </w:r>
    </w:p>
    <w:p>
      <w:pPr>
        <w:pStyle w:val="Heading2"/>
      </w:pPr>
      <w:r>
        <w:rPr>
          <w:b/>
          <w:bCs/>
          <w:color w:val="1B4D5C"/>
        </w:rPr>
        <w:t xml:space="preserve">Infinexa y el ecosistema que promueve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Una distinción esencial para la claridad y el cumplimiento: Infinexa es tu marca personal; las plataformas que promueves son vehículos independientes. Mantenerlos en niveles separados protege tu marca y respeta los lineamientos de cada ecosistema.</w:t>
      </w:r>
    </w:p>
    <w:p>
      <w:pPr>
        <w:spacing w:after="60" w:before="120"/>
        <w:jc w:val="center"/>
      </w:pPr>
      <w:r>
        <w:rPr>
          <w:b/>
          <w:bCs/>
          <w:color w:val="1F2A33"/>
          <w:sz w:val="24"/>
          <w:szCs w:val="24"/>
        </w:rPr>
        <w:t xml:space="preserve">INFINEXA</w:t>
      </w:r>
    </w:p>
    <w:p>
      <w:pPr>
        <w:jc w:val="center"/>
      </w:pPr>
      <w:r>
        <w:rPr>
          <w:i/>
          <w:iCs/>
          <w:color w:val="3A4750"/>
          <w:sz w:val="19"/>
          <w:szCs w:val="19"/>
        </w:rPr>
        <w:t xml:space="preserve">Tu marca personal de Builder · Connecting Value with Purpose</w:t>
      </w:r>
    </w:p>
    <w:p>
      <w:pPr>
        <w:spacing w:before="80"/>
        <w:jc w:val="center"/>
      </w:pPr>
      <w:r>
        <w:rPr>
          <w:color w:val="C8682E"/>
          <w:sz w:val="18"/>
          <w:szCs w:val="18"/>
        </w:rPr>
        <w:t xml:space="preserve">▼ promueve y acompaña en</w:t>
      </w:r>
    </w:p>
    <w:p>
      <w:pPr>
        <w:spacing w:before="80"/>
        <w:jc w:val="center"/>
      </w:pPr>
      <w:r>
        <w:rPr>
          <w:b/>
          <w:bCs/>
          <w:color w:val="1B4D5C"/>
          <w:sz w:val="22"/>
          <w:szCs w:val="22"/>
        </w:rPr>
        <w:t xml:space="preserve">HAND4HAND · (y otros ecosistemas que elijas)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El vehículo específico que recomiendas. Su mecánica, sus cifras y sus condiciones viven en los materiales oficiales de cada plataforma, no en la marca Infinexa.</w:t>
      </w:r>
    </w:p>
    <w:p>
      <w:pPr>
        <w:pStyle w:val="Heading2"/>
      </w:pPr>
      <w:r>
        <w:rPr>
          <w:b/>
          <w:bCs/>
          <w:color w:val="1B4D5C"/>
        </w:rPr>
        <w:t xml:space="preserve">Por qué esta separación te conviene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Tu marca habla de valor, propósito y educación, sin promesas financieras. La mecánica específica y los resultados potenciales pertenecen a los materiales de la plataforma. Así, Infinexa permanece compliance-safe y atemporal: si mañana sumas otro proyecto, tu marca personal no cambia, solo amplía lo que promueve.</w:t>
      </w:r>
    </w:p>
    <w:p>
      <w:pPr>
        <w:pStyle w:val="Heading2"/>
      </w:pPr>
      <w:r>
        <w:rPr>
          <w:b/>
          <w:bCs/>
          <w:color w:val="1B4D5C"/>
        </w:rPr>
        <w:t xml:space="preserve">Regla de oro de comunicación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Infinexa nunca promete rendimientos ni resultados. Habla de educación, conexión y propósito. Cuando promuevas un ecosistema concreto, usa siempre el lenguaje y los disclaimers oficiales de esa plataforma. Tu marca aporta confianza; la plataforma aporta la mecánica.</w:t>
      </w:r>
    </w:p>
    <w:p>
      <w:pPr>
        <w:pageBreakBefore/>
      </w:pPr>
    </w:p>
    <w:p>
      <w:pPr>
        <w:pStyle w:val="Heading1"/>
      </w:pPr>
      <w:r>
        <w:rPr>
          <w:b/>
          <w:bCs/>
          <w:color w:val="1F2A33"/>
        </w:rPr>
        <w:t xml:space="preserve">03 — Sistema verbal</w:t>
      </w:r>
    </w:p>
    <w:p>
      <w:pPr>
        <w:pStyle w:val="Heading2"/>
      </w:pPr>
      <w:r>
        <w:rPr>
          <w:b/>
          <w:bCs/>
          <w:color w:val="1B4D5C"/>
        </w:rPr>
        <w:t xml:space="preserve">Eslogan oficial</w:t>
      </w:r>
    </w:p>
    <w:p>
      <w:pPr>
        <w:spacing w:after="20" w:before="60"/>
      </w:pPr>
      <w:r>
        <w:rPr>
          <w:b/>
          <w:bCs/>
          <w:color w:val="C8682E"/>
          <w:sz w:val="24"/>
          <w:szCs w:val="24"/>
        </w:rPr>
        <w:t xml:space="preserve">Connecting Value with Purpose</w:t>
      </w:r>
    </w:p>
    <w:p>
      <w:pPr>
        <w:spacing w:after="140"/>
      </w:pPr>
      <w:r>
        <w:rPr>
          <w:i/>
          <w:iCs/>
          <w:color w:val="3A4750"/>
          <w:sz w:val="20"/>
          <w:szCs w:val="20"/>
        </w:rPr>
        <w:t xml:space="preserve">Conectando valor con propósito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El inglés es el estándar global. La traducción al español se usa solo en piezas locales. El eslogan siempre se escribe con peso ligero, tracking (espaciado entre letras) amplio y en tamaño menor que el nombre de la marca.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Por qué funciona: es neutral y compliance-safe (no promete rendimientos), global (claro en cualquier mercado), Web3 nativo (valor, red, propósito) y atemporal (no depende de modas cripto).</w:t>
      </w:r>
    </w:p>
    <w:p>
      <w:pPr>
        <w:pStyle w:val="Heading2"/>
      </w:pPr>
      <w:r>
        <w:rPr>
          <w:b/>
          <w:bCs/>
          <w:color w:val="1B4D5C"/>
        </w:rPr>
        <w:t xml:space="preserve">Lockups del logo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Principal (vertical): recomendado para piezas con espacio. Nombre arriba, eslogan debajo, más pequeño y con tracking amplio.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Horizontal: para encabezados y firmas. Nombre y eslogan en una línea separados por una barra vertical fina.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Solo wordmark: cuando el espacio es mínimo (favicon, marca de agua). Se usa solo INFINEXA sin eslogan.</w:t>
      </w:r>
    </w:p>
    <w:p>
      <w:pPr>
        <w:pBdr>
          <w:top w:val="single" w:color="C9D2D6" w:sz="4"/>
          <w:left w:val="single" w:color="C9D2D6" w:sz="4"/>
          <w:bottom w:val="single" w:color="C9D2D6" w:sz="4"/>
          <w:right w:val="single" w:color="C9D2D6" w:sz="4"/>
        </w:pBdr>
        <w:shd w:fill="EDF1F2" w:val="clear"/>
        <w:spacing w:after="220" w:before="100"/>
        <w:ind w:left="100" w:right="100"/>
      </w:pPr>
      <w:r>
        <w:rPr>
          <w:b/>
          <w:bCs/>
          <w:color w:val="C8682E"/>
          <w:sz w:val="20"/>
          <w:szCs w:val="20"/>
        </w:rPr>
        <w:t xml:space="preserve">↔ </w:t>
      </w:r>
      <w:r>
        <w:rPr>
          <w:color w:val="1F2A33"/>
          <w:sz w:val="20"/>
          <w:szCs w:val="20"/>
        </w:rPr>
        <w:t xml:space="preserve">Las especificaciones exactas de cada lockup (medidas en px, tracking, posición) están en el Brand Identity Brief, sección 07.</w:t>
      </w:r>
    </w:p>
    <w:p>
      <w:pPr>
        <w:pStyle w:val="Heading2"/>
      </w:pPr>
      <w:r>
        <w:rPr>
          <w:b/>
          <w:bCs/>
          <w:color w:val="1B4D5C"/>
        </w:rPr>
        <w:t xml:space="preserve">Tono de voz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 suena así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 suena así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line="280"/>
            </w:pPr>
            <w:r>
              <w:rPr>
                <w:color w:val="3A4750"/>
                <w:sz w:val="19"/>
                <w:szCs w:val="19"/>
              </w:rPr>
              <w:t xml:space="preserve">Claro, sereno, con autoridad tranquila. Educa antes de invitar. Habla de valor y propósito. Inspira sin exagerar.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line="280"/>
            </w:pPr>
            <w:r>
              <w:rPr>
                <w:color w:val="3A4750"/>
                <w:sz w:val="19"/>
                <w:szCs w:val="19"/>
              </w:rPr>
              <w:t xml:space="preserve">Hiperbólico, urgente, lleno de promesas. Lenguaje de “dinero fácil”. Presión o persecución. Tecnicismos vacíos.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F2A33"/>
        </w:rPr>
        <w:t xml:space="preserve">04 — Sistema visual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La paleta combina la alta gama sobria que define a Infinexa (grafito, petróleo, plata) con un acento cobre que actúa como puente cromático hacia los ecosistemas que promueves, como Hand4Hand. Así tu marca se ve premium y autónoma, pero armoniza visualmente cuando presentas esas plataformas.</w:t>
      </w:r>
    </w:p>
    <w:p>
      <w:pPr>
        <w:pStyle w:val="Heading2"/>
      </w:pPr>
      <w:r>
        <w:rPr>
          <w:b/>
          <w:bCs/>
          <w:color w:val="1B4D5C"/>
        </w:rPr>
        <w:t xml:space="preserve">Paleta de referencia rápida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Grafito oscuro #0F1720 (fondo principal negativo) · Blanco marca #F8F8F6 (fondo principal positivo)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Grafito #1F2A33 · Petróleo #1B4D5C · Petróleo claro #2E6E80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Cobre (acento) #C8682E · Plata #C9D2D6 · Plata clara #EDF1F2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Navy H4H #0D1B3E y Naranja H4H #E8450A — colores de conexión: úsalos solo al presentar Hand4Hand, nunca como colores propios de Infinexa</w:t>
      </w:r>
    </w:p>
    <w:p>
      <w:pPr>
        <w:pStyle w:val="Heading2"/>
      </w:pPr>
      <w:r>
        <w:rPr>
          <w:b/>
          <w:bCs/>
          <w:color w:val="1B4D5C"/>
        </w:rPr>
        <w:t xml:space="preserve">Tipografía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Una sans serif limpia y moderna define toda la marca: Inter, SF Pro o Satoshi son las recomendadas. Si no están disponibles, Helvetica o Arial son sustitutos seguros. La regla de oro: menos efectos = más autoridad. Mucho aire, jerarquía clara y contraste son la firma visual de Infinexa.</w:t>
      </w:r>
    </w:p>
    <w:p>
      <w:pPr>
        <w:pBdr>
          <w:top w:val="single" w:color="C9D2D6" w:sz="4"/>
          <w:left w:val="single" w:color="C9D2D6" w:sz="4"/>
          <w:bottom w:val="single" w:color="C9D2D6" w:sz="4"/>
          <w:right w:val="single" w:color="C9D2D6" w:sz="4"/>
        </w:pBdr>
        <w:shd w:fill="EDF1F2" w:val="clear"/>
        <w:spacing w:after="220" w:before="100"/>
        <w:ind w:left="100" w:right="100"/>
      </w:pPr>
      <w:r>
        <w:rPr>
          <w:b/>
          <w:bCs/>
          <w:color w:val="C8682E"/>
          <w:sz w:val="20"/>
          <w:szCs w:val="20"/>
        </w:rPr>
        <w:t xml:space="preserve">↔ </w:t>
      </w:r>
      <w:r>
        <w:rPr>
          <w:color w:val="1F2A33"/>
          <w:sz w:val="20"/>
          <w:szCs w:val="20"/>
        </w:rPr>
        <w:t xml:space="preserve">Las especificaciones técnicas exactas — tracking en px, tamaños, opacidades, path SVG del símbolo y muestras de color completas — viven en el Brand Identity Brief, secciones 02 a 06. Este Manual solo retiene la referencia rápida de uso.</w:t>
      </w:r>
    </w:p>
    <w:p>
      <w:pPr>
        <w:pStyle w:val="Heading2"/>
      </w:pPr>
      <w:r>
        <w:rPr>
          <w:b/>
          <w:bCs/>
          <w:color w:val="1B4D5C"/>
        </w:rPr>
        <w:t xml:space="preserve">Principios de estilo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Sobrio sobre saturado. Espacio sobre relleno. Contraste sobre decoración. Infinexa evita efectos llamativos, gradientes estridentes y estética de “oportunidad de dinero rápido”. Cada pieza debe transmitir calma, autoridad y profesionalismo de alta gama.</w:t>
      </w:r>
    </w:p>
    <w:p>
      <w:pPr>
        <w:pStyle w:val="Heading1"/>
      </w:pPr>
      <w:r>
        <w:rPr>
          <w:b/>
          <w:bCs/>
          <w:color w:val="1F2A33"/>
        </w:rPr>
        <w:t xml:space="preserve">05 — Aplicaciones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Textos aprobados para tus perfiles y piezas. Mantén el inglés como estándar global; usa el español en piezas locales.</w:t>
      </w:r>
    </w:p>
    <w:p>
      <w:pPr>
        <w:pStyle w:val="Heading2"/>
      </w:pPr>
      <w:r>
        <w:rPr>
          <w:b/>
          <w:bCs/>
          <w:color w:val="1B4D5C"/>
        </w:rPr>
        <w:t xml:space="preserve">Biografías</w:t>
      </w:r>
    </w:p>
    <w:p>
      <w:pPr>
        <w:spacing w:after="20"/>
      </w:pPr>
      <w:r>
        <w:rPr>
          <w:b/>
          <w:bCs/>
          <w:color w:val="1F2A33"/>
          <w:sz w:val="20"/>
          <w:szCs w:val="20"/>
        </w:rPr>
        <w:t xml:space="preserve">Bio corta (perfiles, firmas)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Founder at Infinexa — Connecting Value with Purpose</w:t>
      </w:r>
    </w:p>
    <w:p>
      <w:pPr>
        <w:spacing w:after="20"/>
      </w:pPr>
      <w:r>
        <w:rPr>
          <w:b/>
          <w:bCs/>
          <w:color w:val="1F2A33"/>
          <w:sz w:val="20"/>
          <w:szCs w:val="20"/>
        </w:rPr>
        <w:t xml:space="preserve">Bio corta (español)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Fundador de Infinexa — Conectando valor con propósito</w:t>
      </w:r>
    </w:p>
    <w:p>
      <w:pPr>
        <w:spacing w:after="20"/>
      </w:pPr>
      <w:r>
        <w:rPr>
          <w:b/>
          <w:bCs/>
          <w:color w:val="1F2A33"/>
          <w:sz w:val="20"/>
          <w:szCs w:val="20"/>
        </w:rPr>
        <w:t xml:space="preserve">Bio media (redes sociales)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Construyo en la economía descentralizada. Conecto tecnología, conocimiento y comunidad para crear valor con propósito. Educación, no promesas.</w:t>
      </w:r>
    </w:p>
    <w:p>
      <w:pPr>
        <w:spacing w:after="20"/>
      </w:pPr>
      <w:r>
        <w:rPr>
          <w:b/>
          <w:bCs/>
          <w:color w:val="1F2A33"/>
          <w:sz w:val="20"/>
          <w:szCs w:val="20"/>
        </w:rPr>
        <w:t xml:space="preserve">Bio larga (web, about)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Infinexa connects technology, knowledge and community to create value in the decentralized economy. Acompaño a personas en su transición hacia la nueva economía digital, con educación real, criterio y comunidad — no promesas financieras.</w:t>
      </w:r>
    </w:p>
    <w:p>
      <w:pPr>
        <w:pStyle w:val="Heading2"/>
      </w:pPr>
      <w:r>
        <w:rPr>
          <w:b/>
          <w:bCs/>
          <w:color w:val="1B4D5C"/>
        </w:rPr>
        <w:t xml:space="preserve">Hero de web y presentaciones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Connecting Value with Purpose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Educación · Arquitectura digital · Comunidad en la economía descentralizada</w:t>
      </w:r>
    </w:p>
    <w:p>
      <w:pPr>
        <w:pStyle w:val="Heading2"/>
      </w:pPr>
      <w:r>
        <w:rPr>
          <w:b/>
          <w:bCs/>
          <w:color w:val="1B4D5C"/>
        </w:rPr>
        <w:t xml:space="preserve">Firma de correo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[Tu nombre]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Founder · Infinexa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Connecting Value with Purpose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[contacto] · [enlace]</w:t>
      </w:r>
    </w:p>
    <w:p>
      <w:pPr>
        <w:pageBreakBefore/>
      </w:pPr>
    </w:p>
    <w:p>
      <w:pPr>
        <w:pStyle w:val="Heading1"/>
      </w:pPr>
      <w:r>
        <w:rPr>
          <w:b/>
          <w:bCs/>
          <w:color w:val="1F2A33"/>
        </w:rPr>
        <w:t xml:space="preserve">07 — Cumplimiento y políticas de plataformas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Esta sección existe por una razón concreta: Meta (Facebook/Instagram), Google y WhatsApp tienen políticas específicas y cada vez más estrictas para contenido financiero y de criptomonedas. No seguirlas no solo arriesga una pieza: puede significar el baneo de la cuenta, la página o el número de WhatsApp donde construiste tu comunidad. Esta guía resume el criterio práctico; no sustituye asesoría legal.</w:t>
      </w:r>
    </w:p>
    <w:p>
      <w:pPr>
        <w:pBdr>
          <w:left w:val="single" w:color="C8682E" w:sz="12" w:space="8"/>
        </w:pBdr>
        <w:spacing w:after="200" w:before="80"/>
        <w:ind w:left="200"/>
      </w:pPr>
      <w:r>
        <w:rPr>
          <w:i/>
          <w:iCs/>
          <w:color w:val="1B4D5C"/>
          <w:sz w:val="20"/>
          <w:szCs w:val="20"/>
        </w:rPr>
        <w:t xml:space="preserve">Estas políticas cambian con frecuencia y varían por país. Antes de lanzar cualquier campaña pagada, verifica la versión vigente directamente en la fuente oficial de cada plataforma.</w:t>
      </w:r>
    </w:p>
    <w:p>
      <w:pPr>
        <w:pStyle w:val="Heading2"/>
      </w:pPr>
      <w:r>
        <w:rPr>
          <w:b/>
          <w:bCs/>
          <w:color w:val="1B4D5C"/>
        </w:rPr>
        <w:t xml:space="preserve">Meta (Facebook e Instagram) — anuncios pagados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Meta clasifica a las criptomonedas y los servicios financieros como contenido restringido de alto riesgo. Promocionar con anuncios pagados plataformas de trading, inversión o monetización de criptomonedas requiere permiso escrito previo y, desde 2026, licencias regulatorias específicas por país (equivalentes a FCA, SEC o similares) según un sistema de autorización por niveles.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Sin esa licencia y autorización, un anuncio pagado que mencione rendimientos, criptomonedas, o sistemas de aportación/referidos será rechazado o puede suspender la cuenta publicitaria completa.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Recomendación práctica: no usar anuncios pagados de Meta para promover Hand4Hand directamente. El contenido orgánico (publicaciones normales, no impulsadas con presupuesto) tiene reglas distintas y más flexibles, pero igual debe evitar promesas de rendimiento.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Si en algún momento se considera pautar anuncios pagados, deben limitarse a contenido puramente educativo de Infinexa (sin mecánica, cifras ni nombre de la plataforma) y pasar primero por el proceso de autorización de Meta.</w:t>
      </w:r>
    </w:p>
    <w:p>
      <w:pPr>
        <w:pStyle w:val="Heading2"/>
      </w:pPr>
      <w:r>
        <w:rPr>
          <w:b/>
          <w:bCs/>
          <w:color w:val="1B4D5C"/>
        </w:rPr>
        <w:t xml:space="preserve">Google Ads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Google prohíbe directamente los anuncios de ICOs, protocolos de trading DeFi, y la promoción de compra/venta/intercambio de criptomonedas. Solo permite anuncios certificados para categorías muy específicas (exchanges regulados, wallets, fideicomisos de moneda) y exige registro ante la autoridad financiera correspondiente del país objetivo.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Para un Builder independiente sin licencia regulatoria, los anuncios pagados de Google para contenido relacionado con Hand4Hand están, en la práctica, fuera de alcance.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El SEO orgánico (como el de infinexa.app) no requiere esta certificación, porque no es un anuncio pagado — por eso es el canal prioritario para crecer en buscadores.</w:t>
      </w:r>
    </w:p>
    <w:p>
      <w:pPr>
        <w:pStyle w:val="Heading2"/>
      </w:pPr>
      <w:r>
        <w:rPr>
          <w:b/>
          <w:bCs/>
          <w:color w:val="1B4D5C"/>
        </w:rPr>
        <w:t xml:space="preserve">WhatsApp — mensajería y difusión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WhatsApp Business sanciona el comportamiento de envío masivo como señal de spam, incluso si cada mensaje individual parece inofensivo. Las cuentas se restringen o banean de forma automática, sin aviso previo.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Mensajea solo a contactos que dieron consentimiento explícito para recibir información — nunca a listas compradas o números recolectados sin permiso.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Evita listas de difusión masivas con contenido idéntico y repetitivo; prioriza mensajes personalizados o segmentados por interés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No uses herramientas de automatización o APIs no oficiales para enviar mensajes masivos; esto es detectado y penalizado de forma algorítmica.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Si usas la app estándar de WhatsApp Business, mantén un volumen bajo y de ritmo humano; un crecimiento repentino en envíos es la señal más común de baneo.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Facilita siempre una forma simple de darse de baja (responder “STOP” o similar) — reduce reportes de spam y protege la reputación del número.</w:t>
      </w:r>
    </w:p>
    <w:p>
      <w:pPr>
        <w:pStyle w:val="Heading2"/>
      </w:pPr>
      <w:r>
        <w:rPr>
          <w:b/>
          <w:bCs/>
          <w:color w:val="1B4D5C"/>
        </w:rPr>
        <w:t xml:space="preserve">Contexto regulatorio en México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CONDUSEF y la CNBV mantienen alertas activas sobre esquemas piramidales que se disfrazan bajo términos como “red de marketing”, “academia de inversión” o “club exclusivo” de criptoarbitraje. La captación de dinero del público sin regulación de la CNBV es un tema sensible y bajo vigilancia activa de las autoridades.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Nunca presentes a Hand4Hand u otro ecosistema como una inversión regulada o con rendimiento garantizado: esto es precisamente el patrón que las autoridades señalan como riesgo.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Sé transparente sobre la naturaleza del activo: los criptoactivos no son moneda de curso legal ni están respaldados por el Banco de México ni por ningún gobierno.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Si vas a recomendar verificar el respaldo regulatorio de una plataforma, el canal oficial es el Sistema de Prestadores de Servicios Financieros (SIPRES) de CONDUSEF.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4750"/>
          <w:sz w:val="21"/>
          <w:szCs w:val="21"/>
        </w:rPr>
        <w:t xml:space="preserve">Esta misma lógica de prudencia aplica al promover en otros países: investiga si existe un regulador financiero local equivalente antes de usar lenguaje que pueda interpretarse como oferta de inversión.</w:t>
      </w:r>
    </w:p>
    <w:p>
      <w:pPr>
        <w:pStyle w:val="Heading2"/>
      </w:pPr>
      <w:r>
        <w:rPr>
          <w:b/>
          <w:bCs/>
          <w:color w:val="1B4D5C"/>
        </w:rPr>
        <w:t xml:space="preserve">Principio general para todo el contenido de Infinexa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La regla de oro de comunicación de Infinexa (ver sección 02) no es solo una preferencia de marca: es también lo que te mantiene dentro de las políticas de Meta, Google, WhatsApp y los reguladores financieros. Hablar de educación, conexión y propósito — y nunca de rendimientos, inversión garantizada o reclutamiento — es la misma decisión que protege tu marca y la que protege tus herramientas digitales de ser señaladas como spam, contenido prohibido o esquema no regulado.</w:t>
      </w:r>
    </w:p>
    <w:p>
      <w:pPr>
        <w:pBdr>
          <w:top w:val="single" w:color="C9D2D6" w:sz="4"/>
          <w:left w:val="single" w:color="C9D2D6" w:sz="4"/>
          <w:bottom w:val="single" w:color="C9D2D6" w:sz="4"/>
          <w:right w:val="single" w:color="C9D2D6" w:sz="4"/>
        </w:pBdr>
        <w:shd w:fill="EDF1F2" w:val="clear"/>
        <w:spacing w:after="220" w:before="100"/>
        <w:ind w:left="100" w:right="100"/>
      </w:pPr>
      <w:r>
        <w:rPr>
          <w:b/>
          <w:bCs/>
          <w:color w:val="C8682E"/>
          <w:sz w:val="20"/>
          <w:szCs w:val="20"/>
        </w:rPr>
        <w:t xml:space="preserve">↔ </w:t>
      </w:r>
      <w:r>
        <w:rPr>
          <w:color w:val="1F2A33"/>
          <w:sz w:val="20"/>
          <w:szCs w:val="20"/>
        </w:rPr>
        <w:t xml:space="preserve">Cuando promuevas Hand4Hand específicamente (su mecánica, cifras o disclaimers), usa siempre el lenguaje y los avisos legales oficiales de esa plataforma — no los de Infinexa. Ver sección 02 — Arquitectura de marca.</w:t>
      </w:r>
    </w:p>
    <w:p>
      <w:pPr>
        <w:pageBreakBefore/>
      </w:pPr>
    </w:p>
    <w:p>
      <w:pPr>
        <w:pStyle w:val="Heading1"/>
      </w:pPr>
      <w:r>
        <w:rPr>
          <w:b/>
          <w:bCs/>
          <w:color w:val="1F2A33"/>
        </w:rPr>
        <w:t xml:space="preserve">08 — Coherencia</w:t>
      </w:r>
    </w:p>
    <w:p>
      <w:pPr>
        <w:pStyle w:val="Heading2"/>
      </w:pPr>
      <w:r>
        <w:rPr>
          <w:b/>
          <w:bCs/>
          <w:color w:val="1B4D5C"/>
        </w:rPr>
        <w:t xml:space="preserve">Checklist de marca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Antes de publicar cualquier pieza con la marca Infinexa, verifica: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4750"/>
          <w:sz w:val="21"/>
          <w:szCs w:val="21"/>
        </w:rPr>
        <w:t xml:space="preserve">¿El eslogan está en menor tamaño que el nombre, con tracking amplio?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4750"/>
          <w:sz w:val="21"/>
          <w:szCs w:val="21"/>
        </w:rPr>
        <w:t xml:space="preserve">¿La paleta es sobria (grafito/petróleo/plata) con cobre solo como acento?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4750"/>
          <w:sz w:val="21"/>
          <w:szCs w:val="21"/>
        </w:rPr>
        <w:t xml:space="preserve">¿El tono educa e inspira sin prometer rendimientos ni resultados?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4750"/>
          <w:sz w:val="21"/>
          <w:szCs w:val="21"/>
        </w:rPr>
        <w:t xml:space="preserve">¿Usé navy/naranja solo si estoy presentando Hand4Hand?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4750"/>
          <w:sz w:val="21"/>
          <w:szCs w:val="21"/>
        </w:rPr>
        <w:t xml:space="preserve">¿Hay suficiente aire y contraste? ¿Menos efectos, más autoridad?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4750"/>
          <w:sz w:val="21"/>
          <w:szCs w:val="21"/>
        </w:rPr>
        <w:t xml:space="preserve">¿La mecánica o cifras específicas viven en los materiales de la plataforma, no en mi marca?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4750"/>
          <w:sz w:val="21"/>
          <w:szCs w:val="21"/>
        </w:rPr>
        <w:t xml:space="preserve">¿La pieza deja a quien la ve con más claridad, no con presión?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4750"/>
          <w:sz w:val="21"/>
          <w:szCs w:val="21"/>
        </w:rPr>
        <w:t xml:space="preserve">¿Si la pieza incluye logo o símbolo, sigue las proporciones y zona de exclusión del Brand Identity Brief?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4750"/>
          <w:sz w:val="21"/>
          <w:szCs w:val="21"/>
        </w:rPr>
        <w:t xml:space="preserve">Si es un anuncio pagado (Meta o Google): ¿evité cualquier promesa de rendimiento, y confirmé que no requiere una licencia o certificación que no tengo?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4750"/>
          <w:sz w:val="21"/>
          <w:szCs w:val="21"/>
        </w:rPr>
        <w:t xml:space="preserve">Si es un mensaje de WhatsApp: ¿el contacto dio consentimiento explícito, y no estoy enviando el mismo mensaje masivamente sin personalizar?</w:t>
      </w:r>
    </w:p>
    <w:p>
      <w:pPr>
        <w:pBdr>
          <w:bottom w:val="single" w:color="C8682E" w:sz="6" w:space="1"/>
        </w:pBdr>
        <w:spacing w:after="200" w:before="100"/>
      </w:pPr>
    </w:p>
    <w:p>
      <w:pPr>
        <w:spacing w:after="160" w:before="160"/>
        <w:jc w:val="center"/>
      </w:pPr>
      <w:r>
        <w:rPr>
          <w:b/>
          <w:bCs/>
          <w:color w:val="C8682E"/>
          <w:spacing w:val="20"/>
          <w:sz w:val="18"/>
          <w:szCs w:val="18"/>
        </w:rPr>
        <w:t xml:space="preserve">LA ESENCIA EN UNA FRASE</w:t>
      </w:r>
    </w:p>
    <w:p>
      <w:pPr>
        <w:spacing w:after="200"/>
        <w:jc w:val="center"/>
      </w:pPr>
      <w:r>
        <w:rPr>
          <w:i/>
          <w:iCs/>
          <w:color w:val="1F2A33"/>
          <w:sz w:val="23"/>
          <w:szCs w:val="23"/>
        </w:rPr>
        <w:t xml:space="preserve">Infinexa es la marca de quien construye valor con propósito en la nueva economía — y ayuda a otros a hacer lo mismo, con educación, criterio y comunidad.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4750"/>
          <w:sz w:val="21"/>
          <w:szCs w:val="21"/>
        </w:rPr>
        <w:t xml:space="preserve">Infinexa — Connecting Value with Purpose. Esta es tu marca personal de Builder. Las plataformas que promuevas, como Hand4Hand, conservan su propia identidad y lineamientos. Comunica siempre con transparencia y propósito.</w:t>
      </w:r>
    </w:p>
    <w:p>
      <w:pPr>
        <w:pBdr>
          <w:top w:val="single" w:color="C9D2D6" w:sz="4"/>
          <w:left w:val="single" w:color="C9D2D6" w:sz="4"/>
          <w:bottom w:val="single" w:color="C9D2D6" w:sz="4"/>
          <w:right w:val="single" w:color="C9D2D6" w:sz="4"/>
        </w:pBdr>
        <w:shd w:fill="EDF1F2" w:val="clear"/>
        <w:spacing w:after="220" w:before="100"/>
        <w:ind w:left="100" w:right="100"/>
      </w:pPr>
      <w:r>
        <w:rPr>
          <w:b/>
          <w:bCs/>
          <w:color w:val="C8682E"/>
          <w:sz w:val="20"/>
          <w:szCs w:val="20"/>
        </w:rPr>
        <w:t xml:space="preserve">↔ </w:t>
      </w:r>
      <w:r>
        <w:rPr>
          <w:color w:val="1F2A33"/>
          <w:sz w:val="20"/>
          <w:szCs w:val="20"/>
        </w:rPr>
        <w:t xml:space="preserve">Para especificaciones técnicas del símbolo, wordmark, paleta exacta y archivos vectoriales, ver el Brand Identity Brief (Documento 2 de 2).</w:t>
      </w:r>
    </w:p>
    <w:p>
      <w:pPr>
        <w:spacing w:before="400"/>
        <w:jc w:val="center"/>
      </w:pPr>
      <w:r>
        <w:rPr>
          <w:color w:val="1F2A33"/>
          <w:spacing w:val="40"/>
          <w:sz w:val="24"/>
          <w:szCs w:val="24"/>
        </w:rPr>
        <w:t xml:space="preserve">infinexa</w:t>
      </w:r>
    </w:p>
    <w:p>
      <w:pPr>
        <w:spacing w:before="60"/>
        <w:jc w:val="center"/>
      </w:pPr>
      <w:r>
        <w:rPr>
          <w:color w:val="C8682E"/>
          <w:spacing w:val="20"/>
          <w:sz w:val="16"/>
          <w:szCs w:val="16"/>
        </w:rPr>
        <w:t xml:space="preserve">connecting value with purpose</w:t>
      </w:r>
    </w:p>
    <w:p>
      <w:pPr>
        <w:spacing w:before="200"/>
        <w:jc w:val="center"/>
      </w:pPr>
      <w:r>
        <w:rPr>
          <w:color w:val="C9D2D6"/>
          <w:sz w:val="16"/>
          <w:szCs w:val="16"/>
        </w:rPr>
        <w:t xml:space="preserve">Manual de Marca v1.1  ·  Junio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C9D2D6"/>
        <w:sz w:val="16"/>
        <w:szCs w:val="16"/>
      </w:rPr>
      <w:t xml:space="preserve">infinexa.app</w:t>
    </w:r>
    <w:r>
      <w:t xml:space="preserve">	</w:t>
    </w:r>
    <w:r>
      <w:rPr>
        <w:color w:val="C9D2D6"/>
        <w:sz w:val="16"/>
        <w:szCs w:val="16"/>
      </w:rPr>
      <w:t xml:space="preserve">Página </w:t>
    </w:r>
    <w:r>
      <w:rPr>
        <w:color w:val="C9D2D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C9D2D6"/>
        <w:sz w:val="16"/>
        <w:szCs w:val="16"/>
      </w:rPr>
      <w:t xml:space="preserve">INFINEXA · Manual de Marca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C8682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  <w:rPr>
        <w:b/>
        <w:bCs/>
        <w:color w:val="1B4D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7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2D6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2A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B4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2026-06-20T01:59:21.668Z</dcterms:created>
  <dcterms:modified xsi:type="dcterms:W3CDTF">2026-06-20T01:59:21.668Z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