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10 Imanencia e Transcendencia</w:t>
      </w:r>
    </w:p>
    <w:p>
      <w:pPr>
        <w:jc w:val="center"/>
      </w:pPr>
      <w:r>
        <w:rPr>
          <w:b/>
          <w:sz w:val="26"/>
        </w:rPr>
        <w:t>Atividade 2 - Transcendência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Transcendência</w:t>
      </w:r>
    </w:p>
    <w:p>
      <w:r>
        <w:t>Transcendência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