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10 Imanencia e Transcendencia</w:t>
      </w:r>
    </w:p>
    <w:p>
      <w:pPr>
        <w:jc w:val="center"/>
      </w:pPr>
      <w:r>
        <w:rPr>
          <w:b/>
          <w:sz w:val="26"/>
        </w:rPr>
        <w:t>Atividade 1 - Imanência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Imanência</w:t>
      </w:r>
    </w:p>
    <w:p>
      <w:r>
        <w:t>Imanência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