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REVISÃO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Cores secundárias podem ser obtidas pela mistura de duas cores __________.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