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02 Simbolos e Espacos Sagrados</w:t>
      </w:r>
    </w:p>
    <w:p>
      <w:pPr>
        <w:jc w:val="center"/>
      </w:pPr>
      <w:r>
        <w:rPr>
          <w:b/>
          <w:sz w:val="26"/>
        </w:rPr>
        <w:t>Atividade 3 - Espaços de convivência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Espaços de convivência</w:t>
      </w:r>
    </w:p>
    <w:p>
      <w:r>
        <w:t>Espaços de convivência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