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04 Celebracoes e Festas</w:t>
      </w:r>
    </w:p>
    <w:p>
      <w:pPr>
        <w:jc w:val="center"/>
      </w:pPr>
      <w:r>
        <w:rPr>
          <w:b/>
          <w:sz w:val="26"/>
        </w:rPr>
        <w:t>Atividade 3 - Costumes das famílias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Costumes das famílias</w:t>
      </w:r>
    </w:p>
    <w:p>
      <w:r>
        <w:t>Costumes das famílias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