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02 Simbolos e Espacos Sagrados</w:t>
      </w:r>
    </w:p>
    <w:p>
      <w:pPr>
        <w:jc w:val="center"/>
      </w:pPr>
      <w:r>
        <w:rPr>
          <w:b/>
          <w:sz w:val="26"/>
        </w:rPr>
        <w:t>Atividade 4 - Espaços sagrados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Espaços sagrados</w:t>
      </w:r>
    </w:p>
    <w:p>
      <w:r>
        <w:t>Espaços sagrados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