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02 Simbolos e Espacos Sagrados</w:t>
      </w:r>
    </w:p>
    <w:p>
      <w:pPr>
        <w:jc w:val="center"/>
      </w:pPr>
      <w:r>
        <w:rPr>
          <w:b/>
          <w:sz w:val="26"/>
        </w:rPr>
        <w:t>Atividade 5 - Respeito aos símbolos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Respeito aos símbolos</w:t>
      </w:r>
    </w:p>
    <w:p>
      <w:r>
        <w:t>Respeito aos símbolos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