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10 Imanencia e Transcendencia</w:t>
      </w:r>
    </w:p>
    <w:p>
      <w:pPr>
        <w:jc w:val="center"/>
      </w:pPr>
      <w:r>
        <w:rPr>
          <w:b/>
          <w:sz w:val="26"/>
        </w:rPr>
        <w:t>Atividade 3 - Diferentes perspectivas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Diferentes perspectivas</w:t>
      </w:r>
    </w:p>
    <w:p>
      <w:r>
        <w:t>Diferentes perspectivas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