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</w:p>
    <w:p>
      <w:pPr>
        <w:spacing w:before="400" w:after="120"/>
      </w:pPr>
      <w:r>
        <w:rPr>
          <w:rFonts w:ascii="Arial" w:hAnsi="Arial"/>
          <w:b/>
          <w:color w:val="1B365D"/>
          <w:sz w:val="52"/>
        </w:rPr>
        <w:t>SISTEMA DE ANÁLISES OPERACIONAIS</w:t>
      </w:r>
    </w:p>
    <w:p>
      <w:pPr>
        <w:spacing w:before="0" w:after="480"/>
      </w:pPr>
      <w:r>
        <w:rPr>
          <w:rFonts w:ascii="Arial" w:hAnsi="Arial"/>
          <w:color w:val="007A87"/>
          <w:sz w:val="26"/>
        </w:rPr>
        <w:t>Manual Técnico Completo, Guia de Atualização de Dados e Procedimentos de Manutenção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Item de Controle</w:t>
            </w:r>
          </w:p>
        </w:tc>
        <w:tc>
          <w:tcPr>
            <w:tcW w:type="dxa" w:w="4968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Especificação</w:t>
            </w:r>
          </w:p>
        </w:tc>
      </w:tr>
      <w:tr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Projeto</w:t>
            </w:r>
          </w:p>
        </w:tc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Sistema Interno de Análises Operacionais</w:t>
            </w:r>
          </w:p>
        </w:tc>
      </w:tr>
      <w:tr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Ambiente Principal</w:t>
            </w:r>
          </w:p>
        </w:tc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Servidor Local Windows / Rede Interna da Empresa</w:t>
            </w:r>
          </w:p>
        </w:tc>
      </w:tr>
      <w:tr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Tecnologias</w:t>
            </w:r>
          </w:p>
        </w:tc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Django 5.2 (REST API) + React 19 (Frontend) + SQLite (WAL)</w:t>
            </w:r>
          </w:p>
        </w:tc>
      </w:tr>
      <w:tr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Versão do Manual</w:t>
            </w:r>
          </w:p>
        </w:tc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Versão 2.0 - Edição Definitiva de Transição Técnica</w:t>
            </w:r>
          </w:p>
        </w:tc>
      </w:tr>
      <w:tr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Data de Emissão</w:t>
            </w:r>
          </w:p>
        </w:tc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Outubro de 2026</w:t>
            </w:r>
          </w:p>
        </w:tc>
      </w:tr>
      <w:tr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Destinatários</w:t>
            </w:r>
          </w:p>
        </w:tc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Gestores Operacionais, Analistas e Suporte de TI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Sumário do Documento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Este manual está estruturado em 3 grandes partes para facilitar o uso por diferentes perfis de usuários na empresa: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PARTE 1: DOCUMENTAÇÃO TÉCNICA — </w:t>
      </w:r>
      <w:r>
        <w:rPr>
          <w:rFonts w:ascii="Calibri" w:hAnsi="Calibri"/>
          <w:color w:val="2D3748"/>
          <w:sz w:val="21"/>
        </w:rPr>
        <w:t>Arquitetura, servidores, banco SQLite em modo WAL, portas, tarefas agendadas, logs e auto-recuperação.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PARTE 2: GUIA PRÁTICO DE ATUALIZAÇÃO DE DADOS — </w:t>
      </w:r>
      <w:r>
        <w:rPr>
          <w:rFonts w:ascii="Calibri" w:hAnsi="Calibri"/>
          <w:color w:val="2D3748"/>
          <w:sz w:val="21"/>
        </w:rPr>
        <w:t>Passo a passo minucioso de onde extrair planilhas, onde clicar no sistema, como importar e como conferir os dados.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PARTE 3: ADMINISTRAÇÃO E PLANO DE CONTINGÊNCIA — </w:t>
      </w:r>
      <w:r>
        <w:rPr>
          <w:rFonts w:ascii="Calibri" w:hAnsi="Calibri"/>
          <w:color w:val="2D3748"/>
          <w:sz w:val="21"/>
        </w:rPr>
        <w:t>Rotinas de backup, restauração de emergência em 1 clique, diagnóstico de falhas e guia 'O que fazer se o sistema parar'.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1B365D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📌 OBJETIVO DESTE MANUAL: </w:t>
            </w:r>
            <w:r>
              <w:rPr>
                <w:rFonts w:ascii="Calibri" w:hAnsi="Calibri"/>
                <w:color w:val="2D3748"/>
                <w:sz w:val="20"/>
              </w:rPr>
              <w:t>Este documento foi elaborado para garantir a total autonomia da equipe operacional após a saída do desenvolvedor original. Guarde este arquivo em local seguro na rede interna e mantenha uma cópia impressa do Guia Rápido de Contingência próxima ao computador servidor.</w:t>
            </w:r>
          </w:p>
        </w:tc>
      </w:tr>
    </w:tbl>
    <w:p>
      <w:pPr>
        <w:spacing w:before="0" w:after="80"/>
      </w:pP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PARTE 1: Documentação Técnica (Como o Sistema Funciona)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1.1 Visão Geral da Arquitetura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Sistema de Análises Operacionais é uma aplicação web corporativa full-stack de alto desempenho, projetada para rodar em uma máquina servidora Windows e atender dezenas de computadores simultaneamente pela rede local (LAN).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Camada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Tecnologia Utilizada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Função no Sistema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Backend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Python 3.14.3 + Django 5.2.14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Regras de negócio, cálculos de folha, DSR, turnover e endpoints REST.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API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Django REST Framework 3.17.1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Comunicação padronizada em JSON entre o frontend e a base de dados.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Servidor WSGI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Waitress 3.0.2 (12 Threads)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Servidor HTTP multi-thread para Windows, garantindo alto volume de acessos sem travamento.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Frontend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React 19.2.6 + Vite + Tailwind 4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Interface moderna para o usuário, com gráficos, filtros dinâmicos e modais.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Banco de Dados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SQLite 3 (Modo WAL ativado)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Armazenamento relacional ultra-rápido com suporte a leituras concorrentes.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Arquivos Estáticos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WhiteNoise 6.7.0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Distribuição eficiente dos arquivos compilados de JavaScript, CSS e imagens.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Integrações Externas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GeoVictoria Cloud API v1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Sincronização em nuvem de faltas, atestados e batidas de ponto dos colaboradores.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Envio de E-mails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SMTP Gmail (Porta 587 TLS)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Disparo de convites de novos usuários e links de recuperação de senha.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1.2 Portas de Rede e Endereçamento IP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 aplicação utiliza portas TCP específicas conforme o ambiente executado: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Ambiente de Produção: </w:t>
      </w:r>
      <w:r>
        <w:rPr>
          <w:rFonts w:ascii="Calibri" w:hAnsi="Calibri"/>
          <w:color w:val="2D3748"/>
          <w:sz w:val="21"/>
        </w:rPr>
        <w:t>Porta 8000 (Backend Waitress) e Porta 5173 (Frontend React). O acesso pelos usuários da rede ocorre em: http://[IP_DO_SERVIDOR]:5173 ou http://[IP_DO_SERVIDOR]:8000.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Ambiente de Testes / Homologação: </w:t>
      </w:r>
      <w:r>
        <w:rPr>
          <w:rFonts w:ascii="Calibri" w:hAnsi="Calibri"/>
          <w:color w:val="2D3748"/>
          <w:sz w:val="21"/>
        </w:rPr>
        <w:t>Porta 8001 (Backend Waitress) e Porta 5174 (Frontend React). Utilizado para desenvolvimento, validações e homologação sem afetar a produção.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Detecção Dinâmica de Porta: </w:t>
      </w:r>
      <w:r>
        <w:rPr>
          <w:rFonts w:ascii="Calibri" w:hAnsi="Calibri"/>
          <w:color w:val="2D3748"/>
          <w:sz w:val="21"/>
        </w:rPr>
        <w:t>O cliente HTTP (Axios) detecta automaticamente em qual porta o usuário está navegando. Se o frontend abrir na porta 5174, ele se conecta automaticamente ao backend 8001; caso contrário, direciona para o backend 8000.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AF0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DD6B2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DD6B20"/>
                <w:sz w:val="21"/>
              </w:rPr>
              <w:t xml:space="preserve">📌 ATENÇÃO SOBRE O ENDEREÇO IP: </w:t>
            </w:r>
            <w:r>
              <w:rPr>
                <w:rFonts w:ascii="Calibri" w:hAnsi="Calibri"/>
                <w:color w:val="2D3748"/>
                <w:sz w:val="20"/>
              </w:rPr>
              <w:t>A máquina servidora está atualmente com IP dinâmico (DHCP). Solicite à equipe de TI a fixação de um IP Estático ou reserva DHCP por MAC Address para que o link do sistema nunca mude para os colaboradores.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1.3 O Banco de Dados SQLite em Modo WAL (Concorrência Máxima)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Diferente do SQLite padrão que bloqueia o arquivo a cada escrita, este sistema foi configurado no arquivo core/settings.py com parâmetros de engenharia de nível avançado: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journal_mode = WAL: </w:t>
      </w:r>
      <w:r>
        <w:rPr>
          <w:rFonts w:ascii="Calibri" w:hAnsi="Calibri"/>
          <w:color w:val="2D3748"/>
          <w:sz w:val="21"/>
        </w:rPr>
        <w:t>Permite que leitores nunca travem escritores e escritores nunca travem leitores. Vários usuários podem visualizar relatórios pesados enquanto importações acontecem.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busy_timeout = 30000: </w:t>
      </w:r>
      <w:r>
        <w:rPr>
          <w:rFonts w:ascii="Calibri" w:hAnsi="Calibri"/>
          <w:color w:val="2D3748"/>
          <w:sz w:val="21"/>
        </w:rPr>
        <w:t>Se duas escritas concorrerem no mesmo milissegundo, o sistema aguarda até 30 segundos em vez de emitir erro de 'database is locked'.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mmap_size = 268435456: </w:t>
      </w:r>
      <w:r>
        <w:rPr>
          <w:rFonts w:ascii="Calibri" w:hAnsi="Calibri"/>
          <w:color w:val="2D3748"/>
          <w:sz w:val="21"/>
        </w:rPr>
        <w:t>Aloca 256 MB de mapeamento em memória RAM para leituras quase instantâneas de índices e tabelas volumosas.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temp_store = MEMORY: </w:t>
      </w:r>
      <w:r>
        <w:rPr>
          <w:rFonts w:ascii="Calibri" w:hAnsi="Calibri"/>
          <w:color w:val="2D3748"/>
          <w:sz w:val="21"/>
        </w:rPr>
        <w:t>Mantém tabelas e ordenações temporárias diretamente na memória RAM, poupando desgaste de leitura e escrita em disco.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Arquivos gerados pelo banco de dados na pasta do projeto: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db.sqlite3: </w:t>
      </w:r>
      <w:r>
        <w:rPr>
          <w:rFonts w:ascii="Calibri" w:hAnsi="Calibri"/>
          <w:color w:val="2D3748"/>
          <w:sz w:val="21"/>
        </w:rPr>
        <w:t>O arquivo principal com todas as tabelas e dados cadastrais.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db.sqlite3-wal: </w:t>
      </w:r>
      <w:r>
        <w:rPr>
          <w:rFonts w:ascii="Calibri" w:hAnsi="Calibri"/>
          <w:color w:val="2D3748"/>
          <w:sz w:val="21"/>
        </w:rPr>
        <w:t>Arquivo temporário do Write-Ahead Log. Contém as gravações recentes que ainda não foram consolidadas no arquivo principal. NUNCA apague este arquivo enquanto o sistema estiver rodando!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db.sqlite3-shm: </w:t>
      </w:r>
      <w:r>
        <w:rPr>
          <w:rFonts w:ascii="Calibri" w:hAnsi="Calibri"/>
          <w:color w:val="2D3748"/>
          <w:sz w:val="21"/>
        </w:rPr>
        <w:t>Arquivo de memória compartilhada para controle de locks de processos.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1.4 Ciclo de Inicialização no Windows e Tarefas Agendadas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sistema foi configurado para ser iniciado de forma automatizada ao ligar o computador através do Agendador de Tarefas do Windows: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Tarefa Agendada 'Start Projeto Analises': </w:t>
      </w:r>
      <w:r>
        <w:rPr>
          <w:rFonts w:ascii="Calibri" w:hAnsi="Calibri"/>
          <w:color w:val="2D3748"/>
          <w:sz w:val="21"/>
        </w:rPr>
        <w:t>Disparada no logon do usuário. Executa o script que ativa o ambiente virtual Python e inicia o Waitress e o Vite.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Tarefa Agendada 'Desligamento Automático': </w:t>
      </w:r>
      <w:r>
        <w:rPr>
          <w:rFonts w:ascii="Calibri" w:hAnsi="Calibri"/>
          <w:color w:val="2D3748"/>
          <w:sz w:val="21"/>
        </w:rPr>
        <w:t>Disparada às 18:05:58 para encerrar a máquina fora do expediente comercial conforme a política corporativa da empresa.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novo inicializador inteligente iniciar_sistema.bat realiza 4 verificações automáticas antes de abrir os servidores: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Validação de Ambiente: </w:t>
      </w:r>
      <w:r>
        <w:rPr>
          <w:rFonts w:ascii="Calibri" w:hAnsi="Calibri"/>
          <w:color w:val="2D3748"/>
          <w:sz w:val="21"/>
        </w:rPr>
        <w:t>Valida se a pasta venv\Scripts\activate.bat existe. Se não existir, avisa o usuário com mensagem clara.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Backup Preventivo: </w:t>
      </w:r>
      <w:r>
        <w:rPr>
          <w:rFonts w:ascii="Calibri" w:hAnsi="Calibri"/>
          <w:color w:val="2D3748"/>
          <w:sz w:val="21"/>
        </w:rPr>
        <w:t>Gera uma cópia de segurança atômica do banco em backups/ antes de iniciar os processos.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Migrações Automáticas: </w:t>
      </w:r>
      <w:r>
        <w:rPr>
          <w:rFonts w:ascii="Calibri" w:hAnsi="Calibri"/>
          <w:color w:val="2D3748"/>
          <w:sz w:val="21"/>
        </w:rPr>
        <w:t>Executa 'python manage.py migrate --noinput' para garantir que qualquer alteração de estrutura de dados esteja aplicada.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4. Verificação de Porta: </w:t>
      </w:r>
      <w:r>
        <w:rPr>
          <w:rFonts w:ascii="Calibri" w:hAnsi="Calibri"/>
          <w:color w:val="2D3748"/>
          <w:sz w:val="21"/>
        </w:rPr>
        <w:t>Checa se a porta 8000 já está em uso para evitar conflito de instâncias duplicadas.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1.5 Monitoramento e Auto-Recuperação (Health Check e Watchdog)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sistema conta com dois mecanismos ativos de supervisão: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</w:t>
      </w:r>
      <w:r>
        <w:rPr>
          <w:rFonts w:ascii="Calibri" w:hAnsi="Calibri"/>
          <w:color w:val="2D3748"/>
          <w:sz w:val="21"/>
        </w:rPr>
        <w:t>Endpoint HTTP (/api/health/ e /health/): Retorna um JSON com status 200 contendo a integridade física do SQLite (PRAGMA quick_check), uso de disco, latência e status da rede.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</w:t>
      </w:r>
      <w:r>
        <w:rPr>
          <w:rFonts w:ascii="Calibri" w:hAnsi="Calibri"/>
          <w:color w:val="2D3748"/>
          <w:sz w:val="21"/>
        </w:rPr>
        <w:t>Supervisor de Auto-Recuperação (watchdog.py): Script independente que consulta a saúde da API a cada 30 segundos. Se o backend travar por 3 vezes consecutivas (90 segundos), ele encerra processos órfãos, testa a integridade do banco e reinicia o serviço automaticamente.</w:t>
      </w: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PARTE 2: Guia Prático de Atualização de Dados e Importações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Esta seção foi escrita em linguagem direta e operacional para que qualquer membro da equipe consiga atualizar os números do sistema periodicamente, mesmo sem conhecimento de programação.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2.1 Resumo dos Módulos e Arquivos Aceitos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Módulo</w:t>
            </w:r>
          </w:p>
        </w:tc>
        <w:tc>
          <w:tcPr>
            <w:tcW w:type="dxa" w:w="1987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Arquivo Necessário</w:t>
            </w:r>
          </w:p>
        </w:tc>
        <w:tc>
          <w:tcPr>
            <w:tcW w:type="dxa" w:w="1987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Formato</w:t>
            </w:r>
          </w:p>
        </w:tc>
        <w:tc>
          <w:tcPr>
            <w:tcW w:type="dxa" w:w="1987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Origem dos Dados</w:t>
            </w:r>
          </w:p>
        </w:tc>
        <w:tc>
          <w:tcPr>
            <w:tcW w:type="dxa" w:w="1987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Frequência Recomendada</w:t>
            </w:r>
          </w:p>
        </w:tc>
      </w:tr>
      <w:tr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Headcount / Colaboradores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Relatório SRA010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.CSV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TOTVS Protheus (RH)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Semanal ou Mensal</w:t>
            </w:r>
          </w:p>
        </w:tc>
      </w:tr>
      <w:tr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Ponto &amp; Ausências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Relatório de Batidas / API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.XLSX ou API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GeoVictoria Ponto Eletrônico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Semanal</w:t>
            </w:r>
          </w:p>
        </w:tc>
      </w:tr>
      <w:tr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Turnover / Rescisões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Termos de Rescisão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.CSV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Planilha de Homologações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Mensal</w:t>
            </w:r>
          </w:p>
        </w:tc>
      </w:tr>
      <w:tr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Valores de Rescisão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Relatório GPER020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.XML ou .XLSX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TOTVS Protheus (Folha)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Mensal</w:t>
            </w:r>
          </w:p>
        </w:tc>
      </w:tr>
      <w:tr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Folha de Pagamento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Relatório SRD (Folha)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.CSV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TOTVS Protheus (Folha)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Mensal (após fechamento)</w:t>
            </w:r>
          </w:p>
        </w:tc>
      </w:tr>
      <w:tr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De-Para de Verbas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DE_PARA_DE_VERBAS_2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.XLSX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Pasta de Rede F:\TOTVS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Sempre que houver nova verba</w:t>
            </w:r>
          </w:p>
        </w:tc>
      </w:tr>
      <w:tr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Diárias Operacionais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Base Sistema + Base Manual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.CSV e .XLSX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Sistema Operacional + Planilhas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Mensal</w:t>
            </w:r>
          </w:p>
        </w:tc>
      </w:tr>
      <w:tr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Prêmios Operacionais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Base Sistema + Base Manual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.XLSX (ambos)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Apuração de Metas Comerciais</w:t>
            </w:r>
          </w:p>
        </w:tc>
        <w:tc>
          <w:tcPr>
            <w:tcW w:type="dxa" w:w="1987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Mensal</w:t>
            </w:r>
          </w:p>
        </w:tc>
      </w:tr>
      <w:tr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Escopos Mensais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Cadastro no Sistema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Interface Web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Definição da Gerência</w:t>
            </w:r>
          </w:p>
        </w:tc>
        <w:tc>
          <w:tcPr>
            <w:tcW w:type="dxa" w:w="1987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Mensal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2.2 Importação de Headcount e Colaboradores (TOTVS SRA)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 importação de colaboradores é a espinha dorsal do sistema. Ela atualiza a lista de funcionários ativos, cargos, lojas de lotação e datas de admissão/demissão.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Onde importar: </w:t>
      </w:r>
      <w:r>
        <w:rPr>
          <w:rFonts w:ascii="Calibri" w:hAnsi="Calibri"/>
          <w:color w:val="2D3748"/>
          <w:sz w:val="21"/>
        </w:rPr>
        <w:t>Acesse o sistema e vá em Menu Lateral &gt; Configurações ou Colaboradores &gt; Importar Colaboradores.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Arquivo esperado: </w:t>
      </w:r>
      <w:r>
        <w:rPr>
          <w:rFonts w:ascii="Calibri" w:hAnsi="Calibri"/>
          <w:color w:val="2D3748"/>
          <w:sz w:val="21"/>
        </w:rPr>
        <w:t>Arquivo CSV exportado da tabela SRA010 do Protheus.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Colunas fundamentais: </w:t>
      </w:r>
      <w:r>
        <w:rPr>
          <w:rFonts w:ascii="Calibri" w:hAnsi="Calibri"/>
          <w:color w:val="2D3748"/>
          <w:sz w:val="21"/>
        </w:rPr>
        <w:t>Matrícula/RE, Nome do Colaborador, CPF, Centro de Custo, Cargo, Data de Admissão, Data de Demissão e Situação da Folha.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Como o sistema processa: </w:t>
      </w:r>
      <w:r>
        <w:rPr>
          <w:rFonts w:ascii="Calibri" w:hAnsi="Calibri"/>
          <w:color w:val="2D3748"/>
          <w:sz w:val="21"/>
        </w:rPr>
        <w:t>O sistema lê o Centro de Custo e associa automaticamente o funcionário à filial correspondente cadastrada no módulo de Lojas.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FF4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38A169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38A169"/>
                <w:sz w:val="21"/>
              </w:rPr>
              <w:t xml:space="preserve">📌 DICA DE FORMATAÇÃO DO CSV: </w:t>
            </w:r>
            <w:r>
              <w:rPr>
                <w:rFonts w:ascii="Calibri" w:hAnsi="Calibri"/>
                <w:color w:val="2D3748"/>
                <w:sz w:val="20"/>
              </w:rPr>
              <w:t>Certifique-se de salvar o arquivo CSV com codificação UTF-8 ou ISO-8859-1 (Padrão Windows ANSI). Se o arquivo contiver acentos desformatados, o sistema possui decodificador inteligente integrado para corrigir automaticamente.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2.3 Ponto Eletrônico e Ausências (GeoVictoria)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sistema monitora absenteísmo (faltas não justificadas, atestados médicos e suspensões). Existem duas formas de atualizar: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Opção A (Automática via API): </w:t>
      </w:r>
      <w:r>
        <w:rPr>
          <w:rFonts w:ascii="Calibri" w:hAnsi="Calibri"/>
          <w:color w:val="2D3748"/>
          <w:sz w:val="21"/>
        </w:rPr>
        <w:t>Na tela de Ausências ou Colaboradores, clique no botão 'Sincronizar GeoVictoria'. O sistema se conecta diretamente aos servidores da GeoVictoria via internet e baixa as ocorrências dos últimos 30 dias de forma 100% automática.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Opção B (Manual via Excel): </w:t>
      </w:r>
      <w:r>
        <w:rPr>
          <w:rFonts w:ascii="Calibri" w:hAnsi="Calibri"/>
          <w:color w:val="2D3748"/>
          <w:sz w:val="21"/>
        </w:rPr>
        <w:t>Caso a internet esteja instável ou precise de dados retroativos maiores que 30 dias, exporte a planilha de batidas/marcas da GeoVictoria em formato Excel (.xlsx) e faça o upload na opção 'Importar Relatório de Marcas'.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2.4 Turnover e Rescisões de Contrato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módulo de Turnover analisa a rotatividade da empresa, motivos de desligamento e custos médios rescisórios.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1 (Motivos de Demissão): </w:t>
      </w:r>
      <w:r>
        <w:rPr>
          <w:rFonts w:ascii="Calibri" w:hAnsi="Calibri"/>
          <w:color w:val="2D3748"/>
          <w:sz w:val="21"/>
        </w:rPr>
        <w:t>Suba a planilha CSV contendo a relação de termos de rescisão. O sistema lê as colunas de RE/CPF, data de desligamento e motivo amigável (ex.: 'Pedido de Demissão', 'Dispensa Sem Justa Causa', 'Término de Contrato').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2 (Valores Financeiros - GPER020): </w:t>
      </w:r>
      <w:r>
        <w:rPr>
          <w:rFonts w:ascii="Calibri" w:hAnsi="Calibri"/>
          <w:color w:val="2D3748"/>
          <w:sz w:val="21"/>
        </w:rPr>
        <w:t>Suba o arquivo XML ou Excel do relatório GPER020 gerado pelo Protheus. O sistema lê automaticamente a 'Página 2' do relatório, onde constam os valores líquidos e totais pagos na rescisão, vinculando o custo exato a cada demissão.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2.5 Folha de Pagamento e Raio-X de Verbas (TOTVS SRD)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módulo de Raio-X da Folha cruza todos os proventos e descontos da folha de pagamento corporativa para identificar desvios e gastos extraordinários: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Mapeamento de Verbas (De-Para): </w:t>
      </w:r>
      <w:r>
        <w:rPr>
          <w:rFonts w:ascii="Calibri" w:hAnsi="Calibri"/>
          <w:color w:val="2D3748"/>
          <w:sz w:val="21"/>
        </w:rPr>
        <w:t>O sistema utiliza o arquivo oficial localizado no servidor de rede em F:\05 - publica\TOTVS_PROTHEUS\DE_PARA_DE_VERBAS_2.xlsx. Cada código de verba (ex: '001', '005') é classificado como Provento, Desconto ou Verba Extraordinária.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Upload do Arquivo SRD: </w:t>
      </w:r>
      <w:r>
        <w:rPr>
          <w:rFonts w:ascii="Calibri" w:hAnsi="Calibri"/>
          <w:color w:val="2D3748"/>
          <w:sz w:val="21"/>
        </w:rPr>
        <w:t>Acesse Menu &gt; Importações &gt; Folha de Pagamento (SRD). Envie o arquivo CSV da folha do mês fechado.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Consolidação Automática: </w:t>
      </w:r>
      <w:r>
        <w:rPr>
          <w:rFonts w:ascii="Calibri" w:hAnsi="Calibri"/>
          <w:color w:val="2D3748"/>
          <w:sz w:val="21"/>
        </w:rPr>
        <w:t>O sistema agrupa os custos por loja, calcula o total da folha e gera o indicador de 'Desvio de Folha' em relação ao quadro planejado no Escopo.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2.6 Diárias e Prêmios Operacionais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Esses dois módulos utilizam um padrão de Unificação de Bases: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Base do Sistema: </w:t>
      </w:r>
      <w:r>
        <w:rPr>
          <w:rFonts w:ascii="Calibri" w:hAnsi="Calibri"/>
          <w:color w:val="2D3748"/>
          <w:sz w:val="21"/>
        </w:rPr>
        <w:t>Uma base gerada automaticamente pelo sistema com os valores pré-aprovados.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Base Manual: </w:t>
      </w:r>
      <w:r>
        <w:rPr>
          <w:rFonts w:ascii="Calibri" w:hAnsi="Calibri"/>
          <w:color w:val="2D3748"/>
          <w:sz w:val="21"/>
        </w:rPr>
        <w:t>Uma planilha Excel preenchida pela gestão com ajustes manuais, exceções ou pagamentos extras.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Procedimento de Carga: </w:t>
      </w:r>
      <w:r>
        <w:rPr>
          <w:rFonts w:ascii="Calibri" w:hAnsi="Calibri"/>
          <w:color w:val="2D3748"/>
          <w:sz w:val="21"/>
        </w:rPr>
        <w:t>Na tela de importação de Diárias e Prêmios, envie os dois arquivos simultaneamente. O sistema cruza os registros pelo CPF/RE, remove duplicidades e grava a visão unificada oficial.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2.7 Escopos Mensais de Loja e Cálculo de DSR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Escopo define o número ideal de colaboradores por função que cada loja tem autorização para manter. A cada virada de mês, a gestão deve configurar o escopo do novo mês: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Duplicação Inteligente: </w:t>
      </w:r>
      <w:r>
        <w:rPr>
          <w:rFonts w:ascii="Calibri" w:hAnsi="Calibri"/>
          <w:color w:val="2D3748"/>
          <w:sz w:val="21"/>
        </w:rPr>
        <w:t>Para não precisar recadastrar loja por loja todo mês, clique no botão 'Duplicar para o Próximo Mês'. O sistema clona automaticamente todos os cargos, quantidades autorizadas e valores de insalubridade do mês anterior para o novo mês selecionado.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Configuração de DSR: </w:t>
      </w:r>
      <w:r>
        <w:rPr>
          <w:rFonts w:ascii="Calibri" w:hAnsi="Calibri"/>
          <w:color w:val="2D3748"/>
          <w:sz w:val="21"/>
        </w:rPr>
        <w:t>O sistema permite definir valores fixos de DSR ou percentuais por estado (UF) e cargo diretamente na interface.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2.8 Gestão de Testes de Promoção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Permite que supervisores coloquem colaboradores em período de experiência para promoção de cargo: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Abertura: </w:t>
      </w:r>
      <w:r>
        <w:rPr>
          <w:rFonts w:ascii="Calibri" w:hAnsi="Calibri"/>
          <w:color w:val="2D3748"/>
          <w:sz w:val="21"/>
        </w:rPr>
        <w:t>Abra o teste selecionando o colaborador, a data de início e o cargo pretendido.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Anexos: </w:t>
      </w:r>
      <w:r>
        <w:rPr>
          <w:rFonts w:ascii="Calibri" w:hAnsi="Calibri"/>
          <w:color w:val="2D3748"/>
          <w:sz w:val="21"/>
        </w:rPr>
        <w:t>Faça o upload do formulário assinado de avaliação. O arquivo é armazenado no diretório seguro de rede.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Conclusão: </w:t>
      </w:r>
      <w:r>
        <w:rPr>
          <w:rFonts w:ascii="Calibri" w:hAnsi="Calibri"/>
          <w:color w:val="2D3748"/>
          <w:sz w:val="21"/>
        </w:rPr>
        <w:t>O supervisor registra a aprovação ou reprovação do teste, atualizando automaticamente o histórico de carreira do colaborador.</w:t>
      </w: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PARTE 3: Administração e Plano de Contingência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3.1 O Painel de Emergência (menu_emergencia.bat)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Para que qualquer pessoa consiga operar e reparar o sistema sem digitar comandos complexos no terminal, foi criado o menu interativo menu_emergencia.bat na raiz do projeto. Ele contém 8 opções diretas: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Opção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Nome da Ação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O que faz quando acionada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[1]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Iniciar Sistema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Executa backup prévio, roda migrações e inicia backend e frontend.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[2]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Parar Sistema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Fecha todos os processos de Python e Node.js em execução com segurança.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[3]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Reiniciar Sistema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Encerra processos travados e reinicia a aplicação do zero em 5 segundos.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[4]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Fazer Backup Agora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Gera uma cópia imediata, atômica e validada do SQLite na pasta backups/.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[5]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Restaurar Último Backup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Substitui o banco atual pelo último backup íntegro em caso de falha grave.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[6]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Gerar Diagnóstico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Executa testes de porta, rede, banco e abre o relatório diagnostico.txt.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[7]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Iniciar Watchdog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Abre o supervisor de auto-recuperação contínua em segundo plano.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[8]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Sair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Fecha o menu do painel de emergência.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3.2 Guia de Ação Rápida: 'O que fazer se o sistema cair?'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Se nenhum colaborador conseguir acessar o sistema pela rede local, siga estritamente os 4 passos abaixo: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1: Verificação Física — </w:t>
      </w:r>
      <w:r>
        <w:rPr>
          <w:rFonts w:ascii="Calibri" w:hAnsi="Calibri"/>
          <w:color w:val="2D3748"/>
          <w:sz w:val="21"/>
        </w:rPr>
        <w:t>Vá até o computador servidor na empresa. Verifique se ele está com a luz acesa, monitor funcionando e o cabo azul/amarelo de rede firmemente plugado atrás do gabinete.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2: Reinício do Serviço — </w:t>
      </w:r>
      <w:r>
        <w:rPr>
          <w:rFonts w:ascii="Calibri" w:hAnsi="Calibri"/>
          <w:color w:val="2D3748"/>
          <w:sz w:val="21"/>
        </w:rPr>
        <w:t>Na Área de Trabalho ou na pasta do sistema, dê um duplo clique no arquivo 'menu_emergencia.bat' e digite o número 3 (Reiniciar Sistema). Aguarde 10 segundos até as janelas pretas abrirem e estabilizarem.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3: Checagem de IP — </w:t>
      </w:r>
      <w:r>
        <w:rPr>
          <w:rFonts w:ascii="Calibri" w:hAnsi="Calibri"/>
          <w:color w:val="2D3748"/>
          <w:sz w:val="21"/>
        </w:rPr>
        <w:t>Abra o navegador em outro computador e tente acessar: http://[IP_DO_SERVIDOR]:5173 ou :8000. Se ainda não abrir, execute o arquivo 'diagnostico.bat'. O arquivo 'diagnostico.txt' será aberto na tela. Verifique a linha 'Endereço IPv4'. Se o número do IP tiver mudado (ex: de 10.1.1.111 para 10.1.1.115), avise os usuários sobre o novo endereço.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4: Restauração de Emergência — </w:t>
      </w:r>
      <w:r>
        <w:rPr>
          <w:rFonts w:ascii="Calibri" w:hAnsi="Calibri"/>
          <w:color w:val="2D3748"/>
          <w:sz w:val="21"/>
        </w:rPr>
        <w:t>Se o sistema informar erro de banco de dados ou tela branca, execute 'restaurar_backup.bat' e confirme com a letra 'S'. O sistema restaurará a base íntegra mais recente sem perda dos dados históricos.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3.3 Procedimento Seguro de Atualização de Código (Git)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Quando houver novas funcionalidades ou correções disponibilizadas no GitHub, a atualização deve seguir este roteiro de segurança: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Acessar Diretório: </w:t>
      </w:r>
      <w:r>
        <w:rPr>
          <w:rFonts w:ascii="Calibri" w:hAnsi="Calibri"/>
          <w:color w:val="2D3748"/>
          <w:sz w:val="21"/>
        </w:rPr>
        <w:t>Abra o Prompt de Comando na pasta do sistema.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Backup Preventivo: </w:t>
      </w:r>
      <w:r>
        <w:rPr>
          <w:rFonts w:ascii="Calibri" w:hAnsi="Calibri"/>
          <w:color w:val="2D3748"/>
          <w:sz w:val="21"/>
        </w:rPr>
        <w:t>Execute: python manage.py backup_db (Garante uma cópia de segurança antes de qualquer alteração).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Baixar Versão: </w:t>
      </w:r>
      <w:r>
        <w:rPr>
          <w:rFonts w:ascii="Calibri" w:hAnsi="Calibri"/>
          <w:color w:val="2D3748"/>
          <w:sz w:val="21"/>
        </w:rPr>
        <w:t>Execute: git pull origin main (Baixa os códigos novos do repositório).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4. Atualizar Banco: </w:t>
      </w:r>
      <w:r>
        <w:rPr>
          <w:rFonts w:ascii="Calibri" w:hAnsi="Calibri"/>
          <w:color w:val="2D3748"/>
          <w:sz w:val="21"/>
        </w:rPr>
        <w:t>Execute: python manage.py migrate (Aplica eventuais novas tabelas ou colunas no banco).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5. Compilar Frontend: </w:t>
      </w:r>
      <w:r>
        <w:rPr>
          <w:rFonts w:ascii="Calibri" w:hAnsi="Calibri"/>
          <w:color w:val="2D3748"/>
          <w:sz w:val="21"/>
        </w:rPr>
        <w:t>Se houver alterações no frontend React, execute: cd frontend &amp;&amp; yarn build &amp;&amp; cd ..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6. Reinicializar: </w:t>
      </w:r>
      <w:r>
        <w:rPr>
          <w:rFonts w:ascii="Calibri" w:hAnsi="Calibri"/>
          <w:color w:val="2D3748"/>
          <w:sz w:val="21"/>
        </w:rPr>
        <w:t>Abra menu_emergencia.bat e escolha a opção [3] Reiniciar Sistema.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3.4 Tabela de Contatos e Serviços de Apoio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Serviço / Fornecedor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Contato / Canal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Finalidade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TI Corporativo / Infraestrutura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Suporte Interno de TI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Fixação de IP, liberação de portas de firewall e rede F:\.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GeoVictoria Brasil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customerapi.geovictoria.com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API de Ponto Eletrônico, suporte de credenciais e tokens.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TOTVS Protheus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Equipe Interna Protheus / RH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Geração de relatórios SRA010, SRD de folha e GPER020.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Repositório de Código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github.com/RyMont/analises-operacionais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Código-fonte oficial, histórico de commits e documentação.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Termo de Encerramento e Entrega da Documentação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Este manual consolida todas as informações necessárias para a manutenção autônoma, segura e contínua do Sistema de Análises Operacionais. A arquitetura foi reforçada com mecanismos de auto-recuperação, logs rotativos, integridade física de dados e ferramentas simplificadas de 1-clique.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Recomenda-se que os responsáveis pela operação leiam atentamente a Parte 2 antes de cada ciclo mensal de fechamento e que os analistas responsáveis pela infraestrutura mantenham o monitoramento através do endpoint /api/health/.</w:t>
      </w:r>
    </w:p>
    <w:p>
      <w:pPr>
        <w:spacing w:before="800" w:after="80"/>
      </w:pPr>
      <w:r>
        <w:rPr>
          <w:color w:val="718096"/>
        </w:rPr>
        <w:t>____________________________________________________</w:t>
        <w:br/>
      </w:r>
      <w:r>
        <w:rPr>
          <w:b/>
          <w:color w:val="1B365D"/>
        </w:rPr>
        <w:t>Equipe de Desenvolvimento e Análises Operacionais</w:t>
        <w:br/>
      </w:r>
      <w:r>
        <w:rPr>
          <w:color w:val="007A87"/>
        </w:rPr>
        <w:t>Sistema Entregue com Arquitetura Resiliente e Documentada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