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193A" w14:textId="11A79D37" w:rsidR="00F47D8E" w:rsidRDefault="00F47D8E" w:rsidP="00741F2F">
      <w:pPr>
        <w:pStyle w:val="Heading1"/>
      </w:pPr>
      <w:r>
        <w:t>Data Privacy Impact Assessment (DPIA)</w:t>
      </w:r>
    </w:p>
    <w:p w14:paraId="77CD8EB8" w14:textId="4EFBF7CB" w:rsidR="00F47D8E" w:rsidRDefault="00F47D8E" w:rsidP="00F47D8E">
      <w:pPr>
        <w:spacing w:after="0"/>
      </w:pPr>
      <w:r>
        <w:t>Project Name: [Insert Project Name]</w:t>
      </w:r>
    </w:p>
    <w:p w14:paraId="42881244" w14:textId="68D643F4" w:rsidR="00F47D8E" w:rsidRDefault="00F47D8E" w:rsidP="00F47D8E">
      <w:pPr>
        <w:spacing w:after="0"/>
      </w:pPr>
      <w:r>
        <w:t>Date: [Insert Date]</w:t>
      </w:r>
    </w:p>
    <w:p w14:paraId="7EF9C035" w14:textId="119D61E7" w:rsidR="00F47D8E" w:rsidRDefault="00F47D8E" w:rsidP="00F47D8E">
      <w:r>
        <w:t>Version: [Insert Version Number]</w:t>
      </w:r>
    </w:p>
    <w:p w14:paraId="73276793" w14:textId="00F636F2" w:rsidR="00F47D8E" w:rsidRPr="00F47D8E" w:rsidRDefault="00F47D8E" w:rsidP="00F47D8E">
      <w:pPr>
        <w:spacing w:after="0"/>
        <w:rPr>
          <w:b/>
        </w:rPr>
      </w:pPr>
      <w:r w:rsidRPr="00F47D8E">
        <w:rPr>
          <w:b/>
        </w:rPr>
        <w:t>1. Introduction</w:t>
      </w:r>
    </w:p>
    <w:p w14:paraId="03165F2B" w14:textId="77777777" w:rsidR="00F47D8E" w:rsidRDefault="00F47D8E" w:rsidP="00F47D8E">
      <w:r>
        <w:t xml:space="preserve">This Data Privacy Impact Assessment (DPIA) evaluates the potential impact of data </w:t>
      </w:r>
      <w:bookmarkStart w:id="0" w:name="_GoBack"/>
      <w:r>
        <w:t xml:space="preserve">processing </w:t>
      </w:r>
      <w:bookmarkEnd w:id="0"/>
      <w:r>
        <w:t>activities on individuals' privacy within the [Insert Project Name]. The DPIA ensures that data processing complies with relevant privacy regulations, such as the General Data Protection Regulation (GDPR), and identifies measures to mitigate privacy risks. This assessment is a critical component of the project’s data governance framework, designed to protect individuals' rights and maintain organizational accountability.</w:t>
      </w:r>
    </w:p>
    <w:p w14:paraId="1800523C" w14:textId="190CDF97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2. Purpose and Scope</w:t>
      </w:r>
    </w:p>
    <w:p w14:paraId="71587077" w14:textId="239FD9F5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2.1 Purpose</w:t>
      </w:r>
    </w:p>
    <w:p w14:paraId="5DE454F9" w14:textId="77777777" w:rsidR="00F47D8E" w:rsidRDefault="00F47D8E" w:rsidP="00F47D8E">
      <w:r>
        <w:t>The purpose of this DPIA is to:</w:t>
      </w:r>
    </w:p>
    <w:p w14:paraId="69AE538A" w14:textId="33171FE9" w:rsidR="00F47D8E" w:rsidRDefault="00F47D8E" w:rsidP="00B17566">
      <w:pPr>
        <w:pStyle w:val="ListParagraph"/>
        <w:numPr>
          <w:ilvl w:val="0"/>
          <w:numId w:val="2"/>
        </w:numPr>
      </w:pPr>
      <w:r>
        <w:t>Identify and assess the privacy risks associated with data processing activities within the [Insert Project Name].</w:t>
      </w:r>
    </w:p>
    <w:p w14:paraId="5FC7C96B" w14:textId="4673A9C1" w:rsidR="00F47D8E" w:rsidRDefault="00F47D8E" w:rsidP="00B17566">
      <w:pPr>
        <w:pStyle w:val="ListParagraph"/>
        <w:numPr>
          <w:ilvl w:val="0"/>
          <w:numId w:val="2"/>
        </w:numPr>
      </w:pPr>
      <w:r>
        <w:t>Ensure compliance with applicable privacy regulations, including GDPR.</w:t>
      </w:r>
    </w:p>
    <w:p w14:paraId="0E870A7B" w14:textId="67BA5E69" w:rsidR="00F47D8E" w:rsidRDefault="00F47D8E" w:rsidP="00B17566">
      <w:pPr>
        <w:pStyle w:val="ListParagraph"/>
        <w:numPr>
          <w:ilvl w:val="0"/>
          <w:numId w:val="2"/>
        </w:numPr>
      </w:pPr>
      <w:r>
        <w:t>Develop and implement measures to mitigate identified privacy risks.</w:t>
      </w:r>
    </w:p>
    <w:p w14:paraId="6DA9C6C8" w14:textId="109D5FE4" w:rsidR="00F47D8E" w:rsidRDefault="00F47D8E" w:rsidP="00B17566">
      <w:pPr>
        <w:pStyle w:val="ListParagraph"/>
        <w:numPr>
          <w:ilvl w:val="0"/>
          <w:numId w:val="2"/>
        </w:numPr>
      </w:pPr>
      <w:r>
        <w:t>Provide documentation that demonstrates the organization’s commitment to protecting individuals' privacy rights.</w:t>
      </w:r>
    </w:p>
    <w:p w14:paraId="01295051" w14:textId="66736D76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2.2 Scope</w:t>
      </w:r>
    </w:p>
    <w:p w14:paraId="3DBDCEFA" w14:textId="77777777" w:rsidR="00F47D8E" w:rsidRDefault="00F47D8E" w:rsidP="00F47D8E">
      <w:r>
        <w:t>This DPIA covers all data processing activities within the [Insert Project Name], including the collection, storage, use, sharing, and deletion of personal data. The assessment applies to structured and unstructured data, and includes data collected from internal and external sources.</w:t>
      </w:r>
    </w:p>
    <w:p w14:paraId="4245D923" w14:textId="30EB1C40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3. Data Processing Overview</w:t>
      </w:r>
    </w:p>
    <w:p w14:paraId="1F79C778" w14:textId="425DA6FC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3.1 Description of Data Processing Activities</w:t>
      </w:r>
    </w:p>
    <w:p w14:paraId="1E326E1F" w14:textId="77777777" w:rsidR="00F47D8E" w:rsidRDefault="00F47D8E" w:rsidP="00F47D8E">
      <w:r>
        <w:t>This section provides a detailed description of the data processing activities involved in the [Insert Project Name].</w:t>
      </w:r>
    </w:p>
    <w:p w14:paraId="0A484CD0" w14:textId="371719E6" w:rsidR="00F47D8E" w:rsidRDefault="00F47D8E" w:rsidP="00B17566">
      <w:pPr>
        <w:pStyle w:val="ListParagraph"/>
        <w:numPr>
          <w:ilvl w:val="0"/>
          <w:numId w:val="2"/>
        </w:numPr>
      </w:pPr>
      <w:r>
        <w:t>Data Categories: [List of personal data categories being processed, e.g., Name, Email Address, Health Information]</w:t>
      </w:r>
    </w:p>
    <w:p w14:paraId="12B781C9" w14:textId="67524186" w:rsidR="00F47D8E" w:rsidRDefault="00F47D8E" w:rsidP="00B17566">
      <w:pPr>
        <w:pStyle w:val="ListParagraph"/>
        <w:numPr>
          <w:ilvl w:val="0"/>
          <w:numId w:val="2"/>
        </w:numPr>
      </w:pPr>
      <w:r>
        <w:t>Processing Purpose: [Describe the purpose of data processing, e.g., Personalization of services, Data analysis, ML model training]</w:t>
      </w:r>
    </w:p>
    <w:p w14:paraId="24FAB4AB" w14:textId="499BA089" w:rsidR="00F47D8E" w:rsidRDefault="00F47D8E" w:rsidP="00B17566">
      <w:pPr>
        <w:pStyle w:val="ListParagraph"/>
        <w:numPr>
          <w:ilvl w:val="0"/>
          <w:numId w:val="2"/>
        </w:numPr>
      </w:pPr>
      <w:r>
        <w:t>Data Sources: [List of data sources, e.g., Internal databases, Third-party providers, User inputs]</w:t>
      </w:r>
    </w:p>
    <w:p w14:paraId="40F1C3E3" w14:textId="497F29A8" w:rsidR="00F47D8E" w:rsidRDefault="00F47D8E" w:rsidP="00B17566">
      <w:pPr>
        <w:pStyle w:val="ListParagraph"/>
        <w:numPr>
          <w:ilvl w:val="0"/>
          <w:numId w:val="2"/>
        </w:numPr>
      </w:pPr>
      <w:r>
        <w:t>Data Flow: [Brief description of how data moves through the system, from collection to processing and storage]</w:t>
      </w:r>
    </w:p>
    <w:p w14:paraId="656C7F12" w14:textId="58FF4473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3.2 Legal Basis for Processing</w:t>
      </w:r>
    </w:p>
    <w:p w14:paraId="3D33BA20" w14:textId="77777777" w:rsidR="00F47D8E" w:rsidRDefault="00F47D8E" w:rsidP="00F47D8E">
      <w:r>
        <w:t>This section identifies the legal basis for processing personal data under GDPR, ensuring that data processing activities are lawful.</w:t>
      </w:r>
    </w:p>
    <w:p w14:paraId="10625F85" w14:textId="56549207" w:rsidR="00F47D8E" w:rsidRDefault="00F47D8E" w:rsidP="00B17566">
      <w:pPr>
        <w:pStyle w:val="ListParagraph"/>
        <w:numPr>
          <w:ilvl w:val="0"/>
          <w:numId w:val="2"/>
        </w:numPr>
      </w:pPr>
      <w:r>
        <w:t>Legal Basis: [Specify the legal basis for processing, e.g., Consent, Contractual necessity, Legitimate interests]</w:t>
      </w:r>
    </w:p>
    <w:p w14:paraId="28F73B59" w14:textId="6AADE46D" w:rsidR="00F47D8E" w:rsidRDefault="00F47D8E" w:rsidP="00B17566">
      <w:pPr>
        <w:pStyle w:val="ListParagraph"/>
        <w:numPr>
          <w:ilvl w:val="0"/>
          <w:numId w:val="2"/>
        </w:numPr>
      </w:pPr>
      <w:r>
        <w:t>Consent Management: [Describe how consent is obtained, recorded, and managed, if applicable]</w:t>
      </w:r>
    </w:p>
    <w:p w14:paraId="2FAC8A7E" w14:textId="497777C1" w:rsidR="00F47D8E" w:rsidRDefault="00F47D8E" w:rsidP="00B17566">
      <w:pPr>
        <w:pStyle w:val="ListParagraph"/>
        <w:numPr>
          <w:ilvl w:val="0"/>
          <w:numId w:val="2"/>
        </w:numPr>
      </w:pPr>
      <w:r>
        <w:lastRenderedPageBreak/>
        <w:t>Data Subject Rights: [Outline how data subjects can exercise their rights, such as access, rectification, or deletion]</w:t>
      </w:r>
    </w:p>
    <w:p w14:paraId="6FCAD898" w14:textId="4FD9DC5E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4. Privacy Risk Assessment</w:t>
      </w:r>
    </w:p>
    <w:p w14:paraId="7664C3C6" w14:textId="064A019C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4.1 Risk Identification</w:t>
      </w:r>
    </w:p>
    <w:p w14:paraId="247F2910" w14:textId="77777777" w:rsidR="00F47D8E" w:rsidRDefault="00F47D8E" w:rsidP="00F47D8E">
      <w:r>
        <w:t>This section identifies potential privacy risks associated with the data processing activities.</w:t>
      </w:r>
    </w:p>
    <w:p w14:paraId="529912AD" w14:textId="1ABE435F" w:rsidR="00F47D8E" w:rsidRDefault="00F47D8E" w:rsidP="00B17566">
      <w:pPr>
        <w:pStyle w:val="ListParagraph"/>
        <w:numPr>
          <w:ilvl w:val="0"/>
          <w:numId w:val="2"/>
        </w:numPr>
      </w:pPr>
      <w:r>
        <w:t>Risk 1: [Describe the first identified risk, e.g., Unauthorized access to personal data]</w:t>
      </w:r>
    </w:p>
    <w:p w14:paraId="556E5A5A" w14:textId="0C1CF0D5" w:rsidR="00F47D8E" w:rsidRDefault="00F47D8E" w:rsidP="00B17566">
      <w:pPr>
        <w:pStyle w:val="ListParagraph"/>
        <w:numPr>
          <w:ilvl w:val="0"/>
          <w:numId w:val="2"/>
        </w:numPr>
      </w:pPr>
      <w:r>
        <w:t>Risk 2: [Describe the second identified risk, e.g., Data breaches resulting in the exposure of sensitive information]</w:t>
      </w:r>
    </w:p>
    <w:p w14:paraId="058D10EE" w14:textId="62EF2462" w:rsidR="00F47D8E" w:rsidRDefault="00F47D8E" w:rsidP="00B17566">
      <w:pPr>
        <w:pStyle w:val="ListParagraph"/>
        <w:numPr>
          <w:ilvl w:val="0"/>
          <w:numId w:val="2"/>
        </w:numPr>
      </w:pPr>
      <w:r>
        <w:t>Risk 3: [Describe the third identified risk, e.g., Inadequate data anonymization leading to re-identification of individuals]</w:t>
      </w:r>
    </w:p>
    <w:p w14:paraId="1AE2B932" w14:textId="5E9DB4D5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4.2 Risk Evaluation</w:t>
      </w:r>
    </w:p>
    <w:p w14:paraId="7AE59EDF" w14:textId="77777777" w:rsidR="00F47D8E" w:rsidRDefault="00F47D8E" w:rsidP="00F47D8E">
      <w:r>
        <w:t>This section evaluates the identified risks based on their potential impact on individuals' privacy and the likelihood of occurrence.</w:t>
      </w:r>
    </w:p>
    <w:tbl>
      <w:tblPr>
        <w:tblStyle w:val="GridTable4"/>
        <w:tblW w:w="6781" w:type="dxa"/>
        <w:tblLook w:val="04A0" w:firstRow="1" w:lastRow="0" w:firstColumn="1" w:lastColumn="0" w:noHBand="0" w:noVBand="1"/>
      </w:tblPr>
      <w:tblGrid>
        <w:gridCol w:w="3681"/>
        <w:gridCol w:w="971"/>
        <w:gridCol w:w="1240"/>
        <w:gridCol w:w="1180"/>
      </w:tblGrid>
      <w:tr w:rsidR="00654DCD" w:rsidRPr="00654DCD" w14:paraId="0FDCFDF7" w14:textId="77777777" w:rsidTr="00654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14:paraId="3CED9EEF" w14:textId="77777777" w:rsidR="00654DCD" w:rsidRPr="00654DCD" w:rsidRDefault="00654DCD" w:rsidP="00654DCD">
            <w:pPr>
              <w:rPr>
                <w:rFonts w:ascii="Calibri" w:eastAsia="Times New Roman" w:hAnsi="Calibri" w:cs="Calibri"/>
                <w:color w:val="FFFFFF"/>
              </w:rPr>
            </w:pPr>
            <w:r w:rsidRPr="00654DCD">
              <w:rPr>
                <w:rFonts w:ascii="Calibri" w:eastAsia="Times New Roman" w:hAnsi="Calibri" w:cs="Calibri"/>
                <w:color w:val="FFFFFF"/>
              </w:rPr>
              <w:t>Risk</w:t>
            </w:r>
          </w:p>
        </w:tc>
        <w:tc>
          <w:tcPr>
            <w:tcW w:w="680" w:type="dxa"/>
            <w:noWrap/>
            <w:hideMark/>
          </w:tcPr>
          <w:p w14:paraId="02F6FBFD" w14:textId="77777777" w:rsidR="00654DCD" w:rsidRPr="00654DCD" w:rsidRDefault="00654DCD" w:rsidP="00654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654DCD">
              <w:rPr>
                <w:rFonts w:ascii="Calibri" w:eastAsia="Times New Roman" w:hAnsi="Calibri" w:cs="Calibri"/>
                <w:color w:val="FFFFFF"/>
              </w:rPr>
              <w:t>Impact</w:t>
            </w:r>
          </w:p>
        </w:tc>
        <w:tc>
          <w:tcPr>
            <w:tcW w:w="1240" w:type="dxa"/>
            <w:noWrap/>
            <w:hideMark/>
          </w:tcPr>
          <w:p w14:paraId="582DBF1F" w14:textId="77777777" w:rsidR="00654DCD" w:rsidRPr="00654DCD" w:rsidRDefault="00654DCD" w:rsidP="00654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654DCD">
              <w:rPr>
                <w:rFonts w:ascii="Calibri" w:eastAsia="Times New Roman" w:hAnsi="Calibri" w:cs="Calibri"/>
                <w:color w:val="FFFFFF"/>
              </w:rPr>
              <w:t>Likelihood</w:t>
            </w:r>
          </w:p>
        </w:tc>
        <w:tc>
          <w:tcPr>
            <w:tcW w:w="1180" w:type="dxa"/>
            <w:noWrap/>
            <w:hideMark/>
          </w:tcPr>
          <w:p w14:paraId="6E09FA87" w14:textId="77777777" w:rsidR="00654DCD" w:rsidRPr="00654DCD" w:rsidRDefault="00654DCD" w:rsidP="00654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654DCD">
              <w:rPr>
                <w:rFonts w:ascii="Calibri" w:eastAsia="Times New Roman" w:hAnsi="Calibri" w:cs="Calibri"/>
                <w:color w:val="FFFFFF"/>
              </w:rPr>
              <w:t>Risk Level</w:t>
            </w:r>
          </w:p>
        </w:tc>
      </w:tr>
      <w:tr w:rsidR="00654DCD" w:rsidRPr="00654DCD" w14:paraId="37B102C9" w14:textId="77777777" w:rsidTr="00654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14:paraId="2C079604" w14:textId="77777777" w:rsidR="00654DCD" w:rsidRPr="00654DCD" w:rsidRDefault="00654DCD" w:rsidP="00654DCD">
            <w:pPr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Unauthorized access to personal data</w:t>
            </w:r>
          </w:p>
        </w:tc>
        <w:tc>
          <w:tcPr>
            <w:tcW w:w="680" w:type="dxa"/>
            <w:noWrap/>
            <w:hideMark/>
          </w:tcPr>
          <w:p w14:paraId="3A12F484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240" w:type="dxa"/>
            <w:noWrap/>
            <w:hideMark/>
          </w:tcPr>
          <w:p w14:paraId="043B365C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80" w:type="dxa"/>
            <w:noWrap/>
            <w:hideMark/>
          </w:tcPr>
          <w:p w14:paraId="6EA1290E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54DCD" w:rsidRPr="00654DCD" w14:paraId="05DA3D46" w14:textId="77777777" w:rsidTr="00654D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14:paraId="1CC4A6DF" w14:textId="77777777" w:rsidR="00654DCD" w:rsidRPr="00654DCD" w:rsidRDefault="00654DCD" w:rsidP="00654DCD">
            <w:pPr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Data breaches</w:t>
            </w:r>
          </w:p>
        </w:tc>
        <w:tc>
          <w:tcPr>
            <w:tcW w:w="680" w:type="dxa"/>
            <w:noWrap/>
            <w:hideMark/>
          </w:tcPr>
          <w:p w14:paraId="3F428849" w14:textId="77777777" w:rsidR="00654DCD" w:rsidRPr="00654DCD" w:rsidRDefault="00654DCD" w:rsidP="0065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240" w:type="dxa"/>
            <w:noWrap/>
            <w:hideMark/>
          </w:tcPr>
          <w:p w14:paraId="76733919" w14:textId="77777777" w:rsidR="00654DCD" w:rsidRPr="00654DCD" w:rsidRDefault="00654DCD" w:rsidP="0065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80" w:type="dxa"/>
            <w:noWrap/>
            <w:hideMark/>
          </w:tcPr>
          <w:p w14:paraId="3D627974" w14:textId="77777777" w:rsidR="00654DCD" w:rsidRPr="00654DCD" w:rsidRDefault="00654DCD" w:rsidP="0065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54DCD" w:rsidRPr="00654DCD" w14:paraId="6B707E08" w14:textId="77777777" w:rsidTr="00654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14:paraId="206D49A6" w14:textId="77777777" w:rsidR="00654DCD" w:rsidRPr="00654DCD" w:rsidRDefault="00654DCD" w:rsidP="00654DCD">
            <w:pPr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Inadequate data anonymization</w:t>
            </w:r>
          </w:p>
        </w:tc>
        <w:tc>
          <w:tcPr>
            <w:tcW w:w="680" w:type="dxa"/>
            <w:noWrap/>
            <w:hideMark/>
          </w:tcPr>
          <w:p w14:paraId="1BAF2705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40" w:type="dxa"/>
            <w:noWrap/>
            <w:hideMark/>
          </w:tcPr>
          <w:p w14:paraId="2978A9C2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80" w:type="dxa"/>
            <w:noWrap/>
            <w:hideMark/>
          </w:tcPr>
          <w:p w14:paraId="15154122" w14:textId="77777777" w:rsidR="00654DCD" w:rsidRPr="00654DCD" w:rsidRDefault="00654DCD" w:rsidP="0065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54D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</w:tbl>
    <w:p w14:paraId="0AFCCF9C" w14:textId="75C84C38" w:rsidR="00F47D8E" w:rsidRDefault="00F47D8E" w:rsidP="00B17566">
      <w:pPr>
        <w:pStyle w:val="ListParagraph"/>
        <w:numPr>
          <w:ilvl w:val="0"/>
          <w:numId w:val="2"/>
        </w:numPr>
        <w:spacing w:before="240"/>
        <w:ind w:left="357" w:hanging="357"/>
      </w:pPr>
      <w:r>
        <w:t>Impact: The potential consequences for individuals if the risk materializes.</w:t>
      </w:r>
    </w:p>
    <w:p w14:paraId="1FB53970" w14:textId="50FF967C" w:rsidR="00F47D8E" w:rsidRDefault="00F47D8E" w:rsidP="00B17566">
      <w:pPr>
        <w:pStyle w:val="ListParagraph"/>
        <w:numPr>
          <w:ilvl w:val="0"/>
          <w:numId w:val="2"/>
        </w:numPr>
      </w:pPr>
      <w:r>
        <w:t>Likelihood: The probability of the risk occurring.</w:t>
      </w:r>
    </w:p>
    <w:p w14:paraId="06694626" w14:textId="7625D8C0" w:rsidR="00F47D8E" w:rsidRDefault="00F47D8E" w:rsidP="00B17566">
      <w:pPr>
        <w:pStyle w:val="ListParagraph"/>
        <w:numPr>
          <w:ilvl w:val="0"/>
          <w:numId w:val="2"/>
        </w:numPr>
      </w:pPr>
      <w:r>
        <w:t>Risk Level: A combined assessment of impact and likelihood, indicating the overall risk level.</w:t>
      </w:r>
    </w:p>
    <w:p w14:paraId="2511FA3D" w14:textId="66D82F0D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5. Mitigation Measures</w:t>
      </w:r>
    </w:p>
    <w:p w14:paraId="1928E74F" w14:textId="6D885D8A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5.1 Implemented Measures</w:t>
      </w:r>
    </w:p>
    <w:p w14:paraId="658F2098" w14:textId="77777777" w:rsidR="00F47D8E" w:rsidRDefault="00F47D8E" w:rsidP="00F47D8E">
      <w:r>
        <w:t>This section outlines the measures implemented to mitigate the identified privacy risks.</w:t>
      </w:r>
    </w:p>
    <w:p w14:paraId="0AE3773C" w14:textId="5ABE5445" w:rsidR="00F47D8E" w:rsidRDefault="00F47D8E" w:rsidP="00B17566">
      <w:pPr>
        <w:pStyle w:val="ListParagraph"/>
        <w:numPr>
          <w:ilvl w:val="0"/>
          <w:numId w:val="2"/>
        </w:numPr>
      </w:pPr>
      <w:r>
        <w:t>Measure 1: [Describe the first mitigation measure, e.g., Implementation of role-based access control (RBAC) to prevent unauthorized data access]</w:t>
      </w:r>
    </w:p>
    <w:p w14:paraId="5361EB4C" w14:textId="00324DED" w:rsidR="00F47D8E" w:rsidRDefault="00F47D8E" w:rsidP="00B17566">
      <w:pPr>
        <w:pStyle w:val="ListParagraph"/>
        <w:numPr>
          <w:ilvl w:val="0"/>
          <w:numId w:val="2"/>
        </w:numPr>
      </w:pPr>
      <w:r>
        <w:t>Measure 2: [Describe the second mitigation measure, e.g., Encryption of sensitive data both at rest and in transit]</w:t>
      </w:r>
    </w:p>
    <w:p w14:paraId="6E8CACC8" w14:textId="461D06B1" w:rsidR="00F47D8E" w:rsidRDefault="00F47D8E" w:rsidP="00B17566">
      <w:pPr>
        <w:pStyle w:val="ListParagraph"/>
        <w:numPr>
          <w:ilvl w:val="0"/>
          <w:numId w:val="2"/>
        </w:numPr>
      </w:pPr>
      <w:r>
        <w:t>Measure 3: [Describe the third mitigation measure, e.g., Use of advanced anonymization techniques to protect individual identities]</w:t>
      </w:r>
    </w:p>
    <w:p w14:paraId="527F7655" w14:textId="773FA656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5.2 Additional Measures</w:t>
      </w:r>
    </w:p>
    <w:p w14:paraId="28E9B407" w14:textId="77777777" w:rsidR="00F47D8E" w:rsidRDefault="00F47D8E" w:rsidP="00F47D8E">
      <w:r>
        <w:t>This section recommends additional measures to further reduce privacy risks.</w:t>
      </w:r>
    </w:p>
    <w:p w14:paraId="72194104" w14:textId="6F8A17E5" w:rsidR="00F47D8E" w:rsidRDefault="00F47D8E" w:rsidP="00B17566">
      <w:pPr>
        <w:pStyle w:val="ListParagraph"/>
        <w:numPr>
          <w:ilvl w:val="0"/>
          <w:numId w:val="2"/>
        </w:numPr>
      </w:pPr>
      <w:r>
        <w:t>Measure 4: [Describe the fourth mitigation measure, e.g., Regular privacy impact assessments and audits]</w:t>
      </w:r>
    </w:p>
    <w:p w14:paraId="4DE02AF7" w14:textId="48DF4CD6" w:rsidR="00F47D8E" w:rsidRDefault="00F47D8E" w:rsidP="00B17566">
      <w:pPr>
        <w:pStyle w:val="ListParagraph"/>
        <w:numPr>
          <w:ilvl w:val="0"/>
          <w:numId w:val="2"/>
        </w:numPr>
      </w:pPr>
      <w:r>
        <w:t>Measure 5: [Describe the fifth mitigation measure, e.g., Enhanced monitoring and logging of data access activities]</w:t>
      </w:r>
    </w:p>
    <w:p w14:paraId="2BDD30F4" w14:textId="50EE7FC2" w:rsidR="00F47D8E" w:rsidRDefault="00F47D8E" w:rsidP="00B17566">
      <w:pPr>
        <w:pStyle w:val="ListParagraph"/>
        <w:numPr>
          <w:ilvl w:val="0"/>
          <w:numId w:val="2"/>
        </w:numPr>
      </w:pPr>
      <w:r>
        <w:t>Measure 6: [Describe the sixth mitigation measure, e.g., Training programs on data privacy for all employees involved in the project]</w:t>
      </w:r>
    </w:p>
    <w:p w14:paraId="5E7F1724" w14:textId="049A7E66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6. Data Subject Rights</w:t>
      </w:r>
    </w:p>
    <w:p w14:paraId="54920080" w14:textId="1E131398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6.1 Overview of Data Subject Rights</w:t>
      </w:r>
    </w:p>
    <w:p w14:paraId="67B9E156" w14:textId="77777777" w:rsidR="00F47D8E" w:rsidRDefault="00F47D8E" w:rsidP="00F47D8E">
      <w:r>
        <w:t>This section outlines the rights of data subjects under GDPR and how these rights are respected in the [Insert Project Name].</w:t>
      </w:r>
    </w:p>
    <w:p w14:paraId="52B11EBA" w14:textId="113A9155" w:rsidR="00F47D8E" w:rsidRDefault="00F47D8E" w:rsidP="00B17566">
      <w:pPr>
        <w:pStyle w:val="ListParagraph"/>
        <w:numPr>
          <w:ilvl w:val="0"/>
          <w:numId w:val="2"/>
        </w:numPr>
      </w:pPr>
      <w:r>
        <w:lastRenderedPageBreak/>
        <w:t>Right to Access: [Describe how individuals can request access to their personal data]</w:t>
      </w:r>
    </w:p>
    <w:p w14:paraId="6FF4A46D" w14:textId="35117AB6" w:rsidR="00F47D8E" w:rsidRDefault="00F47D8E" w:rsidP="00B17566">
      <w:pPr>
        <w:pStyle w:val="ListParagraph"/>
        <w:numPr>
          <w:ilvl w:val="0"/>
          <w:numId w:val="2"/>
        </w:numPr>
      </w:pPr>
      <w:r>
        <w:t>Right to Rectification: [Describe how individuals can request correction of inaccurate or incomplete data]</w:t>
      </w:r>
    </w:p>
    <w:p w14:paraId="1754E828" w14:textId="26052DD4" w:rsidR="00F47D8E" w:rsidRDefault="00F47D8E" w:rsidP="00B17566">
      <w:pPr>
        <w:pStyle w:val="ListParagraph"/>
        <w:numPr>
          <w:ilvl w:val="0"/>
          <w:numId w:val="2"/>
        </w:numPr>
      </w:pPr>
      <w:r>
        <w:t>Right to Erasure (Right to be Forgotten): [Describe how individuals can request the deletion of their personal data]</w:t>
      </w:r>
    </w:p>
    <w:p w14:paraId="2F5AF211" w14:textId="0C6DB155" w:rsidR="00F47D8E" w:rsidRDefault="00F47D8E" w:rsidP="00B17566">
      <w:pPr>
        <w:pStyle w:val="ListParagraph"/>
        <w:numPr>
          <w:ilvl w:val="0"/>
          <w:numId w:val="2"/>
        </w:numPr>
      </w:pPr>
      <w:r>
        <w:t>Right to Data Portability: [Describe how individuals can request the transfer of their data to another controller]</w:t>
      </w:r>
    </w:p>
    <w:p w14:paraId="4F053E1B" w14:textId="0548164F" w:rsidR="00F47D8E" w:rsidRDefault="00F47D8E" w:rsidP="00B17566">
      <w:pPr>
        <w:pStyle w:val="ListParagraph"/>
        <w:numPr>
          <w:ilvl w:val="0"/>
          <w:numId w:val="2"/>
        </w:numPr>
      </w:pPr>
      <w:r>
        <w:t>Right to Object: [Describe how individuals can object to the processing of their data, particularly for direct marketing]</w:t>
      </w:r>
    </w:p>
    <w:p w14:paraId="20527826" w14:textId="4C1F2F56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6.2 Procedures for Exercising Rights</w:t>
      </w:r>
    </w:p>
    <w:p w14:paraId="79332CC5" w14:textId="77777777" w:rsidR="00F47D8E" w:rsidRDefault="00F47D8E" w:rsidP="00F47D8E">
      <w:r>
        <w:t>This section describes the procedures in place for individuals to exercise their rights.</w:t>
      </w:r>
    </w:p>
    <w:p w14:paraId="0E0FB3CD" w14:textId="00AF0DF3" w:rsidR="00F47D8E" w:rsidRDefault="00F47D8E" w:rsidP="00B17566">
      <w:pPr>
        <w:pStyle w:val="ListParagraph"/>
        <w:numPr>
          <w:ilvl w:val="0"/>
          <w:numId w:val="2"/>
        </w:numPr>
      </w:pPr>
      <w:r>
        <w:t>Request Submission: [Explain how data subjects can submit requests, e.g., through a web portal, email, or in writing]</w:t>
      </w:r>
    </w:p>
    <w:p w14:paraId="0B7168FD" w14:textId="51E29F93" w:rsidR="00F47D8E" w:rsidRDefault="00F47D8E" w:rsidP="00B17566">
      <w:pPr>
        <w:pStyle w:val="ListParagraph"/>
        <w:numPr>
          <w:ilvl w:val="0"/>
          <w:numId w:val="2"/>
        </w:numPr>
      </w:pPr>
      <w:r>
        <w:t>Verification Process: [Describe the process for verifying the identity of the data subject making the request]</w:t>
      </w:r>
    </w:p>
    <w:p w14:paraId="18D55727" w14:textId="2D0CF29E" w:rsidR="00F47D8E" w:rsidRDefault="00F47D8E" w:rsidP="00B17566">
      <w:pPr>
        <w:pStyle w:val="ListParagraph"/>
        <w:numPr>
          <w:ilvl w:val="0"/>
          <w:numId w:val="2"/>
        </w:numPr>
      </w:pPr>
      <w:r>
        <w:t>Response Timeframe: [Specify the timeframe within which the organization will respond to requests, e.g., within 30 days]</w:t>
      </w:r>
    </w:p>
    <w:p w14:paraId="4B7D3135" w14:textId="5AB37FE0" w:rsidR="00F47D8E" w:rsidRDefault="00F47D8E" w:rsidP="00B17566">
      <w:pPr>
        <w:pStyle w:val="ListParagraph"/>
        <w:numPr>
          <w:ilvl w:val="0"/>
          <w:numId w:val="2"/>
        </w:numPr>
      </w:pPr>
      <w:r>
        <w:t>Handling Objections: [Describe how objections to data processing are handled and resolved]</w:t>
      </w:r>
    </w:p>
    <w:p w14:paraId="4B830802" w14:textId="6C558E1A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7. Compliance and Documentation</w:t>
      </w:r>
    </w:p>
    <w:p w14:paraId="61C3DD6E" w14:textId="3E72F9FB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7.1 Regulatory Compliance</w:t>
      </w:r>
    </w:p>
    <w:p w14:paraId="1498B424" w14:textId="77777777" w:rsidR="00F47D8E" w:rsidRDefault="00F47D8E" w:rsidP="00F47D8E">
      <w:r>
        <w:t>This section ensures that the data processing activities comply with GDPR and other relevant regulations.</w:t>
      </w:r>
    </w:p>
    <w:p w14:paraId="55E2DBB0" w14:textId="03203ED6" w:rsidR="00F47D8E" w:rsidRDefault="00F47D8E" w:rsidP="00B17566">
      <w:pPr>
        <w:pStyle w:val="ListParagraph"/>
        <w:numPr>
          <w:ilvl w:val="0"/>
          <w:numId w:val="2"/>
        </w:numPr>
      </w:pPr>
      <w:r>
        <w:t>Compliance Checks: [Describe the process for regularly checking compliance with GDPR, e.g., internal audits, external reviews]</w:t>
      </w:r>
    </w:p>
    <w:p w14:paraId="7B12CA46" w14:textId="6AA28174" w:rsidR="00F47D8E" w:rsidRDefault="00F47D8E" w:rsidP="00B17566">
      <w:pPr>
        <w:pStyle w:val="ListParagraph"/>
        <w:numPr>
          <w:ilvl w:val="0"/>
          <w:numId w:val="2"/>
        </w:numPr>
      </w:pPr>
      <w:r>
        <w:t>Documentation Requirements: [List the documents required for demonstrating compliance, e.g., consent records, DPIA reports, data processing agreements]</w:t>
      </w:r>
    </w:p>
    <w:p w14:paraId="22C86216" w14:textId="3319FEFE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7.2 Record-Keeping</w:t>
      </w:r>
    </w:p>
    <w:p w14:paraId="2EEFF153" w14:textId="77777777" w:rsidR="00F47D8E" w:rsidRDefault="00F47D8E" w:rsidP="00F47D8E">
      <w:r>
        <w:t>This section outlines the record-keeping practices to ensure compliance and accountability.</w:t>
      </w:r>
    </w:p>
    <w:p w14:paraId="0210E562" w14:textId="6B8EEDB9" w:rsidR="00F47D8E" w:rsidRDefault="00F47D8E" w:rsidP="00B17566">
      <w:pPr>
        <w:pStyle w:val="ListParagraph"/>
        <w:numPr>
          <w:ilvl w:val="0"/>
          <w:numId w:val="2"/>
        </w:numPr>
      </w:pPr>
      <w:r>
        <w:t>Records of Processing Activities: [Describe the records maintained for processing activities, as required by Article 30 of GDPR]</w:t>
      </w:r>
    </w:p>
    <w:p w14:paraId="5D3C80E5" w14:textId="666C2735" w:rsidR="00F47D8E" w:rsidRDefault="00F47D8E" w:rsidP="00B17566">
      <w:pPr>
        <w:pStyle w:val="ListParagraph"/>
        <w:numPr>
          <w:ilvl w:val="0"/>
          <w:numId w:val="2"/>
        </w:numPr>
      </w:pPr>
      <w:r>
        <w:t>Data Breach Records: [Describe how data breaches are documented and reported to supervisory authorities]</w:t>
      </w:r>
    </w:p>
    <w:p w14:paraId="7529B60B" w14:textId="2DD3B92B" w:rsidR="00F47D8E" w:rsidRDefault="00F47D8E" w:rsidP="00B17566">
      <w:pPr>
        <w:pStyle w:val="ListParagraph"/>
        <w:numPr>
          <w:ilvl w:val="0"/>
          <w:numId w:val="2"/>
        </w:numPr>
      </w:pPr>
      <w:r>
        <w:t>DPIA Documentation: [Explain how DPIA reports and related documentation are stored and managed]</w:t>
      </w:r>
    </w:p>
    <w:p w14:paraId="2FAA0461" w14:textId="1EF59250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8. Review and Updates</w:t>
      </w:r>
    </w:p>
    <w:p w14:paraId="730901B8" w14:textId="64E3E69E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t>8.1 Regular Reviews</w:t>
      </w:r>
    </w:p>
    <w:p w14:paraId="328FCF03" w14:textId="77777777" w:rsidR="00F47D8E" w:rsidRDefault="00F47D8E" w:rsidP="00F47D8E">
      <w:r>
        <w:t>This section describes the process for regularly reviewing and updating the DPIA to ensure its relevance and effectiveness.</w:t>
      </w:r>
    </w:p>
    <w:p w14:paraId="347A6821" w14:textId="6BF10B78" w:rsidR="00F47D8E" w:rsidRDefault="00F47D8E" w:rsidP="00B17566">
      <w:pPr>
        <w:pStyle w:val="ListParagraph"/>
        <w:numPr>
          <w:ilvl w:val="0"/>
          <w:numId w:val="2"/>
        </w:numPr>
      </w:pPr>
      <w:r>
        <w:t>Review Frequency: [Specify how often the DPIA will be reviewed, e.g., annually, biannually]</w:t>
      </w:r>
    </w:p>
    <w:p w14:paraId="56F99566" w14:textId="22AD087C" w:rsidR="00F47D8E" w:rsidRDefault="00F47D8E" w:rsidP="00B17566">
      <w:pPr>
        <w:pStyle w:val="ListParagraph"/>
        <w:numPr>
          <w:ilvl w:val="0"/>
          <w:numId w:val="2"/>
        </w:numPr>
      </w:pPr>
      <w:r>
        <w:t>Responsible Parties: [List the roles responsible for conducting the review, e.g., Data Protection Officer, Compliance Team]</w:t>
      </w:r>
    </w:p>
    <w:p w14:paraId="3FE55AF9" w14:textId="0E0B9156" w:rsidR="00F47D8E" w:rsidRDefault="00F47D8E" w:rsidP="00B17566">
      <w:pPr>
        <w:pStyle w:val="ListParagraph"/>
        <w:numPr>
          <w:ilvl w:val="0"/>
          <w:numId w:val="2"/>
        </w:numPr>
      </w:pPr>
      <w:r>
        <w:t>Update Triggers: [Describe situations that may trigger an update to the DPIA, e.g., changes in data processing activities, new regulatory requirements]</w:t>
      </w:r>
    </w:p>
    <w:p w14:paraId="11895301" w14:textId="1A0B27E5" w:rsidR="00F47D8E" w:rsidRPr="00654DCD" w:rsidRDefault="00F47D8E" w:rsidP="00654DCD">
      <w:pPr>
        <w:spacing w:after="0"/>
        <w:rPr>
          <w:b/>
        </w:rPr>
      </w:pPr>
      <w:r w:rsidRPr="00654DCD">
        <w:rPr>
          <w:b/>
        </w:rPr>
        <w:lastRenderedPageBreak/>
        <w:t>8.2 Continuous Monitoring</w:t>
      </w:r>
    </w:p>
    <w:p w14:paraId="6974FD4E" w14:textId="77777777" w:rsidR="00F47D8E" w:rsidRDefault="00F47D8E" w:rsidP="00F47D8E">
      <w:r>
        <w:t>This section outlines the continuous monitoring of data processing activities to identify and address emerging privacy risks.</w:t>
      </w:r>
    </w:p>
    <w:p w14:paraId="0750E92F" w14:textId="61A00A18" w:rsidR="00F47D8E" w:rsidRDefault="00F47D8E" w:rsidP="00B17566">
      <w:pPr>
        <w:pStyle w:val="ListParagraph"/>
        <w:numPr>
          <w:ilvl w:val="0"/>
          <w:numId w:val="2"/>
        </w:numPr>
      </w:pPr>
      <w:r>
        <w:t>Monitoring Tools: [Describe the tools and technologies used for monitoring data processing activities]</w:t>
      </w:r>
    </w:p>
    <w:p w14:paraId="460E7682" w14:textId="1FC23871" w:rsidR="00F47D8E" w:rsidRDefault="00F47D8E" w:rsidP="00B17566">
      <w:pPr>
        <w:pStyle w:val="ListParagraph"/>
        <w:numPr>
          <w:ilvl w:val="0"/>
          <w:numId w:val="2"/>
        </w:numPr>
      </w:pPr>
      <w:r>
        <w:t>Incident Reporting: [Explain the process for reporting and responding to privacy incidents identified during monitoring]</w:t>
      </w:r>
    </w:p>
    <w:p w14:paraId="33E5292D" w14:textId="7B9510D3" w:rsidR="00F47D8E" w:rsidRDefault="00F47D8E" w:rsidP="00B17566">
      <w:pPr>
        <w:pStyle w:val="ListParagraph"/>
        <w:numPr>
          <w:ilvl w:val="0"/>
          <w:numId w:val="2"/>
        </w:numPr>
      </w:pPr>
      <w:r>
        <w:t>Feedback Mechanism: [Describe how feedback from data subjects and stakeholders is collected and used to improve privacy practices]</w:t>
      </w:r>
    </w:p>
    <w:p w14:paraId="172110B9" w14:textId="788AB6E9" w:rsidR="00F47D8E" w:rsidRPr="00654DCD" w:rsidRDefault="00654DCD" w:rsidP="00654DCD">
      <w:pPr>
        <w:spacing w:after="0"/>
        <w:rPr>
          <w:b/>
        </w:rPr>
      </w:pPr>
      <w:r w:rsidRPr="00654DCD">
        <w:rPr>
          <w:b/>
        </w:rPr>
        <w:t>9</w:t>
      </w:r>
      <w:r w:rsidR="00F47D8E" w:rsidRPr="00654DCD">
        <w:rPr>
          <w:b/>
        </w:rPr>
        <w:t>. Document Control</w:t>
      </w:r>
    </w:p>
    <w:p w14:paraId="7CAEFFB5" w14:textId="544B6DB3" w:rsidR="00F47D8E" w:rsidRDefault="00F47D8E" w:rsidP="00B17566">
      <w:pPr>
        <w:pStyle w:val="ListParagraph"/>
        <w:numPr>
          <w:ilvl w:val="0"/>
          <w:numId w:val="2"/>
        </w:numPr>
      </w:pPr>
      <w:r>
        <w:t>Document Owner: [Insert Name, Role]</w:t>
      </w:r>
    </w:p>
    <w:p w14:paraId="6094AD60" w14:textId="0D8E0059" w:rsidR="00F47D8E" w:rsidRDefault="00F47D8E" w:rsidP="00B17566">
      <w:pPr>
        <w:pStyle w:val="ListParagraph"/>
        <w:numPr>
          <w:ilvl w:val="0"/>
          <w:numId w:val="2"/>
        </w:numPr>
      </w:pPr>
      <w:r>
        <w:t>Approval Date: [Insert Date]</w:t>
      </w:r>
    </w:p>
    <w:p w14:paraId="42CC27FF" w14:textId="51486587" w:rsidR="00F47D8E" w:rsidRDefault="00F47D8E" w:rsidP="00B17566">
      <w:pPr>
        <w:pStyle w:val="ListParagraph"/>
        <w:numPr>
          <w:ilvl w:val="0"/>
          <w:numId w:val="2"/>
        </w:numPr>
      </w:pPr>
      <w:r>
        <w:t>Next Review Date: [Insert Date]</w:t>
      </w:r>
    </w:p>
    <w:p w14:paraId="2D273F99" w14:textId="548003C8" w:rsidR="00F47D8E" w:rsidRDefault="00F47D8E" w:rsidP="00B17566">
      <w:pPr>
        <w:pStyle w:val="ListParagraph"/>
        <w:numPr>
          <w:ilvl w:val="0"/>
          <w:numId w:val="2"/>
        </w:numPr>
      </w:pPr>
      <w:r>
        <w:t>Version History:</w:t>
      </w:r>
    </w:p>
    <w:p w14:paraId="55BFA1E1" w14:textId="5BFBEB9F" w:rsidR="00F47D8E" w:rsidRDefault="00F47D8E" w:rsidP="00B17566">
      <w:pPr>
        <w:pStyle w:val="ListParagraph"/>
        <w:numPr>
          <w:ilvl w:val="1"/>
          <w:numId w:val="2"/>
        </w:numPr>
      </w:pPr>
      <w:r>
        <w:t>Version [Insert Version Number] - Initial Document - [Insert Date] - Approved by [Insert Name]</w:t>
      </w:r>
    </w:p>
    <w:sectPr w:rsidR="00F47D8E" w:rsidSect="00C74C00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2E21" w14:textId="77777777" w:rsidR="00D11093" w:rsidRDefault="00D11093" w:rsidP="00224129">
      <w:pPr>
        <w:spacing w:after="0" w:line="240" w:lineRule="auto"/>
      </w:pPr>
      <w:r>
        <w:separator/>
      </w:r>
    </w:p>
  </w:endnote>
  <w:endnote w:type="continuationSeparator" w:id="0">
    <w:p w14:paraId="4949BC2B" w14:textId="77777777" w:rsidR="00D11093" w:rsidRDefault="00D11093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154B25" w14:paraId="503BAA6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4A358D" w14:textId="77777777" w:rsidR="00154B25" w:rsidRDefault="00154B2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F54A9A" w14:textId="77777777" w:rsidR="00154B25" w:rsidRDefault="00154B2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4B25" w14:paraId="6297FD5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8938D1A20664167B535AAAF5399CF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C04C43A" w14:textId="2FC576A7" w:rsidR="00154B25" w:rsidRDefault="001E754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E8AF3F" w14:textId="77777777" w:rsidR="00154B25" w:rsidRDefault="00154B2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3D7F0E09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BDC3" w14:textId="77777777" w:rsidR="00D11093" w:rsidRDefault="00D11093" w:rsidP="00224129">
      <w:pPr>
        <w:spacing w:after="0" w:line="240" w:lineRule="auto"/>
      </w:pPr>
      <w:r>
        <w:separator/>
      </w:r>
    </w:p>
  </w:footnote>
  <w:footnote w:type="continuationSeparator" w:id="0">
    <w:p w14:paraId="4FFDD4BF" w14:textId="77777777" w:rsidR="00D11093" w:rsidRDefault="00D11093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D11093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7DAE4984495442ADAE52F5689FF42F5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B4FAD4" w14:textId="4559C26F" w:rsidR="00154B25" w:rsidRDefault="001E754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Privacy Impact Assessment (DPIA)</w:t>
        </w:r>
      </w:p>
    </w:sdtContent>
  </w:sdt>
  <w:p w14:paraId="5EC62026" w14:textId="77777777" w:rsidR="00B2558B" w:rsidRDefault="00D11093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D11093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4B25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542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1F2F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1A22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6D76"/>
    <w:rsid w:val="00C6749D"/>
    <w:rsid w:val="00C703D0"/>
    <w:rsid w:val="00C704E7"/>
    <w:rsid w:val="00C70DC7"/>
    <w:rsid w:val="00C722F1"/>
    <w:rsid w:val="00C73E2C"/>
    <w:rsid w:val="00C74C00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093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C00"/>
  </w:style>
  <w:style w:type="paragraph" w:styleId="Heading1">
    <w:name w:val="heading 1"/>
    <w:basedOn w:val="Normal"/>
    <w:next w:val="Normal"/>
    <w:link w:val="Heading1Char"/>
    <w:uiPriority w:val="9"/>
    <w:qFormat/>
    <w:rsid w:val="00C74C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C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C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74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C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C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C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C00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4C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74C00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C74C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4C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C74C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C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4C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C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C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C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C0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C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C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74C00"/>
    <w:rPr>
      <w:i/>
      <w:iCs/>
    </w:rPr>
  </w:style>
  <w:style w:type="paragraph" w:styleId="NoSpacing">
    <w:name w:val="No Spacing"/>
    <w:uiPriority w:val="1"/>
    <w:qFormat/>
    <w:rsid w:val="00C74C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4C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4C00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4C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4C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4C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4C00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AE4984495442ADAE52F5689FF42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0027-F2B7-4D83-9390-BF90B2B213A7}"/>
      </w:docPartPr>
      <w:docPartBody>
        <w:p w:rsidR="00000000" w:rsidRDefault="00012BF1" w:rsidP="00012BF1">
          <w:pPr>
            <w:pStyle w:val="7DAE4984495442ADAE52F5689FF42F5E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48938D1A20664167B535AAAF5399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581BA-FCCF-444C-AD1A-C482EC7AF07D}"/>
      </w:docPartPr>
      <w:docPartBody>
        <w:p w:rsidR="00000000" w:rsidRDefault="00012BF1" w:rsidP="00012BF1">
          <w:pPr>
            <w:pStyle w:val="48938D1A20664167B535AAAF5399CF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1"/>
    <w:rsid w:val="00012BF1"/>
    <w:rsid w:val="00C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E4984495442ADAE52F5689FF42F5E">
    <w:name w:val="7DAE4984495442ADAE52F5689FF42F5E"/>
    <w:rsid w:val="00012BF1"/>
  </w:style>
  <w:style w:type="character" w:styleId="PlaceholderText">
    <w:name w:val="Placeholder Text"/>
    <w:basedOn w:val="DefaultParagraphFont"/>
    <w:uiPriority w:val="99"/>
    <w:semiHidden/>
    <w:rsid w:val="00012BF1"/>
    <w:rPr>
      <w:color w:val="808080"/>
    </w:rPr>
  </w:style>
  <w:style w:type="paragraph" w:customStyle="1" w:styleId="48938D1A20664167B535AAAF5399CFD4">
    <w:name w:val="48938D1A20664167B535AAAF5399CFD4"/>
    <w:rsid w:val="00012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87D7-9707-4158-B5E9-78477337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Privacy Impact Assessment (DPIA)</dc:title>
  <dc:subject/>
  <dc:creator>© 2024 by Aditya Nandan Prasad</dc:creator>
  <cp:keywords/>
  <dc:description/>
  <cp:lastModifiedBy>© 2024 by Aditya Nandan Prasad</cp:lastModifiedBy>
  <cp:revision>6</cp:revision>
  <cp:lastPrinted>2024-03-20T05:09:00Z</cp:lastPrinted>
  <dcterms:created xsi:type="dcterms:W3CDTF">2024-09-26T07:13:00Z</dcterms:created>
  <dcterms:modified xsi:type="dcterms:W3CDTF">2024-09-26T07:56:00Z</dcterms:modified>
</cp:coreProperties>
</file>