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set up the code environment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conda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command - 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shd w:fill="eeeeee" w:val="clear"/>
          <w:rtl w:val="0"/>
        </w:rPr>
        <w:t xml:space="preserve">conda env create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shd w:fill="eeeeee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shd w:fill="eeeeee" w:val="clear"/>
          <w:rtl w:val="0"/>
        </w:rPr>
        <w:t xml:space="preserve">f environment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shd w:fill="eeeeee" w:val="clear"/>
          <w:rtl w:val="0"/>
        </w:rPr>
        <w:t xml:space="preserve">yml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Run the command to activate your virtual environment - 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shd w:fill="eeeeee" w:val="clear"/>
          <w:rtl w:val="0"/>
        </w:rPr>
        <w:t xml:space="preserve">conda activate ensembles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conda.io/projects/conda/en/latest/user-guide/insta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