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F1788" w14:textId="48A7F02C" w:rsidR="00E314E7" w:rsidRDefault="001B3260" w:rsidP="00E314E7">
      <w:r>
        <w:t>March 2</w:t>
      </w:r>
      <w:r w:rsidR="00FB3173">
        <w:t>4</w:t>
      </w:r>
      <w:r>
        <w:t>, 2021</w:t>
      </w:r>
    </w:p>
    <w:p w14:paraId="4D9A7EBB" w14:textId="23998DD3" w:rsidR="00407242" w:rsidRDefault="00407242" w:rsidP="00407242">
      <w:pPr>
        <w:pStyle w:val="Title"/>
      </w:pPr>
      <w:r>
        <w:t>Industrial Bank (IBWC)</w:t>
      </w:r>
    </w:p>
    <w:p w14:paraId="09282B4C" w14:textId="5F0D32B2" w:rsidR="009D6799" w:rsidRDefault="00FA02C5" w:rsidP="009D6799">
      <w:r w:rsidRPr="005C7EF1">
        <w:t xml:space="preserve">IBW Financial Corporation is the holding company for Industrial Bank, National Association. </w:t>
      </w:r>
      <w:r w:rsidR="009D6799">
        <w:t xml:space="preserve">The firm engages in commercial banking services to retail and business customers, including loans, deposits and online banking. It offers checking and savings account, investment, personal loans, and credit cards, cash management and corporate online banking services. </w:t>
      </w:r>
      <w:r w:rsidR="00811C38">
        <w:t>Industrial</w:t>
      </w:r>
      <w:r w:rsidR="009D6799">
        <w:t xml:space="preserve"> was founded in 19</w:t>
      </w:r>
      <w:r w:rsidR="00B16284">
        <w:t>34</w:t>
      </w:r>
      <w:r w:rsidR="009D6799">
        <w:t xml:space="preserve"> and is headquartered in Northwest Washington, DC.</w:t>
      </w:r>
      <w:r w:rsidR="005C7EF1">
        <w:t xml:space="preserve"> </w:t>
      </w:r>
      <w:r w:rsidR="005C7EF1" w:rsidRPr="005C7EF1">
        <w:t xml:space="preserve">The Bank </w:t>
      </w:r>
      <w:r w:rsidR="00FB3173">
        <w:t>is African American-owned, with</w:t>
      </w:r>
      <w:r w:rsidR="005C7EF1" w:rsidRPr="005C7EF1">
        <w:t xml:space="preserve"> offices in the District of Columbia and in Prince George's County, Maryland.</w:t>
      </w:r>
    </w:p>
    <w:p w14:paraId="6DD254D2" w14:textId="0F17F34E" w:rsidR="00811C38" w:rsidRPr="00C25209" w:rsidRDefault="00FB3173" w:rsidP="00811C38">
      <w:r>
        <w:rPr>
          <w:b/>
          <w:bCs/>
          <w:sz w:val="24"/>
          <w:szCs w:val="24"/>
        </w:rPr>
        <w:t>Valuation Analysis</w:t>
      </w:r>
      <w:r w:rsidR="00B04222">
        <w:rPr>
          <w:b/>
          <w:bCs/>
          <w:sz w:val="24"/>
          <w:szCs w:val="24"/>
        </w:rPr>
        <w:t xml:space="preserve">. </w:t>
      </w:r>
      <w:r w:rsidR="00811C38" w:rsidRPr="00C25209">
        <w:t xml:space="preserve">We </w:t>
      </w:r>
      <w:r>
        <w:t xml:space="preserve">are conducting a Fully Adjusted Return valuation analysis for a block of </w:t>
      </w:r>
      <w:r w:rsidRPr="00C25209">
        <w:t>18,340 IBWC preferred shares</w:t>
      </w:r>
      <w:r>
        <w:t xml:space="preserve">. </w:t>
      </w:r>
    </w:p>
    <w:p w14:paraId="249FC798" w14:textId="375A40F2" w:rsidR="00811C38" w:rsidRPr="00317F73" w:rsidRDefault="00317F73" w:rsidP="009D6799">
      <w:pPr>
        <w:rPr>
          <w:b/>
          <w:bCs/>
        </w:rPr>
      </w:pPr>
      <w:r w:rsidRPr="00317F73">
        <w:rPr>
          <w:b/>
          <w:bCs/>
        </w:rPr>
        <w:t>One Year Price Chart</w:t>
      </w:r>
    </w:p>
    <w:p w14:paraId="7277E7B0" w14:textId="130DCA39" w:rsidR="009D6799" w:rsidRDefault="00FB3173" w:rsidP="009D6799">
      <w:r>
        <w:rPr>
          <w:noProof/>
        </w:rPr>
        <w:drawing>
          <wp:inline distT="0" distB="0" distL="0" distR="0" wp14:anchorId="1313ABF3" wp14:editId="4B3E4480">
            <wp:extent cx="6743700" cy="246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43700" cy="2466340"/>
                    </a:xfrm>
                    <a:prstGeom prst="rect">
                      <a:avLst/>
                    </a:prstGeom>
                  </pic:spPr>
                </pic:pic>
              </a:graphicData>
            </a:graphic>
          </wp:inline>
        </w:drawing>
      </w:r>
    </w:p>
    <w:tbl>
      <w:tblPr>
        <w:tblStyle w:val="TableGridLight"/>
        <w:tblW w:w="10716" w:type="dxa"/>
        <w:tblInd w:w="-275" w:type="dxa"/>
        <w:tblLook w:val="04A0" w:firstRow="1" w:lastRow="0" w:firstColumn="1" w:lastColumn="0" w:noHBand="0" w:noVBand="1"/>
      </w:tblPr>
      <w:tblGrid>
        <w:gridCol w:w="1795"/>
        <w:gridCol w:w="1445"/>
        <w:gridCol w:w="2970"/>
        <w:gridCol w:w="1711"/>
        <w:gridCol w:w="2795"/>
      </w:tblGrid>
      <w:tr w:rsidR="004B29F1" w:rsidRPr="00407242" w14:paraId="3E2AF118" w14:textId="77DBC16E" w:rsidTr="00FB3173">
        <w:trPr>
          <w:trHeight w:val="260"/>
        </w:trPr>
        <w:tc>
          <w:tcPr>
            <w:tcW w:w="1795" w:type="dxa"/>
            <w:vAlign w:val="center"/>
            <w:hideMark/>
          </w:tcPr>
          <w:p w14:paraId="43CC5C07" w14:textId="57F66762" w:rsidR="004B29F1" w:rsidRPr="004B29F1" w:rsidRDefault="004B29F1" w:rsidP="004B29F1">
            <w:pPr>
              <w:rPr>
                <w:rFonts w:cstheme="minorHAnsi"/>
                <w:sz w:val="20"/>
                <w:szCs w:val="20"/>
              </w:rPr>
            </w:pPr>
            <w:r w:rsidRPr="004B29F1">
              <w:rPr>
                <w:rFonts w:cstheme="minorHAnsi"/>
                <w:color w:val="232A31"/>
                <w:sz w:val="20"/>
                <w:szCs w:val="20"/>
              </w:rPr>
              <w:t>Previous Close</w:t>
            </w:r>
          </w:p>
        </w:tc>
        <w:tc>
          <w:tcPr>
            <w:tcW w:w="1445" w:type="dxa"/>
            <w:vAlign w:val="center"/>
          </w:tcPr>
          <w:p w14:paraId="11F34F03" w14:textId="1DCC4016" w:rsidR="004B29F1" w:rsidRPr="004B29F1" w:rsidRDefault="004B29F1" w:rsidP="004B29F1">
            <w:pPr>
              <w:spacing w:line="259" w:lineRule="auto"/>
              <w:rPr>
                <w:rFonts w:cstheme="minorHAnsi"/>
                <w:sz w:val="20"/>
                <w:szCs w:val="20"/>
              </w:rPr>
            </w:pPr>
            <w:r w:rsidRPr="004B29F1">
              <w:rPr>
                <w:rFonts w:cstheme="minorHAnsi"/>
                <w:color w:val="000000"/>
                <w:sz w:val="20"/>
                <w:szCs w:val="20"/>
              </w:rPr>
              <w:t>3</w:t>
            </w:r>
            <w:r w:rsidR="00FB3173">
              <w:rPr>
                <w:rFonts w:cstheme="minorHAnsi"/>
                <w:color w:val="000000"/>
                <w:sz w:val="20"/>
                <w:szCs w:val="20"/>
              </w:rPr>
              <w:t>2</w:t>
            </w:r>
          </w:p>
        </w:tc>
        <w:tc>
          <w:tcPr>
            <w:tcW w:w="4681" w:type="dxa"/>
            <w:gridSpan w:val="2"/>
          </w:tcPr>
          <w:p w14:paraId="10C240F3" w14:textId="6B518C3C" w:rsidR="004B29F1" w:rsidRPr="001C0577" w:rsidRDefault="004B29F1" w:rsidP="004B29F1">
            <w:pPr>
              <w:rPr>
                <w:b/>
                <w:bCs/>
                <w:sz w:val="20"/>
                <w:szCs w:val="20"/>
              </w:rPr>
            </w:pPr>
            <w:r>
              <w:rPr>
                <w:b/>
                <w:bCs/>
                <w:sz w:val="20"/>
                <w:szCs w:val="20"/>
              </w:rPr>
              <w:t xml:space="preserve">Estimated </w:t>
            </w:r>
            <w:r w:rsidRPr="007928DF">
              <w:rPr>
                <w:b/>
                <w:bCs/>
                <w:sz w:val="20"/>
                <w:szCs w:val="20"/>
              </w:rPr>
              <w:t>Share Statistics</w:t>
            </w:r>
          </w:p>
        </w:tc>
        <w:tc>
          <w:tcPr>
            <w:tcW w:w="2795" w:type="dxa"/>
            <w:vMerge w:val="restart"/>
          </w:tcPr>
          <w:p w14:paraId="15E26F60" w14:textId="5596AEF1" w:rsidR="004B29F1" w:rsidRPr="00407242" w:rsidRDefault="004B29F1" w:rsidP="004B29F1">
            <w:pPr>
              <w:rPr>
                <w:b/>
                <w:bCs/>
              </w:rPr>
            </w:pPr>
            <w:r w:rsidRPr="00407242">
              <w:rPr>
                <w:b/>
                <w:bCs/>
              </w:rPr>
              <w:t>4812 Georgia Avenue, NW</w:t>
            </w:r>
          </w:p>
          <w:p w14:paraId="2AD7733E" w14:textId="77777777" w:rsidR="004B29F1" w:rsidRPr="00407242" w:rsidRDefault="004B29F1" w:rsidP="004B29F1">
            <w:pPr>
              <w:rPr>
                <w:b/>
                <w:bCs/>
              </w:rPr>
            </w:pPr>
            <w:r w:rsidRPr="00407242">
              <w:rPr>
                <w:b/>
                <w:bCs/>
              </w:rPr>
              <w:t>Washington, DC 20011</w:t>
            </w:r>
          </w:p>
          <w:p w14:paraId="266CE24C" w14:textId="77777777" w:rsidR="004B29F1" w:rsidRPr="00407242" w:rsidRDefault="004B29F1" w:rsidP="004B29F1">
            <w:pPr>
              <w:rPr>
                <w:b/>
                <w:bCs/>
              </w:rPr>
            </w:pPr>
            <w:r w:rsidRPr="00407242">
              <w:rPr>
                <w:b/>
                <w:bCs/>
              </w:rPr>
              <w:t>United States</w:t>
            </w:r>
          </w:p>
          <w:p w14:paraId="3A32501B" w14:textId="77777777" w:rsidR="004B29F1" w:rsidRPr="00407242" w:rsidRDefault="004B29F1" w:rsidP="004B29F1">
            <w:pPr>
              <w:rPr>
                <w:b/>
                <w:bCs/>
              </w:rPr>
            </w:pPr>
            <w:r w:rsidRPr="00407242">
              <w:rPr>
                <w:b/>
                <w:bCs/>
              </w:rPr>
              <w:t>202-722-2000</w:t>
            </w:r>
          </w:p>
          <w:p w14:paraId="5AFF1630" w14:textId="5AC04A2E" w:rsidR="004B29F1" w:rsidRDefault="00BB3B7C" w:rsidP="004B29F1">
            <w:pPr>
              <w:rPr>
                <w:b/>
                <w:bCs/>
              </w:rPr>
            </w:pPr>
            <w:hyperlink r:id="rId9" w:history="1">
              <w:r w:rsidR="004B29F1" w:rsidRPr="003674E2">
                <w:rPr>
                  <w:rStyle w:val="Hyperlink"/>
                  <w:b/>
                  <w:bCs/>
                </w:rPr>
                <w:t>http://www.industrial-bank.com</w:t>
              </w:r>
            </w:hyperlink>
          </w:p>
          <w:p w14:paraId="3737F520" w14:textId="1B63B40D" w:rsidR="004B29F1" w:rsidRPr="00407242" w:rsidRDefault="004B29F1" w:rsidP="004B29F1">
            <w:pPr>
              <w:rPr>
                <w:b/>
                <w:bCs/>
              </w:rPr>
            </w:pPr>
            <w:r w:rsidRPr="00407242">
              <w:rPr>
                <w:b/>
                <w:bCs/>
              </w:rPr>
              <w:t>Sector(s): Financial Services</w:t>
            </w:r>
          </w:p>
          <w:p w14:paraId="449886E1" w14:textId="5B09DEA7" w:rsidR="004B29F1" w:rsidRPr="00E879A1" w:rsidRDefault="004B29F1" w:rsidP="004B29F1">
            <w:pPr>
              <w:rPr>
                <w:b/>
                <w:bCs/>
              </w:rPr>
            </w:pPr>
            <w:r w:rsidRPr="00407242">
              <w:rPr>
                <w:b/>
                <w:bCs/>
              </w:rPr>
              <w:t>Industry: Banks—Regional</w:t>
            </w:r>
          </w:p>
        </w:tc>
      </w:tr>
      <w:tr w:rsidR="004B29F1" w:rsidRPr="00407242" w14:paraId="311A231A" w14:textId="2A7B5190" w:rsidTr="00317F73">
        <w:trPr>
          <w:trHeight w:val="300"/>
        </w:trPr>
        <w:tc>
          <w:tcPr>
            <w:tcW w:w="1795" w:type="dxa"/>
            <w:vAlign w:val="center"/>
            <w:hideMark/>
          </w:tcPr>
          <w:p w14:paraId="106FF8BE" w14:textId="1550B662" w:rsidR="004B29F1" w:rsidRPr="004B29F1" w:rsidRDefault="004B29F1" w:rsidP="004B29F1">
            <w:pPr>
              <w:spacing w:line="259" w:lineRule="auto"/>
              <w:rPr>
                <w:rFonts w:cstheme="minorHAnsi"/>
                <w:sz w:val="20"/>
                <w:szCs w:val="20"/>
              </w:rPr>
            </w:pPr>
            <w:r w:rsidRPr="004B29F1">
              <w:rPr>
                <w:rFonts w:cstheme="minorHAnsi"/>
                <w:color w:val="232A31"/>
                <w:sz w:val="20"/>
                <w:szCs w:val="20"/>
              </w:rPr>
              <w:t>Open</w:t>
            </w:r>
          </w:p>
        </w:tc>
        <w:tc>
          <w:tcPr>
            <w:tcW w:w="1445" w:type="dxa"/>
            <w:vAlign w:val="center"/>
          </w:tcPr>
          <w:p w14:paraId="32A64E64" w14:textId="7F1B14CD" w:rsidR="004B29F1" w:rsidRPr="004B29F1" w:rsidRDefault="004B29F1" w:rsidP="004B29F1">
            <w:pPr>
              <w:spacing w:line="259" w:lineRule="auto"/>
              <w:rPr>
                <w:rFonts w:cstheme="minorHAnsi"/>
                <w:sz w:val="20"/>
                <w:szCs w:val="20"/>
              </w:rPr>
            </w:pPr>
            <w:r w:rsidRPr="004B29F1">
              <w:rPr>
                <w:rFonts w:cstheme="minorHAnsi"/>
                <w:color w:val="000000"/>
                <w:sz w:val="20"/>
                <w:szCs w:val="20"/>
              </w:rPr>
              <w:t>32</w:t>
            </w:r>
          </w:p>
        </w:tc>
        <w:tc>
          <w:tcPr>
            <w:tcW w:w="2970" w:type="dxa"/>
          </w:tcPr>
          <w:p w14:paraId="3B433020" w14:textId="29906017" w:rsidR="004B29F1" w:rsidRPr="004B29F1" w:rsidRDefault="004B29F1" w:rsidP="004B29F1">
            <w:pPr>
              <w:rPr>
                <w:sz w:val="20"/>
                <w:szCs w:val="20"/>
              </w:rPr>
            </w:pPr>
            <w:r w:rsidRPr="004B29F1">
              <w:rPr>
                <w:b/>
                <w:bCs/>
                <w:sz w:val="20"/>
                <w:szCs w:val="20"/>
              </w:rPr>
              <w:t>Est. Shares Outstanding (</w:t>
            </w:r>
            <w:proofErr w:type="spellStart"/>
            <w:r w:rsidRPr="004B29F1">
              <w:rPr>
                <w:b/>
                <w:bCs/>
                <w:sz w:val="20"/>
                <w:szCs w:val="20"/>
              </w:rPr>
              <w:t>Src</w:t>
            </w:r>
            <w:proofErr w:type="spellEnd"/>
            <w:r w:rsidRPr="004B29F1">
              <w:rPr>
                <w:rStyle w:val="FootnoteReference"/>
                <w:b/>
                <w:bCs/>
                <w:sz w:val="20"/>
                <w:szCs w:val="20"/>
              </w:rPr>
              <w:footnoteReference w:id="1"/>
            </w:r>
            <w:r w:rsidRPr="004B29F1">
              <w:rPr>
                <w:b/>
                <w:bCs/>
                <w:sz w:val="20"/>
                <w:szCs w:val="20"/>
              </w:rPr>
              <w:t>)</w:t>
            </w:r>
          </w:p>
        </w:tc>
        <w:tc>
          <w:tcPr>
            <w:tcW w:w="1711" w:type="dxa"/>
          </w:tcPr>
          <w:p w14:paraId="1932F9DB" w14:textId="31614FEB" w:rsidR="004B29F1" w:rsidRPr="00085CD1" w:rsidRDefault="004B29F1" w:rsidP="004B29F1">
            <w:pPr>
              <w:rPr>
                <w:sz w:val="20"/>
                <w:szCs w:val="20"/>
              </w:rPr>
            </w:pPr>
            <w:r w:rsidRPr="00940F7E">
              <w:rPr>
                <w:b/>
                <w:bCs/>
                <w:highlight w:val="yellow"/>
              </w:rPr>
              <w:t>668,350</w:t>
            </w:r>
          </w:p>
        </w:tc>
        <w:tc>
          <w:tcPr>
            <w:tcW w:w="2795" w:type="dxa"/>
            <w:vMerge/>
          </w:tcPr>
          <w:p w14:paraId="57F4C366" w14:textId="07426540" w:rsidR="004B29F1" w:rsidRPr="00407242" w:rsidRDefault="004B29F1" w:rsidP="004B29F1">
            <w:pPr>
              <w:rPr>
                <w:b/>
                <w:bCs/>
              </w:rPr>
            </w:pPr>
          </w:p>
        </w:tc>
      </w:tr>
      <w:tr w:rsidR="004B29F1" w:rsidRPr="00407242" w14:paraId="1A90C7E8" w14:textId="63F901D6" w:rsidTr="00317F73">
        <w:trPr>
          <w:trHeight w:val="300"/>
        </w:trPr>
        <w:tc>
          <w:tcPr>
            <w:tcW w:w="1795" w:type="dxa"/>
            <w:vAlign w:val="center"/>
            <w:hideMark/>
          </w:tcPr>
          <w:p w14:paraId="52C16EF1" w14:textId="19C6FAE9" w:rsidR="004B29F1" w:rsidRPr="004B29F1" w:rsidRDefault="004B29F1" w:rsidP="004B29F1">
            <w:pPr>
              <w:spacing w:line="259" w:lineRule="auto"/>
              <w:rPr>
                <w:rFonts w:cstheme="minorHAnsi"/>
                <w:sz w:val="20"/>
                <w:szCs w:val="20"/>
              </w:rPr>
            </w:pPr>
            <w:r w:rsidRPr="004B29F1">
              <w:rPr>
                <w:rFonts w:cstheme="minorHAnsi"/>
                <w:color w:val="232A31"/>
                <w:sz w:val="20"/>
                <w:szCs w:val="20"/>
              </w:rPr>
              <w:t>Bid</w:t>
            </w:r>
          </w:p>
        </w:tc>
        <w:tc>
          <w:tcPr>
            <w:tcW w:w="1445" w:type="dxa"/>
            <w:vAlign w:val="center"/>
          </w:tcPr>
          <w:p w14:paraId="61C9ECDD" w14:textId="38D74D54" w:rsidR="004B29F1" w:rsidRPr="004B29F1" w:rsidRDefault="004B29F1" w:rsidP="004B29F1">
            <w:pPr>
              <w:spacing w:line="259" w:lineRule="auto"/>
              <w:rPr>
                <w:rFonts w:cstheme="minorHAnsi"/>
                <w:sz w:val="20"/>
                <w:szCs w:val="20"/>
              </w:rPr>
            </w:pPr>
            <w:r w:rsidRPr="004B29F1">
              <w:rPr>
                <w:rFonts w:cstheme="minorHAnsi"/>
                <w:color w:val="000000"/>
                <w:sz w:val="20"/>
                <w:szCs w:val="20"/>
              </w:rPr>
              <w:t>0.00 x 0</w:t>
            </w:r>
          </w:p>
        </w:tc>
        <w:tc>
          <w:tcPr>
            <w:tcW w:w="2970" w:type="dxa"/>
          </w:tcPr>
          <w:p w14:paraId="7F815B8E" w14:textId="7D43C2A2" w:rsidR="004B29F1" w:rsidRPr="00085CD1" w:rsidRDefault="004B29F1" w:rsidP="004B29F1">
            <w:pPr>
              <w:rPr>
                <w:sz w:val="20"/>
                <w:szCs w:val="20"/>
              </w:rPr>
            </w:pPr>
            <w:r w:rsidRPr="001C0577">
              <w:rPr>
                <w:rFonts w:ascii="Calibri" w:hAnsi="Calibri" w:cs="Calibri"/>
                <w:color w:val="000000"/>
                <w:sz w:val="20"/>
                <w:szCs w:val="20"/>
              </w:rPr>
              <w:t>Total Assets (</w:t>
            </w:r>
            <w:r>
              <w:rPr>
                <w:rFonts w:ascii="Calibri" w:hAnsi="Calibri" w:cs="Calibri"/>
                <w:color w:val="000000"/>
                <w:sz w:val="20"/>
                <w:szCs w:val="20"/>
              </w:rPr>
              <w:t xml:space="preserve">3 </w:t>
            </w:r>
            <w:proofErr w:type="spellStart"/>
            <w:r>
              <w:rPr>
                <w:rFonts w:ascii="Calibri" w:hAnsi="Calibri" w:cs="Calibri"/>
                <w:color w:val="000000"/>
                <w:sz w:val="20"/>
                <w:szCs w:val="20"/>
              </w:rPr>
              <w:t>Qtr</w:t>
            </w:r>
            <w:proofErr w:type="spellEnd"/>
            <w:r>
              <w:rPr>
                <w:rFonts w:ascii="Calibri" w:hAnsi="Calibri" w:cs="Calibri"/>
                <w:color w:val="000000"/>
                <w:sz w:val="20"/>
                <w:szCs w:val="20"/>
              </w:rPr>
              <w:t xml:space="preserve"> 2020)</w:t>
            </w:r>
          </w:p>
        </w:tc>
        <w:tc>
          <w:tcPr>
            <w:tcW w:w="1711" w:type="dxa"/>
          </w:tcPr>
          <w:p w14:paraId="6F9A2CA5" w14:textId="2B8EC002" w:rsidR="004B29F1" w:rsidRPr="00085CD1" w:rsidRDefault="004B29F1" w:rsidP="004B29F1">
            <w:pPr>
              <w:rPr>
                <w:sz w:val="20"/>
                <w:szCs w:val="20"/>
              </w:rPr>
            </w:pPr>
            <w:r>
              <w:rPr>
                <w:rFonts w:ascii="Calibri" w:hAnsi="Calibri" w:cs="Calibri"/>
                <w:color w:val="000000"/>
                <w:sz w:val="20"/>
                <w:szCs w:val="20"/>
              </w:rPr>
              <w:t xml:space="preserve">$ </w:t>
            </w:r>
            <w:r w:rsidRPr="00AB7114">
              <w:rPr>
                <w:rFonts w:ascii="Calibri" w:hAnsi="Calibri" w:cs="Calibri"/>
                <w:color w:val="000000"/>
                <w:sz w:val="20"/>
                <w:szCs w:val="20"/>
              </w:rPr>
              <w:t>553</w:t>
            </w:r>
            <w:r>
              <w:rPr>
                <w:rFonts w:ascii="Calibri" w:hAnsi="Calibri" w:cs="Calibri"/>
                <w:color w:val="000000"/>
                <w:sz w:val="20"/>
                <w:szCs w:val="20"/>
              </w:rPr>
              <w:t>,</w:t>
            </w:r>
            <w:r w:rsidRPr="00AB7114">
              <w:rPr>
                <w:rFonts w:ascii="Calibri" w:hAnsi="Calibri" w:cs="Calibri"/>
                <w:color w:val="000000"/>
                <w:sz w:val="20"/>
                <w:szCs w:val="20"/>
              </w:rPr>
              <w:t>826</w:t>
            </w:r>
            <w:r>
              <w:rPr>
                <w:rFonts w:ascii="Calibri" w:hAnsi="Calibri" w:cs="Calibri"/>
                <w:color w:val="000000"/>
                <w:sz w:val="20"/>
                <w:szCs w:val="20"/>
              </w:rPr>
              <w:t>,000</w:t>
            </w:r>
          </w:p>
        </w:tc>
        <w:tc>
          <w:tcPr>
            <w:tcW w:w="2795" w:type="dxa"/>
            <w:vMerge/>
          </w:tcPr>
          <w:p w14:paraId="62C84A27" w14:textId="53A80379" w:rsidR="004B29F1" w:rsidRPr="00407242" w:rsidRDefault="004B29F1" w:rsidP="004B29F1">
            <w:pPr>
              <w:rPr>
                <w:b/>
                <w:bCs/>
              </w:rPr>
            </w:pPr>
          </w:p>
        </w:tc>
      </w:tr>
      <w:tr w:rsidR="004B29F1" w:rsidRPr="00407242" w14:paraId="44CC75C1" w14:textId="38D1AB16" w:rsidTr="00317F73">
        <w:trPr>
          <w:trHeight w:val="300"/>
        </w:trPr>
        <w:tc>
          <w:tcPr>
            <w:tcW w:w="1795" w:type="dxa"/>
            <w:vAlign w:val="center"/>
            <w:hideMark/>
          </w:tcPr>
          <w:p w14:paraId="3F51DF28" w14:textId="403EB7D1" w:rsidR="004B29F1" w:rsidRPr="004B29F1" w:rsidRDefault="004B29F1" w:rsidP="004B29F1">
            <w:pPr>
              <w:spacing w:line="259" w:lineRule="auto"/>
              <w:rPr>
                <w:rFonts w:cstheme="minorHAnsi"/>
                <w:sz w:val="20"/>
                <w:szCs w:val="20"/>
              </w:rPr>
            </w:pPr>
            <w:r w:rsidRPr="004B29F1">
              <w:rPr>
                <w:rFonts w:cstheme="minorHAnsi"/>
                <w:color w:val="232A31"/>
                <w:sz w:val="20"/>
                <w:szCs w:val="20"/>
              </w:rPr>
              <w:t>Ask</w:t>
            </w:r>
          </w:p>
        </w:tc>
        <w:tc>
          <w:tcPr>
            <w:tcW w:w="1445" w:type="dxa"/>
            <w:vAlign w:val="center"/>
          </w:tcPr>
          <w:p w14:paraId="42EACD22" w14:textId="515D8E73" w:rsidR="004B29F1" w:rsidRPr="004B29F1" w:rsidRDefault="004B29F1" w:rsidP="004B29F1">
            <w:pPr>
              <w:spacing w:line="259" w:lineRule="auto"/>
              <w:rPr>
                <w:rFonts w:cstheme="minorHAnsi"/>
                <w:sz w:val="20"/>
                <w:szCs w:val="20"/>
              </w:rPr>
            </w:pPr>
            <w:r w:rsidRPr="004B29F1">
              <w:rPr>
                <w:rFonts w:cstheme="minorHAnsi"/>
                <w:color w:val="000000"/>
                <w:sz w:val="20"/>
                <w:szCs w:val="20"/>
              </w:rPr>
              <w:t>0.00 x 0</w:t>
            </w:r>
          </w:p>
        </w:tc>
        <w:tc>
          <w:tcPr>
            <w:tcW w:w="2970" w:type="dxa"/>
          </w:tcPr>
          <w:p w14:paraId="10BA002F" w14:textId="350C8C45" w:rsidR="004B29F1" w:rsidRPr="00940F7E" w:rsidRDefault="004B29F1" w:rsidP="004B29F1">
            <w:pPr>
              <w:rPr>
                <w:b/>
                <w:bCs/>
              </w:rPr>
            </w:pPr>
            <w:r w:rsidRPr="001C0577">
              <w:rPr>
                <w:sz w:val="20"/>
                <w:szCs w:val="20"/>
              </w:rPr>
              <w:t>Ex-Dividend Date</w:t>
            </w:r>
          </w:p>
        </w:tc>
        <w:tc>
          <w:tcPr>
            <w:tcW w:w="1711" w:type="dxa"/>
          </w:tcPr>
          <w:p w14:paraId="54C69F66" w14:textId="3ECD162A" w:rsidR="004B29F1" w:rsidRPr="00940F7E" w:rsidRDefault="004B29F1" w:rsidP="004B29F1">
            <w:pPr>
              <w:rPr>
                <w:b/>
                <w:bCs/>
              </w:rPr>
            </w:pPr>
            <w:r w:rsidRPr="00085CD1">
              <w:t>27-Nov-20</w:t>
            </w:r>
          </w:p>
        </w:tc>
        <w:tc>
          <w:tcPr>
            <w:tcW w:w="2795" w:type="dxa"/>
            <w:vMerge/>
          </w:tcPr>
          <w:p w14:paraId="5E9D3A91" w14:textId="08AFA12B" w:rsidR="004B29F1" w:rsidRPr="00407242" w:rsidRDefault="004B29F1" w:rsidP="004B29F1">
            <w:pPr>
              <w:rPr>
                <w:b/>
                <w:bCs/>
              </w:rPr>
            </w:pPr>
          </w:p>
        </w:tc>
      </w:tr>
      <w:tr w:rsidR="004B29F1" w:rsidRPr="00407242" w14:paraId="5854C84C" w14:textId="50DCA2C5" w:rsidTr="00317F73">
        <w:trPr>
          <w:trHeight w:val="300"/>
        </w:trPr>
        <w:tc>
          <w:tcPr>
            <w:tcW w:w="1795" w:type="dxa"/>
            <w:vAlign w:val="center"/>
            <w:hideMark/>
          </w:tcPr>
          <w:p w14:paraId="72CE563C" w14:textId="5477672E" w:rsidR="004B29F1" w:rsidRPr="004B29F1" w:rsidRDefault="004B29F1" w:rsidP="004B29F1">
            <w:pPr>
              <w:spacing w:line="259" w:lineRule="auto"/>
              <w:rPr>
                <w:rFonts w:cstheme="minorHAnsi"/>
                <w:sz w:val="20"/>
                <w:szCs w:val="20"/>
              </w:rPr>
            </w:pPr>
            <w:r w:rsidRPr="004B29F1">
              <w:rPr>
                <w:rFonts w:cstheme="minorHAnsi"/>
                <w:color w:val="232A31"/>
                <w:sz w:val="20"/>
                <w:szCs w:val="20"/>
              </w:rPr>
              <w:t>Day's Range</w:t>
            </w:r>
          </w:p>
        </w:tc>
        <w:tc>
          <w:tcPr>
            <w:tcW w:w="1445" w:type="dxa"/>
            <w:vAlign w:val="center"/>
          </w:tcPr>
          <w:p w14:paraId="70CF35ED" w14:textId="40E19B13" w:rsidR="004B29F1" w:rsidRPr="004B29F1" w:rsidRDefault="004B29F1" w:rsidP="004B29F1">
            <w:pPr>
              <w:spacing w:line="259" w:lineRule="auto"/>
              <w:rPr>
                <w:rFonts w:cstheme="minorHAnsi"/>
                <w:sz w:val="20"/>
                <w:szCs w:val="20"/>
              </w:rPr>
            </w:pPr>
            <w:r w:rsidRPr="004B29F1">
              <w:rPr>
                <w:rFonts w:cstheme="minorHAnsi"/>
                <w:color w:val="000000"/>
                <w:sz w:val="20"/>
                <w:szCs w:val="20"/>
              </w:rPr>
              <w:t>32.00 - 3</w:t>
            </w:r>
            <w:r w:rsidR="00FB3173">
              <w:rPr>
                <w:rFonts w:cstheme="minorHAnsi"/>
                <w:color w:val="000000"/>
                <w:sz w:val="20"/>
                <w:szCs w:val="20"/>
              </w:rPr>
              <w:t>2</w:t>
            </w:r>
            <w:r w:rsidRPr="004B29F1">
              <w:rPr>
                <w:rFonts w:cstheme="minorHAnsi"/>
                <w:color w:val="000000"/>
                <w:sz w:val="20"/>
                <w:szCs w:val="20"/>
              </w:rPr>
              <w:t>.00</w:t>
            </w:r>
          </w:p>
        </w:tc>
        <w:tc>
          <w:tcPr>
            <w:tcW w:w="2970" w:type="dxa"/>
          </w:tcPr>
          <w:p w14:paraId="5235E849" w14:textId="6B29035B" w:rsidR="004B29F1" w:rsidRPr="001C0577" w:rsidRDefault="004B29F1" w:rsidP="004B29F1">
            <w:pPr>
              <w:rPr>
                <w:b/>
                <w:bCs/>
                <w:sz w:val="20"/>
                <w:szCs w:val="20"/>
              </w:rPr>
            </w:pPr>
            <w:r w:rsidRPr="001C0577">
              <w:rPr>
                <w:sz w:val="20"/>
                <w:szCs w:val="20"/>
              </w:rPr>
              <w:t>Forward Dividend &amp; Yield</w:t>
            </w:r>
          </w:p>
        </w:tc>
        <w:tc>
          <w:tcPr>
            <w:tcW w:w="1711" w:type="dxa"/>
          </w:tcPr>
          <w:p w14:paraId="77366370" w14:textId="6C314C9A" w:rsidR="004B29F1" w:rsidRPr="001C0577" w:rsidRDefault="004B29F1" w:rsidP="004B29F1">
            <w:pPr>
              <w:rPr>
                <w:b/>
                <w:bCs/>
                <w:sz w:val="20"/>
                <w:szCs w:val="20"/>
              </w:rPr>
            </w:pPr>
            <w:r w:rsidRPr="00085CD1">
              <w:t>0.25 (0.7</w:t>
            </w:r>
            <w:r w:rsidR="00FB3173">
              <w:t>8</w:t>
            </w:r>
            <w:r w:rsidRPr="00085CD1">
              <w:t>%)</w:t>
            </w:r>
          </w:p>
        </w:tc>
        <w:tc>
          <w:tcPr>
            <w:tcW w:w="2795" w:type="dxa"/>
            <w:vMerge/>
          </w:tcPr>
          <w:p w14:paraId="3B5D2E18" w14:textId="62DDEF68" w:rsidR="004B29F1" w:rsidRPr="00407242" w:rsidRDefault="004B29F1" w:rsidP="004B29F1">
            <w:pPr>
              <w:rPr>
                <w:b/>
                <w:bCs/>
              </w:rPr>
            </w:pPr>
          </w:p>
        </w:tc>
      </w:tr>
      <w:tr w:rsidR="004B29F1" w:rsidRPr="00407242" w14:paraId="76A3301A" w14:textId="00BE0FFC" w:rsidTr="00317F73">
        <w:trPr>
          <w:trHeight w:val="290"/>
        </w:trPr>
        <w:tc>
          <w:tcPr>
            <w:tcW w:w="1795" w:type="dxa"/>
            <w:vAlign w:val="center"/>
            <w:hideMark/>
          </w:tcPr>
          <w:p w14:paraId="4794E78C" w14:textId="29B120B8" w:rsidR="004B29F1" w:rsidRPr="004B29F1" w:rsidRDefault="004B29F1" w:rsidP="004B29F1">
            <w:pPr>
              <w:spacing w:line="259" w:lineRule="auto"/>
              <w:rPr>
                <w:rFonts w:cstheme="minorHAnsi"/>
                <w:sz w:val="20"/>
                <w:szCs w:val="20"/>
              </w:rPr>
            </w:pPr>
            <w:r w:rsidRPr="004B29F1">
              <w:rPr>
                <w:rFonts w:cstheme="minorHAnsi"/>
                <w:color w:val="232A31"/>
                <w:sz w:val="20"/>
                <w:szCs w:val="20"/>
              </w:rPr>
              <w:t>52 Week Range</w:t>
            </w:r>
          </w:p>
        </w:tc>
        <w:tc>
          <w:tcPr>
            <w:tcW w:w="1445" w:type="dxa"/>
            <w:vAlign w:val="center"/>
          </w:tcPr>
          <w:p w14:paraId="3683BAD4" w14:textId="2062620B" w:rsidR="004B29F1" w:rsidRPr="004B29F1" w:rsidRDefault="00FB3173" w:rsidP="004B29F1">
            <w:pPr>
              <w:spacing w:line="259" w:lineRule="auto"/>
              <w:rPr>
                <w:rFonts w:cstheme="minorHAnsi"/>
                <w:sz w:val="20"/>
                <w:szCs w:val="20"/>
              </w:rPr>
            </w:pPr>
            <w:r w:rsidRPr="00FB3173">
              <w:rPr>
                <w:rFonts w:cstheme="minorHAnsi"/>
                <w:color w:val="000000"/>
                <w:sz w:val="20"/>
                <w:szCs w:val="20"/>
              </w:rPr>
              <w:t>23.40 - 36.00</w:t>
            </w:r>
          </w:p>
        </w:tc>
        <w:tc>
          <w:tcPr>
            <w:tcW w:w="2970" w:type="dxa"/>
          </w:tcPr>
          <w:p w14:paraId="6A05D439" w14:textId="4B141BDC" w:rsidR="004B29F1" w:rsidRPr="00407242" w:rsidRDefault="004B29F1" w:rsidP="004B29F1">
            <w:pPr>
              <w:rPr>
                <w:b/>
                <w:bCs/>
              </w:rPr>
            </w:pPr>
            <w:r w:rsidRPr="00085CD1">
              <w:t>Number of shares</w:t>
            </w:r>
          </w:p>
        </w:tc>
        <w:tc>
          <w:tcPr>
            <w:tcW w:w="1711" w:type="dxa"/>
          </w:tcPr>
          <w:p w14:paraId="7AB86AD2" w14:textId="36B59436" w:rsidR="004B29F1" w:rsidRPr="00085CD1" w:rsidRDefault="004B29F1" w:rsidP="004B29F1">
            <w:r w:rsidRPr="00940F7E">
              <w:rPr>
                <w:highlight w:val="yellow"/>
              </w:rPr>
              <w:t>18,340</w:t>
            </w:r>
          </w:p>
        </w:tc>
        <w:tc>
          <w:tcPr>
            <w:tcW w:w="2795" w:type="dxa"/>
            <w:vMerge/>
          </w:tcPr>
          <w:p w14:paraId="1677F20B" w14:textId="7C91A6C9" w:rsidR="004B29F1" w:rsidRPr="00407242" w:rsidRDefault="004B29F1" w:rsidP="004B29F1">
            <w:pPr>
              <w:rPr>
                <w:b/>
                <w:bCs/>
              </w:rPr>
            </w:pPr>
          </w:p>
        </w:tc>
      </w:tr>
      <w:tr w:rsidR="004B29F1" w:rsidRPr="00407242" w14:paraId="0D0E25EE" w14:textId="128D4C05" w:rsidTr="00317F73">
        <w:trPr>
          <w:trHeight w:val="300"/>
        </w:trPr>
        <w:tc>
          <w:tcPr>
            <w:tcW w:w="1795" w:type="dxa"/>
            <w:vAlign w:val="center"/>
            <w:hideMark/>
          </w:tcPr>
          <w:p w14:paraId="6D795485" w14:textId="631050F8" w:rsidR="004B29F1" w:rsidRPr="004B29F1" w:rsidRDefault="004B29F1" w:rsidP="004B29F1">
            <w:pPr>
              <w:spacing w:line="259" w:lineRule="auto"/>
              <w:rPr>
                <w:rFonts w:cstheme="minorHAnsi"/>
                <w:sz w:val="20"/>
                <w:szCs w:val="20"/>
              </w:rPr>
            </w:pPr>
            <w:r w:rsidRPr="004B29F1">
              <w:rPr>
                <w:rFonts w:cstheme="minorHAnsi"/>
                <w:color w:val="232A31"/>
                <w:sz w:val="20"/>
                <w:szCs w:val="20"/>
              </w:rPr>
              <w:t>Volume</w:t>
            </w:r>
          </w:p>
        </w:tc>
        <w:tc>
          <w:tcPr>
            <w:tcW w:w="1445" w:type="dxa"/>
            <w:vAlign w:val="center"/>
          </w:tcPr>
          <w:p w14:paraId="62AC74EA" w14:textId="07E39D9B" w:rsidR="004B29F1" w:rsidRPr="004B29F1" w:rsidRDefault="004B29F1" w:rsidP="004B29F1">
            <w:pPr>
              <w:spacing w:line="259" w:lineRule="auto"/>
              <w:rPr>
                <w:rFonts w:cstheme="minorHAnsi"/>
                <w:sz w:val="20"/>
                <w:szCs w:val="20"/>
              </w:rPr>
            </w:pPr>
            <w:r w:rsidRPr="004B29F1">
              <w:rPr>
                <w:rFonts w:cstheme="minorHAnsi"/>
                <w:color w:val="000000"/>
                <w:sz w:val="20"/>
                <w:szCs w:val="20"/>
              </w:rPr>
              <w:t>5</w:t>
            </w:r>
          </w:p>
        </w:tc>
        <w:tc>
          <w:tcPr>
            <w:tcW w:w="2970" w:type="dxa"/>
          </w:tcPr>
          <w:p w14:paraId="5A0CAF8B" w14:textId="7C973833" w:rsidR="004B29F1" w:rsidRPr="00407242" w:rsidRDefault="004B29F1" w:rsidP="004B29F1">
            <w:pPr>
              <w:rPr>
                <w:b/>
                <w:bCs/>
              </w:rPr>
            </w:pPr>
            <w:r w:rsidRPr="007928DF">
              <w:t>Share type</w:t>
            </w:r>
          </w:p>
        </w:tc>
        <w:tc>
          <w:tcPr>
            <w:tcW w:w="1711" w:type="dxa"/>
          </w:tcPr>
          <w:p w14:paraId="2B020713" w14:textId="0A50EA9A" w:rsidR="004B29F1" w:rsidRPr="00085CD1" w:rsidRDefault="004B29F1" w:rsidP="004B29F1">
            <w:r w:rsidRPr="007928DF">
              <w:t xml:space="preserve">Voting Preferred </w:t>
            </w:r>
          </w:p>
        </w:tc>
        <w:tc>
          <w:tcPr>
            <w:tcW w:w="2795" w:type="dxa"/>
            <w:vMerge/>
          </w:tcPr>
          <w:p w14:paraId="51AA0763" w14:textId="0FE6F998" w:rsidR="004B29F1" w:rsidRPr="00407242" w:rsidRDefault="004B29F1" w:rsidP="004B29F1">
            <w:pPr>
              <w:rPr>
                <w:b/>
                <w:bCs/>
              </w:rPr>
            </w:pPr>
          </w:p>
        </w:tc>
      </w:tr>
      <w:tr w:rsidR="004B29F1" w:rsidRPr="00407242" w14:paraId="73B88C5D" w14:textId="02EA3F91" w:rsidTr="00317F73">
        <w:trPr>
          <w:trHeight w:val="300"/>
        </w:trPr>
        <w:tc>
          <w:tcPr>
            <w:tcW w:w="1795" w:type="dxa"/>
            <w:vAlign w:val="center"/>
            <w:hideMark/>
          </w:tcPr>
          <w:p w14:paraId="72D1C4AB" w14:textId="1F3D1A9C" w:rsidR="004B29F1" w:rsidRPr="004B29F1" w:rsidRDefault="004B29F1" w:rsidP="004B29F1">
            <w:pPr>
              <w:spacing w:line="259" w:lineRule="auto"/>
              <w:rPr>
                <w:rFonts w:cstheme="minorHAnsi"/>
                <w:sz w:val="20"/>
                <w:szCs w:val="20"/>
              </w:rPr>
            </w:pPr>
            <w:r w:rsidRPr="004B29F1">
              <w:rPr>
                <w:rFonts w:cstheme="minorHAnsi"/>
                <w:color w:val="232A31"/>
                <w:sz w:val="20"/>
                <w:szCs w:val="20"/>
              </w:rPr>
              <w:t>Avg. Volume</w:t>
            </w:r>
          </w:p>
        </w:tc>
        <w:tc>
          <w:tcPr>
            <w:tcW w:w="1445" w:type="dxa"/>
            <w:vAlign w:val="center"/>
          </w:tcPr>
          <w:p w14:paraId="7472D093" w14:textId="2B86D462" w:rsidR="004B29F1" w:rsidRPr="004B29F1" w:rsidRDefault="004B29F1" w:rsidP="004B29F1">
            <w:pPr>
              <w:spacing w:line="259" w:lineRule="auto"/>
              <w:rPr>
                <w:rFonts w:cstheme="minorHAnsi"/>
                <w:sz w:val="20"/>
                <w:szCs w:val="20"/>
              </w:rPr>
            </w:pPr>
            <w:r w:rsidRPr="004B29F1">
              <w:rPr>
                <w:rFonts w:cstheme="minorHAnsi"/>
                <w:color w:val="000000"/>
                <w:sz w:val="20"/>
                <w:szCs w:val="20"/>
              </w:rPr>
              <w:t>5</w:t>
            </w:r>
            <w:r w:rsidR="00FB3173">
              <w:rPr>
                <w:rFonts w:cstheme="minorHAnsi"/>
                <w:color w:val="000000"/>
                <w:sz w:val="20"/>
                <w:szCs w:val="20"/>
              </w:rPr>
              <w:t>0</w:t>
            </w:r>
          </w:p>
        </w:tc>
        <w:tc>
          <w:tcPr>
            <w:tcW w:w="2970" w:type="dxa"/>
          </w:tcPr>
          <w:p w14:paraId="19D94054" w14:textId="5A559B43" w:rsidR="004B29F1" w:rsidRPr="00085CD1" w:rsidRDefault="004B29F1" w:rsidP="004B29F1">
            <w:r w:rsidRPr="007928DF">
              <w:rPr>
                <w:rFonts w:asciiTheme="majorHAnsi" w:hAnsiTheme="majorHAnsi" w:cstheme="majorHAnsi"/>
                <w:b/>
                <w:bCs/>
                <w:color w:val="000000"/>
                <w:shd w:val="clear" w:color="auto" w:fill="FFFFFF"/>
              </w:rPr>
              <w:t xml:space="preserve">Dividends </w:t>
            </w:r>
            <w:r w:rsidRPr="009F35FE">
              <w:rPr>
                <w:rFonts w:asciiTheme="majorHAnsi" w:hAnsiTheme="majorHAnsi" w:cstheme="majorHAnsi"/>
                <w:b/>
                <w:bCs/>
                <w:color w:val="000000"/>
                <w:sz w:val="20"/>
                <w:szCs w:val="20"/>
                <w:shd w:val="clear" w:color="auto" w:fill="FFFFFF"/>
              </w:rPr>
              <w:t>(most recent 12/9/19)</w:t>
            </w:r>
          </w:p>
        </w:tc>
        <w:tc>
          <w:tcPr>
            <w:tcW w:w="1711" w:type="dxa"/>
          </w:tcPr>
          <w:p w14:paraId="3DEF3785" w14:textId="1F2CCE83" w:rsidR="004B29F1" w:rsidRPr="00085CD1" w:rsidRDefault="004B29F1" w:rsidP="004B29F1">
            <w:r w:rsidRPr="007928DF">
              <w:rPr>
                <w:rFonts w:asciiTheme="majorHAnsi" w:hAnsiTheme="majorHAnsi" w:cstheme="majorHAnsi"/>
                <w:b/>
                <w:bCs/>
              </w:rPr>
              <w:t>$0.12</w:t>
            </w:r>
          </w:p>
        </w:tc>
        <w:tc>
          <w:tcPr>
            <w:tcW w:w="2795" w:type="dxa"/>
            <w:vMerge/>
          </w:tcPr>
          <w:p w14:paraId="6F954A55" w14:textId="07D628FD" w:rsidR="004B29F1" w:rsidRPr="00407242" w:rsidRDefault="004B29F1" w:rsidP="004B29F1">
            <w:pPr>
              <w:rPr>
                <w:b/>
                <w:bCs/>
              </w:rPr>
            </w:pPr>
          </w:p>
        </w:tc>
      </w:tr>
      <w:tr w:rsidR="004B29F1" w:rsidRPr="00407242" w14:paraId="078C94FA" w14:textId="4D51829C" w:rsidTr="00317F73">
        <w:trPr>
          <w:trHeight w:val="300"/>
        </w:trPr>
        <w:tc>
          <w:tcPr>
            <w:tcW w:w="1795" w:type="dxa"/>
            <w:vAlign w:val="center"/>
            <w:hideMark/>
          </w:tcPr>
          <w:p w14:paraId="09EDBA75" w14:textId="25AE3069" w:rsidR="004B29F1" w:rsidRPr="004B29F1" w:rsidRDefault="004B29F1" w:rsidP="004B29F1">
            <w:pPr>
              <w:spacing w:line="259" w:lineRule="auto"/>
              <w:rPr>
                <w:rFonts w:cstheme="minorHAnsi"/>
                <w:sz w:val="20"/>
                <w:szCs w:val="20"/>
              </w:rPr>
            </w:pPr>
            <w:r w:rsidRPr="004B29F1">
              <w:rPr>
                <w:rFonts w:cstheme="minorHAnsi"/>
                <w:color w:val="232A31"/>
                <w:sz w:val="20"/>
                <w:szCs w:val="20"/>
              </w:rPr>
              <w:t>Market Cap</w:t>
            </w:r>
          </w:p>
        </w:tc>
        <w:tc>
          <w:tcPr>
            <w:tcW w:w="1445" w:type="dxa"/>
            <w:vAlign w:val="center"/>
          </w:tcPr>
          <w:p w14:paraId="0016D8EC" w14:textId="2CE73FC5" w:rsidR="004B29F1" w:rsidRPr="004B29F1" w:rsidRDefault="004B29F1" w:rsidP="004B29F1">
            <w:pPr>
              <w:spacing w:line="259" w:lineRule="auto"/>
              <w:rPr>
                <w:rFonts w:cstheme="minorHAnsi"/>
                <w:sz w:val="20"/>
                <w:szCs w:val="20"/>
              </w:rPr>
            </w:pPr>
            <w:r w:rsidRPr="004B29F1">
              <w:rPr>
                <w:rFonts w:cstheme="minorHAnsi"/>
                <w:color w:val="000000"/>
                <w:sz w:val="20"/>
                <w:szCs w:val="20"/>
              </w:rPr>
              <w:t>21.539M</w:t>
            </w:r>
          </w:p>
        </w:tc>
        <w:tc>
          <w:tcPr>
            <w:tcW w:w="2970" w:type="dxa"/>
          </w:tcPr>
          <w:p w14:paraId="26394DDC" w14:textId="065632D2" w:rsidR="004B29F1" w:rsidRPr="007928DF" w:rsidRDefault="004B29F1" w:rsidP="004B29F1">
            <w:r w:rsidRPr="007928DF">
              <w:t>Par Value</w:t>
            </w:r>
          </w:p>
        </w:tc>
        <w:tc>
          <w:tcPr>
            <w:tcW w:w="1711" w:type="dxa"/>
          </w:tcPr>
          <w:p w14:paraId="17A01826" w14:textId="739F2CD4" w:rsidR="004B29F1" w:rsidRPr="007928DF" w:rsidRDefault="004B29F1" w:rsidP="004B29F1">
            <w:r w:rsidRPr="007928DF">
              <w:t>$1.00</w:t>
            </w:r>
            <w:r>
              <w:tab/>
            </w:r>
          </w:p>
        </w:tc>
        <w:tc>
          <w:tcPr>
            <w:tcW w:w="2795" w:type="dxa"/>
            <w:vMerge/>
          </w:tcPr>
          <w:p w14:paraId="4B0C8272" w14:textId="1D31B958" w:rsidR="004B29F1" w:rsidRPr="00407242" w:rsidRDefault="004B29F1" w:rsidP="004B29F1">
            <w:pPr>
              <w:rPr>
                <w:b/>
                <w:bCs/>
              </w:rPr>
            </w:pPr>
          </w:p>
        </w:tc>
      </w:tr>
      <w:tr w:rsidR="004B29F1" w:rsidRPr="00407242" w14:paraId="6E7929E6" w14:textId="39F53F35" w:rsidTr="00317F73">
        <w:trPr>
          <w:trHeight w:val="300"/>
        </w:trPr>
        <w:tc>
          <w:tcPr>
            <w:tcW w:w="1795" w:type="dxa"/>
            <w:vAlign w:val="center"/>
            <w:hideMark/>
          </w:tcPr>
          <w:p w14:paraId="373BF9FD" w14:textId="3E7ACF4B" w:rsidR="004B29F1" w:rsidRPr="004B29F1" w:rsidRDefault="004B29F1" w:rsidP="004B29F1">
            <w:pPr>
              <w:spacing w:line="259" w:lineRule="auto"/>
              <w:rPr>
                <w:rFonts w:cstheme="minorHAnsi"/>
                <w:sz w:val="20"/>
                <w:szCs w:val="20"/>
              </w:rPr>
            </w:pPr>
            <w:r w:rsidRPr="004B29F1">
              <w:rPr>
                <w:rFonts w:cstheme="minorHAnsi"/>
                <w:color w:val="232A31"/>
                <w:sz w:val="20"/>
                <w:szCs w:val="20"/>
              </w:rPr>
              <w:t>Beta (5Y Monthly)</w:t>
            </w:r>
          </w:p>
        </w:tc>
        <w:tc>
          <w:tcPr>
            <w:tcW w:w="1445" w:type="dxa"/>
            <w:vAlign w:val="center"/>
          </w:tcPr>
          <w:p w14:paraId="12F224C4" w14:textId="49713C8D" w:rsidR="004B29F1" w:rsidRPr="004B29F1" w:rsidRDefault="004B29F1" w:rsidP="004B29F1">
            <w:pPr>
              <w:spacing w:line="259" w:lineRule="auto"/>
              <w:rPr>
                <w:rFonts w:cstheme="minorHAnsi"/>
                <w:sz w:val="20"/>
                <w:szCs w:val="20"/>
              </w:rPr>
            </w:pPr>
            <w:r w:rsidRPr="004B29F1">
              <w:rPr>
                <w:rFonts w:cstheme="minorHAnsi"/>
                <w:color w:val="000000"/>
                <w:sz w:val="20"/>
                <w:szCs w:val="20"/>
              </w:rPr>
              <w:t>0.</w:t>
            </w:r>
            <w:r w:rsidR="00317F73">
              <w:rPr>
                <w:rFonts w:cstheme="minorHAnsi"/>
                <w:color w:val="000000"/>
                <w:sz w:val="20"/>
                <w:szCs w:val="20"/>
              </w:rPr>
              <w:t>39</w:t>
            </w:r>
          </w:p>
        </w:tc>
        <w:tc>
          <w:tcPr>
            <w:tcW w:w="2970" w:type="dxa"/>
          </w:tcPr>
          <w:p w14:paraId="06C624E7" w14:textId="43C0391D" w:rsidR="004B29F1" w:rsidRPr="007928DF" w:rsidRDefault="00317F73" w:rsidP="004B29F1">
            <w:pPr>
              <w:rPr>
                <w:rFonts w:asciiTheme="majorHAnsi" w:hAnsiTheme="majorHAnsi" w:cstheme="majorHAnsi"/>
                <w:b/>
                <w:bCs/>
              </w:rPr>
            </w:pPr>
            <w:r w:rsidRPr="004B29F1">
              <w:rPr>
                <w:rFonts w:cstheme="minorHAnsi"/>
                <w:color w:val="232A31"/>
                <w:sz w:val="20"/>
                <w:szCs w:val="20"/>
              </w:rPr>
              <w:t>PE Ratio (TTM)</w:t>
            </w:r>
          </w:p>
        </w:tc>
        <w:tc>
          <w:tcPr>
            <w:tcW w:w="1711" w:type="dxa"/>
          </w:tcPr>
          <w:p w14:paraId="528840D1" w14:textId="2E86496B" w:rsidR="004B29F1" w:rsidRPr="007928DF" w:rsidRDefault="00317F73" w:rsidP="004B29F1">
            <w:pPr>
              <w:rPr>
                <w:rFonts w:asciiTheme="majorHAnsi" w:hAnsiTheme="majorHAnsi" w:cstheme="majorHAnsi"/>
                <w:b/>
                <w:bCs/>
              </w:rPr>
            </w:pPr>
            <w:r w:rsidRPr="004B29F1">
              <w:rPr>
                <w:rFonts w:cstheme="minorHAnsi"/>
                <w:color w:val="000000"/>
                <w:sz w:val="20"/>
                <w:szCs w:val="20"/>
              </w:rPr>
              <w:t>5.37</w:t>
            </w:r>
          </w:p>
        </w:tc>
        <w:tc>
          <w:tcPr>
            <w:tcW w:w="2795" w:type="dxa"/>
            <w:vMerge/>
          </w:tcPr>
          <w:p w14:paraId="1086AE65" w14:textId="73CB1F9A" w:rsidR="004B29F1" w:rsidRPr="00407242" w:rsidRDefault="004B29F1" w:rsidP="004B29F1">
            <w:pPr>
              <w:rPr>
                <w:b/>
                <w:bCs/>
              </w:rPr>
            </w:pPr>
          </w:p>
        </w:tc>
      </w:tr>
    </w:tbl>
    <w:p w14:paraId="3470EEBA" w14:textId="77777777" w:rsidR="00317F73" w:rsidRDefault="00317F73">
      <w:pPr>
        <w:rPr>
          <w:b/>
          <w:bCs/>
          <w:sz w:val="24"/>
          <w:szCs w:val="24"/>
        </w:rPr>
      </w:pPr>
      <w:r>
        <w:rPr>
          <w:b/>
          <w:bCs/>
          <w:sz w:val="24"/>
          <w:szCs w:val="24"/>
        </w:rPr>
        <w:lastRenderedPageBreak/>
        <w:t>Minority Bank Industry Notes</w:t>
      </w:r>
    </w:p>
    <w:p w14:paraId="5CBDCE5F" w14:textId="07A678D8" w:rsidR="00317F73" w:rsidRDefault="00317F73">
      <w:pPr>
        <w:rPr>
          <w:sz w:val="24"/>
          <w:szCs w:val="24"/>
        </w:rPr>
      </w:pPr>
      <w:r w:rsidRPr="00317F73">
        <w:rPr>
          <w:sz w:val="24"/>
          <w:szCs w:val="24"/>
        </w:rPr>
        <w:t>In the wake of the Black Lives Matter Movement, several major banks made significant investments in Black banks</w:t>
      </w:r>
      <w:r>
        <w:rPr>
          <w:sz w:val="24"/>
          <w:szCs w:val="24"/>
        </w:rPr>
        <w:t xml:space="preserve">. </w:t>
      </w:r>
      <w:r w:rsidRPr="00317F73">
        <w:rPr>
          <w:sz w:val="24"/>
          <w:szCs w:val="24"/>
        </w:rPr>
        <w:t>With this increased attention, the performance of stocks issued by minority banks (Asian, Black, Hispanic) have improved dramatically</w:t>
      </w:r>
      <w:r>
        <w:rPr>
          <w:sz w:val="24"/>
          <w:szCs w:val="24"/>
        </w:rPr>
        <w:t xml:space="preserve">. The chart below graphs the performance of an equal weighed portfolio of minority bank (common) stocks versus the S&amp;P 500. </w:t>
      </w:r>
    </w:p>
    <w:tbl>
      <w:tblPr>
        <w:tblStyle w:val="PlainTable4"/>
        <w:tblW w:w="9360" w:type="dxa"/>
        <w:tblLook w:val="04A0" w:firstRow="1" w:lastRow="0" w:firstColumn="1" w:lastColumn="0" w:noHBand="0" w:noVBand="1"/>
      </w:tblPr>
      <w:tblGrid>
        <w:gridCol w:w="960"/>
        <w:gridCol w:w="3386"/>
        <w:gridCol w:w="1054"/>
        <w:gridCol w:w="3960"/>
      </w:tblGrid>
      <w:tr w:rsidR="008C56A4" w:rsidRPr="008C56A4" w14:paraId="52745F53" w14:textId="751CCB7E" w:rsidTr="008C56A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41303"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Symbol </w:t>
            </w:r>
          </w:p>
        </w:tc>
        <w:tc>
          <w:tcPr>
            <w:tcW w:w="3386" w:type="dxa"/>
            <w:noWrap/>
            <w:hideMark/>
          </w:tcPr>
          <w:p w14:paraId="753A2397" w14:textId="77777777" w:rsidR="008C56A4" w:rsidRPr="008C56A4" w:rsidRDefault="008C56A4" w:rsidP="008C56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Company Name</w:t>
            </w:r>
          </w:p>
        </w:tc>
        <w:tc>
          <w:tcPr>
            <w:tcW w:w="1054" w:type="dxa"/>
          </w:tcPr>
          <w:p w14:paraId="4768CB38" w14:textId="3A662455" w:rsidR="008C56A4" w:rsidRPr="008C56A4" w:rsidRDefault="008C56A4" w:rsidP="008C56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 xml:space="preserve">Symbol </w:t>
            </w:r>
          </w:p>
        </w:tc>
        <w:tc>
          <w:tcPr>
            <w:tcW w:w="3960" w:type="dxa"/>
          </w:tcPr>
          <w:p w14:paraId="6CB7889F" w14:textId="7B8CADCA" w:rsidR="008C56A4" w:rsidRPr="008C56A4" w:rsidRDefault="008C56A4" w:rsidP="008C56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Company Name</w:t>
            </w:r>
          </w:p>
        </w:tc>
      </w:tr>
      <w:tr w:rsidR="008C56A4" w:rsidRPr="008C56A4" w14:paraId="5F860F8F" w14:textId="580132AC" w:rsidTr="008C56A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79DC93"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HRBK </w:t>
            </w:r>
          </w:p>
        </w:tc>
        <w:tc>
          <w:tcPr>
            <w:tcW w:w="3386" w:type="dxa"/>
            <w:noWrap/>
            <w:hideMark/>
          </w:tcPr>
          <w:p w14:paraId="3F0FE30C" w14:textId="77777777"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 xml:space="preserve">Harbor </w:t>
            </w:r>
            <w:proofErr w:type="spellStart"/>
            <w:r w:rsidRPr="008C56A4">
              <w:rPr>
                <w:rFonts w:ascii="Calibri" w:eastAsia="Times New Roman" w:hAnsi="Calibri" w:cs="Calibri"/>
                <w:color w:val="000000"/>
              </w:rPr>
              <w:t>Bankshares</w:t>
            </w:r>
            <w:proofErr w:type="spellEnd"/>
            <w:r w:rsidRPr="008C56A4">
              <w:rPr>
                <w:rFonts w:ascii="Calibri" w:eastAsia="Times New Roman" w:hAnsi="Calibri" w:cs="Calibri"/>
                <w:color w:val="000000"/>
              </w:rPr>
              <w:t xml:space="preserve"> Corporation</w:t>
            </w:r>
          </w:p>
        </w:tc>
        <w:tc>
          <w:tcPr>
            <w:tcW w:w="1054" w:type="dxa"/>
          </w:tcPr>
          <w:p w14:paraId="7D6AC2A4" w14:textId="510B98C3"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CATY </w:t>
            </w:r>
          </w:p>
        </w:tc>
        <w:tc>
          <w:tcPr>
            <w:tcW w:w="3960" w:type="dxa"/>
          </w:tcPr>
          <w:p w14:paraId="4101D484" w14:textId="44F045BC"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Cathay General Bancorp</w:t>
            </w:r>
          </w:p>
        </w:tc>
      </w:tr>
      <w:tr w:rsidR="008C56A4" w:rsidRPr="008C56A4" w14:paraId="1763A0B2" w14:textId="7E42923B" w:rsidTr="008C56A4">
        <w:trPr>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0FD6BD"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CZBS </w:t>
            </w:r>
          </w:p>
        </w:tc>
        <w:tc>
          <w:tcPr>
            <w:tcW w:w="3386" w:type="dxa"/>
            <w:noWrap/>
            <w:hideMark/>
          </w:tcPr>
          <w:p w14:paraId="3BADD8D1" w14:textId="77777777"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Citizens Bancshares Corporation</w:t>
            </w:r>
          </w:p>
        </w:tc>
        <w:tc>
          <w:tcPr>
            <w:tcW w:w="1054" w:type="dxa"/>
          </w:tcPr>
          <w:p w14:paraId="104B6A76" w14:textId="50B00F6B"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BOH </w:t>
            </w:r>
          </w:p>
        </w:tc>
        <w:tc>
          <w:tcPr>
            <w:tcW w:w="3960" w:type="dxa"/>
          </w:tcPr>
          <w:p w14:paraId="5AF0F02C" w14:textId="0D4C58B6"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Bank of Hawaii Corporation</w:t>
            </w:r>
          </w:p>
        </w:tc>
      </w:tr>
      <w:tr w:rsidR="008C56A4" w:rsidRPr="008C56A4" w14:paraId="4663B61D" w14:textId="683AA2DF" w:rsidTr="008C56A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188D2D"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IBWC </w:t>
            </w:r>
          </w:p>
        </w:tc>
        <w:tc>
          <w:tcPr>
            <w:tcW w:w="3386" w:type="dxa"/>
            <w:noWrap/>
            <w:hideMark/>
          </w:tcPr>
          <w:p w14:paraId="1CECE040" w14:textId="77777777"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IBW Financial Corporation</w:t>
            </w:r>
          </w:p>
        </w:tc>
        <w:tc>
          <w:tcPr>
            <w:tcW w:w="1054" w:type="dxa"/>
          </w:tcPr>
          <w:p w14:paraId="09AB8D2A" w14:textId="44F3F39E"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EWBC </w:t>
            </w:r>
          </w:p>
        </w:tc>
        <w:tc>
          <w:tcPr>
            <w:tcW w:w="3960" w:type="dxa"/>
          </w:tcPr>
          <w:p w14:paraId="2C872B84" w14:textId="5DD5C266"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East West Bancorp, Inc.</w:t>
            </w:r>
          </w:p>
        </w:tc>
      </w:tr>
      <w:tr w:rsidR="008C56A4" w:rsidRPr="008C56A4" w14:paraId="781E8020" w14:textId="589D2D03" w:rsidTr="008C56A4">
        <w:trPr>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4E5F95"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MFBP </w:t>
            </w:r>
          </w:p>
        </w:tc>
        <w:tc>
          <w:tcPr>
            <w:tcW w:w="3386" w:type="dxa"/>
            <w:noWrap/>
            <w:hideMark/>
          </w:tcPr>
          <w:p w14:paraId="2BB5CA4C" w14:textId="77777777"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M&amp;F Bancorp, Inc.</w:t>
            </w:r>
          </w:p>
        </w:tc>
        <w:tc>
          <w:tcPr>
            <w:tcW w:w="1054" w:type="dxa"/>
          </w:tcPr>
          <w:p w14:paraId="36A780C9" w14:textId="6C8FA043"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HAFC </w:t>
            </w:r>
          </w:p>
        </w:tc>
        <w:tc>
          <w:tcPr>
            <w:tcW w:w="3960" w:type="dxa"/>
          </w:tcPr>
          <w:p w14:paraId="20D49F90" w14:textId="5D04290B"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8C56A4">
              <w:rPr>
                <w:rFonts w:ascii="Calibri" w:eastAsia="Times New Roman" w:hAnsi="Calibri" w:cs="Calibri"/>
                <w:color w:val="000000"/>
              </w:rPr>
              <w:t>Hanmi</w:t>
            </w:r>
            <w:proofErr w:type="spellEnd"/>
            <w:r w:rsidRPr="008C56A4">
              <w:rPr>
                <w:rFonts w:ascii="Calibri" w:eastAsia="Times New Roman" w:hAnsi="Calibri" w:cs="Calibri"/>
                <w:color w:val="000000"/>
              </w:rPr>
              <w:t xml:space="preserve"> Financial Corporation</w:t>
            </w:r>
          </w:p>
        </w:tc>
      </w:tr>
      <w:tr w:rsidR="008C56A4" w:rsidRPr="008C56A4" w14:paraId="08863C18" w14:textId="17FA1821" w:rsidTr="008C56A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264682"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BYFC </w:t>
            </w:r>
          </w:p>
        </w:tc>
        <w:tc>
          <w:tcPr>
            <w:tcW w:w="3386" w:type="dxa"/>
            <w:noWrap/>
            <w:hideMark/>
          </w:tcPr>
          <w:p w14:paraId="686BBEDE" w14:textId="77777777"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Broadway Financial Corporation</w:t>
            </w:r>
          </w:p>
        </w:tc>
        <w:tc>
          <w:tcPr>
            <w:tcW w:w="1054" w:type="dxa"/>
          </w:tcPr>
          <w:p w14:paraId="6D0AC830" w14:textId="03A76AD5"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BPOP </w:t>
            </w:r>
          </w:p>
        </w:tc>
        <w:tc>
          <w:tcPr>
            <w:tcW w:w="3960" w:type="dxa"/>
          </w:tcPr>
          <w:p w14:paraId="707C6208" w14:textId="48BA2D11"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Popular, Inc.</w:t>
            </w:r>
          </w:p>
        </w:tc>
      </w:tr>
      <w:tr w:rsidR="008C56A4" w:rsidRPr="008C56A4" w14:paraId="4B3B49EA" w14:textId="6EC9C803" w:rsidTr="008C56A4">
        <w:trPr>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BC1859" w14:textId="77777777" w:rsidR="008C56A4" w:rsidRPr="008C56A4" w:rsidRDefault="008C56A4" w:rsidP="008C56A4">
            <w:pPr>
              <w:rPr>
                <w:rFonts w:ascii="Calibri" w:eastAsia="Times New Roman" w:hAnsi="Calibri" w:cs="Calibri"/>
                <w:color w:val="000000"/>
              </w:rPr>
            </w:pPr>
            <w:r w:rsidRPr="008C56A4">
              <w:rPr>
                <w:rFonts w:ascii="Calibri" w:eastAsia="Times New Roman" w:hAnsi="Calibri" w:cs="Calibri"/>
                <w:color w:val="000000"/>
              </w:rPr>
              <w:t xml:space="preserve">CARV </w:t>
            </w:r>
          </w:p>
        </w:tc>
        <w:tc>
          <w:tcPr>
            <w:tcW w:w="3386" w:type="dxa"/>
            <w:noWrap/>
            <w:hideMark/>
          </w:tcPr>
          <w:p w14:paraId="6AFEC793" w14:textId="77777777"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Carver Bancorp, Inc.</w:t>
            </w:r>
          </w:p>
        </w:tc>
        <w:tc>
          <w:tcPr>
            <w:tcW w:w="1054" w:type="dxa"/>
          </w:tcPr>
          <w:p w14:paraId="38CF7DB5" w14:textId="295FCE27"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IBOC </w:t>
            </w:r>
          </w:p>
        </w:tc>
        <w:tc>
          <w:tcPr>
            <w:tcW w:w="3960" w:type="dxa"/>
          </w:tcPr>
          <w:p w14:paraId="4E0B05B6" w14:textId="5B747400" w:rsidR="008C56A4" w:rsidRPr="008C56A4" w:rsidRDefault="008C56A4" w:rsidP="008C56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International Bancshares Corporation</w:t>
            </w:r>
          </w:p>
        </w:tc>
      </w:tr>
      <w:tr w:rsidR="008C56A4" w:rsidRPr="008C56A4" w14:paraId="705202FF" w14:textId="17E7033E" w:rsidTr="008C56A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tcPr>
          <w:p w14:paraId="3C8F650F" w14:textId="7DB3E865" w:rsidR="008C56A4" w:rsidRPr="008C56A4" w:rsidRDefault="008C56A4" w:rsidP="008C56A4">
            <w:pPr>
              <w:rPr>
                <w:rFonts w:ascii="Calibri" w:eastAsia="Times New Roman" w:hAnsi="Calibri" w:cs="Calibri"/>
                <w:color w:val="000000"/>
              </w:rPr>
            </w:pPr>
          </w:p>
        </w:tc>
        <w:tc>
          <w:tcPr>
            <w:tcW w:w="3386" w:type="dxa"/>
            <w:noWrap/>
          </w:tcPr>
          <w:p w14:paraId="6424BC20" w14:textId="4E3260AF"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054" w:type="dxa"/>
          </w:tcPr>
          <w:p w14:paraId="72F6E83A" w14:textId="1D9308EE"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C56A4">
              <w:rPr>
                <w:rFonts w:ascii="Calibri" w:eastAsia="Times New Roman" w:hAnsi="Calibri" w:cs="Calibri"/>
                <w:b/>
                <w:bCs/>
                <w:color w:val="000000"/>
              </w:rPr>
              <w:t xml:space="preserve">PFBC </w:t>
            </w:r>
          </w:p>
        </w:tc>
        <w:tc>
          <w:tcPr>
            <w:tcW w:w="3960" w:type="dxa"/>
          </w:tcPr>
          <w:p w14:paraId="14741920" w14:textId="2CCA5FA3" w:rsidR="008C56A4" w:rsidRPr="008C56A4" w:rsidRDefault="008C56A4" w:rsidP="008C56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56A4">
              <w:rPr>
                <w:rFonts w:ascii="Calibri" w:eastAsia="Times New Roman" w:hAnsi="Calibri" w:cs="Calibri"/>
                <w:color w:val="000000"/>
              </w:rPr>
              <w:t>Preferred Bank</w:t>
            </w:r>
          </w:p>
        </w:tc>
      </w:tr>
    </w:tbl>
    <w:p w14:paraId="12D9BFE7" w14:textId="23A2EE0A" w:rsidR="008C56A4" w:rsidRDefault="008C56A4">
      <w:pPr>
        <w:rPr>
          <w:sz w:val="24"/>
          <w:szCs w:val="24"/>
        </w:rPr>
      </w:pPr>
      <w:r>
        <w:rPr>
          <w:sz w:val="24"/>
          <w:szCs w:val="24"/>
        </w:rPr>
        <w:t xml:space="preserve">The minority bank stock portfolio returned 112.27% versus a 74.78% return for the S&amp;P 500. </w:t>
      </w:r>
    </w:p>
    <w:p w14:paraId="14184553" w14:textId="747A6C5D" w:rsidR="00317F73" w:rsidRDefault="00317F73">
      <w:pPr>
        <w:rPr>
          <w:sz w:val="24"/>
          <w:szCs w:val="24"/>
        </w:rPr>
      </w:pPr>
      <w:r>
        <w:rPr>
          <w:noProof/>
          <w:sz w:val="24"/>
          <w:szCs w:val="24"/>
        </w:rPr>
        <w:drawing>
          <wp:inline distT="0" distB="0" distL="0" distR="0" wp14:anchorId="179C1D3B" wp14:editId="5F79E7F6">
            <wp:extent cx="674370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3700" cy="2490470"/>
                    </a:xfrm>
                    <a:prstGeom prst="rect">
                      <a:avLst/>
                    </a:prstGeom>
                  </pic:spPr>
                </pic:pic>
              </a:graphicData>
            </a:graphic>
          </wp:inline>
        </w:drawing>
      </w:r>
    </w:p>
    <w:tbl>
      <w:tblPr>
        <w:tblStyle w:val="PlainTable4"/>
        <w:tblW w:w="9360" w:type="dxa"/>
        <w:tblLook w:val="04A0" w:firstRow="1" w:lastRow="0" w:firstColumn="1" w:lastColumn="0" w:noHBand="0" w:noVBand="1"/>
      </w:tblPr>
      <w:tblGrid>
        <w:gridCol w:w="960"/>
        <w:gridCol w:w="2550"/>
        <w:gridCol w:w="1260"/>
        <w:gridCol w:w="720"/>
        <w:gridCol w:w="2610"/>
        <w:gridCol w:w="1260"/>
      </w:tblGrid>
      <w:tr w:rsidR="00255A76" w:rsidRPr="00255A76" w14:paraId="53E69919" w14:textId="005FF867" w:rsidTr="00255A7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28EB8"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Symbol</w:t>
            </w:r>
          </w:p>
        </w:tc>
        <w:tc>
          <w:tcPr>
            <w:tcW w:w="2550" w:type="dxa"/>
            <w:noWrap/>
            <w:hideMark/>
          </w:tcPr>
          <w:p w14:paraId="7169CE74" w14:textId="77777777" w:rsidR="00255A76" w:rsidRPr="00367A76" w:rsidRDefault="00255A76" w:rsidP="00255A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Name</w:t>
            </w:r>
          </w:p>
        </w:tc>
        <w:tc>
          <w:tcPr>
            <w:tcW w:w="1260" w:type="dxa"/>
            <w:noWrap/>
            <w:hideMark/>
          </w:tcPr>
          <w:p w14:paraId="03223F64" w14:textId="66AE6A3C" w:rsidR="00255A76" w:rsidRPr="00367A76" w:rsidRDefault="00255A76" w:rsidP="00255A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Price</w:t>
            </w:r>
            <w:r w:rsidRPr="00255A76">
              <w:rPr>
                <w:rFonts w:ascii="Calibri" w:eastAsia="Times New Roman" w:hAnsi="Calibri" w:cs="Calibri"/>
                <w:color w:val="000000"/>
                <w:sz w:val="16"/>
                <w:szCs w:val="16"/>
              </w:rPr>
              <w:t xml:space="preserve"> (3/24/21)</w:t>
            </w:r>
          </w:p>
        </w:tc>
        <w:tc>
          <w:tcPr>
            <w:tcW w:w="720" w:type="dxa"/>
          </w:tcPr>
          <w:p w14:paraId="4A389E68" w14:textId="514C5930" w:rsidR="00255A76" w:rsidRPr="00255A76" w:rsidRDefault="00255A76" w:rsidP="00255A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Symbol</w:t>
            </w:r>
          </w:p>
        </w:tc>
        <w:tc>
          <w:tcPr>
            <w:tcW w:w="2610" w:type="dxa"/>
          </w:tcPr>
          <w:p w14:paraId="522E3D2F" w14:textId="79066EA9" w:rsidR="00255A76" w:rsidRPr="00255A76" w:rsidRDefault="00255A76" w:rsidP="00255A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Name</w:t>
            </w:r>
          </w:p>
        </w:tc>
        <w:tc>
          <w:tcPr>
            <w:tcW w:w="1260" w:type="dxa"/>
          </w:tcPr>
          <w:p w14:paraId="7CC94AED" w14:textId="06D03CA3" w:rsidR="00255A76" w:rsidRPr="00255A76" w:rsidRDefault="00255A76" w:rsidP="00255A7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367A76">
              <w:rPr>
                <w:rFonts w:ascii="Calibri" w:eastAsia="Times New Roman" w:hAnsi="Calibri" w:cs="Calibri"/>
                <w:color w:val="000000"/>
                <w:sz w:val="16"/>
                <w:szCs w:val="16"/>
              </w:rPr>
              <w:t>Price</w:t>
            </w:r>
            <w:r w:rsidRPr="00255A76">
              <w:rPr>
                <w:rFonts w:ascii="Calibri" w:eastAsia="Times New Roman" w:hAnsi="Calibri" w:cs="Calibri"/>
                <w:color w:val="000000"/>
                <w:sz w:val="16"/>
                <w:szCs w:val="16"/>
              </w:rPr>
              <w:t xml:space="preserve"> (3/24/21)</w:t>
            </w:r>
          </w:p>
        </w:tc>
      </w:tr>
      <w:tr w:rsidR="00255A76" w:rsidRPr="00255A76" w14:paraId="609AB24E" w14:textId="2503F588" w:rsidTr="00255A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8C2FA5"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BOH</w:t>
            </w:r>
          </w:p>
        </w:tc>
        <w:tc>
          <w:tcPr>
            <w:tcW w:w="2550" w:type="dxa"/>
            <w:noWrap/>
            <w:hideMark/>
          </w:tcPr>
          <w:p w14:paraId="2D0CBC70"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Bank of Hawaii Corporation</w:t>
            </w:r>
          </w:p>
        </w:tc>
        <w:tc>
          <w:tcPr>
            <w:tcW w:w="1260" w:type="dxa"/>
            <w:noWrap/>
            <w:hideMark/>
          </w:tcPr>
          <w:p w14:paraId="5CA5D2F4"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88.76 </w:t>
            </w:r>
          </w:p>
        </w:tc>
        <w:tc>
          <w:tcPr>
            <w:tcW w:w="720" w:type="dxa"/>
          </w:tcPr>
          <w:p w14:paraId="23EFF0B5" w14:textId="26EAC7FB"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IBWC</w:t>
            </w:r>
          </w:p>
        </w:tc>
        <w:tc>
          <w:tcPr>
            <w:tcW w:w="2610" w:type="dxa"/>
          </w:tcPr>
          <w:p w14:paraId="101D2CC1" w14:textId="1806B5E3"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IBW FINANCIAL CORP</w:t>
            </w:r>
          </w:p>
        </w:tc>
        <w:tc>
          <w:tcPr>
            <w:tcW w:w="1260" w:type="dxa"/>
          </w:tcPr>
          <w:p w14:paraId="23EF1AFB" w14:textId="547C86CD"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367A76">
              <w:rPr>
                <w:rFonts w:ascii="Calibri" w:eastAsia="Times New Roman" w:hAnsi="Calibri" w:cs="Calibri"/>
                <w:color w:val="000000"/>
                <w:sz w:val="16"/>
                <w:szCs w:val="16"/>
              </w:rPr>
              <w:t xml:space="preserve"> $        32.00 </w:t>
            </w:r>
          </w:p>
        </w:tc>
      </w:tr>
      <w:tr w:rsidR="00255A76" w:rsidRPr="00255A76" w14:paraId="51E6BE7D" w14:textId="484C4F4C" w:rsidTr="00255A76">
        <w:trPr>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B7481C"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BYFC</w:t>
            </w:r>
          </w:p>
        </w:tc>
        <w:tc>
          <w:tcPr>
            <w:tcW w:w="2550" w:type="dxa"/>
            <w:noWrap/>
            <w:hideMark/>
          </w:tcPr>
          <w:p w14:paraId="7756119E"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Broadway Financial Corporation</w:t>
            </w:r>
          </w:p>
        </w:tc>
        <w:tc>
          <w:tcPr>
            <w:tcW w:w="1260" w:type="dxa"/>
            <w:noWrap/>
            <w:hideMark/>
          </w:tcPr>
          <w:p w14:paraId="3BEEC41F"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2.44 </w:t>
            </w:r>
          </w:p>
        </w:tc>
        <w:tc>
          <w:tcPr>
            <w:tcW w:w="720" w:type="dxa"/>
          </w:tcPr>
          <w:p w14:paraId="52E20183" w14:textId="17E0D5D2" w:rsidR="00255A76" w:rsidRPr="00255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IBOC</w:t>
            </w:r>
          </w:p>
        </w:tc>
        <w:tc>
          <w:tcPr>
            <w:tcW w:w="2610" w:type="dxa"/>
          </w:tcPr>
          <w:p w14:paraId="2C36F668" w14:textId="2777A5B8" w:rsidR="00255A76" w:rsidRPr="00255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International Bancshares Corp</w:t>
            </w:r>
          </w:p>
        </w:tc>
        <w:tc>
          <w:tcPr>
            <w:tcW w:w="1260" w:type="dxa"/>
          </w:tcPr>
          <w:p w14:paraId="328AF4DF" w14:textId="341D41CF" w:rsidR="00255A76" w:rsidRPr="00255A76" w:rsidRDefault="00255A76" w:rsidP="00255A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367A76">
              <w:rPr>
                <w:rFonts w:ascii="Calibri" w:eastAsia="Times New Roman" w:hAnsi="Calibri" w:cs="Calibri"/>
                <w:color w:val="000000"/>
                <w:sz w:val="16"/>
                <w:szCs w:val="16"/>
              </w:rPr>
              <w:t xml:space="preserve"> $        45.86 </w:t>
            </w:r>
          </w:p>
        </w:tc>
      </w:tr>
      <w:tr w:rsidR="00255A76" w:rsidRPr="00255A76" w14:paraId="1F7BDD04" w14:textId="6172845B" w:rsidTr="00255A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26AA76"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CARV</w:t>
            </w:r>
          </w:p>
        </w:tc>
        <w:tc>
          <w:tcPr>
            <w:tcW w:w="2550" w:type="dxa"/>
            <w:noWrap/>
            <w:hideMark/>
          </w:tcPr>
          <w:p w14:paraId="12663DAC"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Carver Bancorp, Inc.</w:t>
            </w:r>
          </w:p>
        </w:tc>
        <w:tc>
          <w:tcPr>
            <w:tcW w:w="1260" w:type="dxa"/>
            <w:noWrap/>
            <w:hideMark/>
          </w:tcPr>
          <w:p w14:paraId="7758A9ED"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10.01 </w:t>
            </w:r>
          </w:p>
        </w:tc>
        <w:tc>
          <w:tcPr>
            <w:tcW w:w="720" w:type="dxa"/>
          </w:tcPr>
          <w:p w14:paraId="755605E3" w14:textId="6C493C96"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MFBP</w:t>
            </w:r>
          </w:p>
        </w:tc>
        <w:tc>
          <w:tcPr>
            <w:tcW w:w="2610" w:type="dxa"/>
          </w:tcPr>
          <w:p w14:paraId="00482EFE" w14:textId="50A63E4E"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M &amp; F BANCORP INC</w:t>
            </w:r>
          </w:p>
        </w:tc>
        <w:tc>
          <w:tcPr>
            <w:tcW w:w="1260" w:type="dxa"/>
          </w:tcPr>
          <w:p w14:paraId="014C6EF4" w14:textId="14B10670"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367A76">
              <w:rPr>
                <w:rFonts w:ascii="Calibri" w:eastAsia="Times New Roman" w:hAnsi="Calibri" w:cs="Calibri"/>
                <w:color w:val="000000"/>
                <w:sz w:val="16"/>
                <w:szCs w:val="16"/>
              </w:rPr>
              <w:t xml:space="preserve"> $          7.50 </w:t>
            </w:r>
          </w:p>
        </w:tc>
      </w:tr>
      <w:tr w:rsidR="00255A76" w:rsidRPr="00255A76" w14:paraId="7BC3D910" w14:textId="6650B0D4" w:rsidTr="00255A76">
        <w:trPr>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DA95ED"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CATY</w:t>
            </w:r>
          </w:p>
        </w:tc>
        <w:tc>
          <w:tcPr>
            <w:tcW w:w="2550" w:type="dxa"/>
            <w:noWrap/>
            <w:hideMark/>
          </w:tcPr>
          <w:p w14:paraId="75B69D21"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Cathay General Bancorp</w:t>
            </w:r>
          </w:p>
        </w:tc>
        <w:tc>
          <w:tcPr>
            <w:tcW w:w="1260" w:type="dxa"/>
            <w:noWrap/>
            <w:hideMark/>
          </w:tcPr>
          <w:p w14:paraId="79B6FAE3"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40.83 </w:t>
            </w:r>
          </w:p>
        </w:tc>
        <w:tc>
          <w:tcPr>
            <w:tcW w:w="720" w:type="dxa"/>
          </w:tcPr>
          <w:p w14:paraId="5438C56B" w14:textId="569BFA1E" w:rsidR="00255A76" w:rsidRPr="00255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BPOP</w:t>
            </w:r>
          </w:p>
        </w:tc>
        <w:tc>
          <w:tcPr>
            <w:tcW w:w="2610" w:type="dxa"/>
          </w:tcPr>
          <w:p w14:paraId="58AD5DC0" w14:textId="38D74078" w:rsidR="00255A76" w:rsidRPr="00255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Popular, Inc.</w:t>
            </w:r>
          </w:p>
        </w:tc>
        <w:tc>
          <w:tcPr>
            <w:tcW w:w="1260" w:type="dxa"/>
          </w:tcPr>
          <w:p w14:paraId="409CB36C" w14:textId="34D100D4" w:rsidR="00255A76" w:rsidRPr="00255A76" w:rsidRDefault="00255A76" w:rsidP="00255A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367A76">
              <w:rPr>
                <w:rFonts w:ascii="Calibri" w:eastAsia="Times New Roman" w:hAnsi="Calibri" w:cs="Calibri"/>
                <w:color w:val="000000"/>
                <w:sz w:val="16"/>
                <w:szCs w:val="16"/>
              </w:rPr>
              <w:t xml:space="preserve"> $        67.82 </w:t>
            </w:r>
          </w:p>
        </w:tc>
      </w:tr>
      <w:tr w:rsidR="00255A76" w:rsidRPr="00255A76" w14:paraId="6F230334" w14:textId="5119988F" w:rsidTr="00255A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6B2BBB"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CZBS</w:t>
            </w:r>
          </w:p>
        </w:tc>
        <w:tc>
          <w:tcPr>
            <w:tcW w:w="2550" w:type="dxa"/>
            <w:noWrap/>
            <w:hideMark/>
          </w:tcPr>
          <w:p w14:paraId="61797495"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CITIZENS BANCSHARES CORP GA</w:t>
            </w:r>
          </w:p>
        </w:tc>
        <w:tc>
          <w:tcPr>
            <w:tcW w:w="1260" w:type="dxa"/>
            <w:noWrap/>
            <w:hideMark/>
          </w:tcPr>
          <w:p w14:paraId="0B7A5532"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11.72 </w:t>
            </w:r>
          </w:p>
        </w:tc>
        <w:tc>
          <w:tcPr>
            <w:tcW w:w="720" w:type="dxa"/>
          </w:tcPr>
          <w:p w14:paraId="43330D4E" w14:textId="0A843703"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PFBC</w:t>
            </w:r>
          </w:p>
        </w:tc>
        <w:tc>
          <w:tcPr>
            <w:tcW w:w="2610" w:type="dxa"/>
          </w:tcPr>
          <w:p w14:paraId="2BFE885A" w14:textId="0D3F1CD9"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Preferred Bank</w:t>
            </w:r>
          </w:p>
        </w:tc>
        <w:tc>
          <w:tcPr>
            <w:tcW w:w="1260" w:type="dxa"/>
          </w:tcPr>
          <w:p w14:paraId="5DFE9418" w14:textId="4942717F" w:rsidR="00255A76" w:rsidRPr="00255A76" w:rsidRDefault="00255A76" w:rsidP="00255A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367A76">
              <w:rPr>
                <w:rFonts w:ascii="Calibri" w:eastAsia="Times New Roman" w:hAnsi="Calibri" w:cs="Calibri"/>
                <w:color w:val="000000"/>
                <w:sz w:val="16"/>
                <w:szCs w:val="16"/>
              </w:rPr>
              <w:t xml:space="preserve"> $        62.50 </w:t>
            </w:r>
          </w:p>
        </w:tc>
      </w:tr>
      <w:tr w:rsidR="00255A76" w:rsidRPr="00255A76" w14:paraId="29893494" w14:textId="5EC1A402" w:rsidTr="00255A76">
        <w:trPr>
          <w:gridAfter w:val="3"/>
          <w:wAfter w:w="4590" w:type="dxa"/>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3EC9E4"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EWBC</w:t>
            </w:r>
          </w:p>
        </w:tc>
        <w:tc>
          <w:tcPr>
            <w:tcW w:w="2550" w:type="dxa"/>
            <w:noWrap/>
            <w:hideMark/>
          </w:tcPr>
          <w:p w14:paraId="5CD40E29"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East West Bancorp, Inc.</w:t>
            </w:r>
          </w:p>
        </w:tc>
        <w:tc>
          <w:tcPr>
            <w:tcW w:w="1260" w:type="dxa"/>
            <w:noWrap/>
            <w:hideMark/>
          </w:tcPr>
          <w:p w14:paraId="4E302F08"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72.71 </w:t>
            </w:r>
          </w:p>
        </w:tc>
      </w:tr>
      <w:tr w:rsidR="00255A76" w:rsidRPr="00255A76" w14:paraId="2716F337" w14:textId="1D76DE26" w:rsidTr="00255A76">
        <w:trPr>
          <w:gridAfter w:val="3"/>
          <w:cnfStyle w:val="000000100000" w:firstRow="0" w:lastRow="0" w:firstColumn="0" w:lastColumn="0" w:oddVBand="0" w:evenVBand="0" w:oddHBand="1" w:evenHBand="0" w:firstRowFirstColumn="0" w:firstRowLastColumn="0" w:lastRowFirstColumn="0" w:lastRowLastColumn="0"/>
          <w:wAfter w:w="4590" w:type="dxa"/>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B2D01C"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HAFC</w:t>
            </w:r>
          </w:p>
        </w:tc>
        <w:tc>
          <w:tcPr>
            <w:tcW w:w="2550" w:type="dxa"/>
            <w:noWrap/>
            <w:hideMark/>
          </w:tcPr>
          <w:p w14:paraId="59E67A71"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spellStart"/>
            <w:r w:rsidRPr="00367A76">
              <w:rPr>
                <w:rFonts w:ascii="Calibri" w:eastAsia="Times New Roman" w:hAnsi="Calibri" w:cs="Calibri"/>
                <w:color w:val="000000"/>
                <w:sz w:val="16"/>
                <w:szCs w:val="16"/>
              </w:rPr>
              <w:t>Hanmi</w:t>
            </w:r>
            <w:proofErr w:type="spellEnd"/>
            <w:r w:rsidRPr="00367A76">
              <w:rPr>
                <w:rFonts w:ascii="Calibri" w:eastAsia="Times New Roman" w:hAnsi="Calibri" w:cs="Calibri"/>
                <w:color w:val="000000"/>
                <w:sz w:val="16"/>
                <w:szCs w:val="16"/>
              </w:rPr>
              <w:t xml:space="preserve"> Financial Corporation</w:t>
            </w:r>
          </w:p>
        </w:tc>
        <w:tc>
          <w:tcPr>
            <w:tcW w:w="1260" w:type="dxa"/>
            <w:noWrap/>
            <w:hideMark/>
          </w:tcPr>
          <w:p w14:paraId="79F42AB2" w14:textId="77777777" w:rsidR="00255A76" w:rsidRPr="00367A76" w:rsidRDefault="00255A76" w:rsidP="00255A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18.85 </w:t>
            </w:r>
          </w:p>
        </w:tc>
      </w:tr>
      <w:tr w:rsidR="00255A76" w:rsidRPr="00255A76" w14:paraId="62A5BF9E" w14:textId="33602AEC" w:rsidTr="00255A76">
        <w:trPr>
          <w:gridAfter w:val="3"/>
          <w:wAfter w:w="4590" w:type="dxa"/>
          <w:trHeight w:val="29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7D44E5" w14:textId="77777777" w:rsidR="00255A76" w:rsidRPr="00367A76" w:rsidRDefault="00255A76" w:rsidP="00255A76">
            <w:pPr>
              <w:rPr>
                <w:rFonts w:ascii="Calibri" w:eastAsia="Times New Roman" w:hAnsi="Calibri" w:cs="Calibri"/>
                <w:color w:val="000000"/>
                <w:sz w:val="16"/>
                <w:szCs w:val="16"/>
              </w:rPr>
            </w:pPr>
            <w:r w:rsidRPr="00367A76">
              <w:rPr>
                <w:rFonts w:ascii="Calibri" w:eastAsia="Times New Roman" w:hAnsi="Calibri" w:cs="Calibri"/>
                <w:color w:val="000000"/>
                <w:sz w:val="16"/>
                <w:szCs w:val="16"/>
              </w:rPr>
              <w:t>HRBK</w:t>
            </w:r>
          </w:p>
        </w:tc>
        <w:tc>
          <w:tcPr>
            <w:tcW w:w="2550" w:type="dxa"/>
            <w:noWrap/>
            <w:hideMark/>
          </w:tcPr>
          <w:p w14:paraId="7EC8DCB4"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HARBOR BANKSHARES CORP</w:t>
            </w:r>
          </w:p>
        </w:tc>
        <w:tc>
          <w:tcPr>
            <w:tcW w:w="1260" w:type="dxa"/>
            <w:noWrap/>
            <w:hideMark/>
          </w:tcPr>
          <w:p w14:paraId="7AC7EB95" w14:textId="77777777" w:rsidR="00255A76" w:rsidRPr="00367A76" w:rsidRDefault="00255A76" w:rsidP="00255A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367A76">
              <w:rPr>
                <w:rFonts w:ascii="Calibri" w:eastAsia="Times New Roman" w:hAnsi="Calibri" w:cs="Calibri"/>
                <w:color w:val="000000"/>
                <w:sz w:val="16"/>
                <w:szCs w:val="16"/>
              </w:rPr>
              <w:t xml:space="preserve"> $          2.35 </w:t>
            </w:r>
          </w:p>
        </w:tc>
      </w:tr>
    </w:tbl>
    <w:p w14:paraId="484DB6D7" w14:textId="77777777" w:rsidR="000C3789" w:rsidRDefault="000C3789">
      <w:pPr>
        <w:rPr>
          <w:sz w:val="24"/>
          <w:szCs w:val="24"/>
        </w:rPr>
      </w:pPr>
    </w:p>
    <w:p w14:paraId="73FE8189" w14:textId="6C18B156" w:rsidR="000C3789" w:rsidRPr="000C3789" w:rsidRDefault="000C3789" w:rsidP="000C3789">
      <w:pPr>
        <w:rPr>
          <w:sz w:val="24"/>
          <w:szCs w:val="24"/>
        </w:rPr>
      </w:pPr>
      <w:r w:rsidRPr="000C3789">
        <w:rPr>
          <w:sz w:val="24"/>
          <w:szCs w:val="24"/>
        </w:rPr>
        <w:t>The dramatic, S&amp;P beating portfolio returns were generated by Asian and Hispanic banks, not Black banks, although majority bank investments in Black banks have gotten most of the media attention.</w:t>
      </w:r>
    </w:p>
    <w:p w14:paraId="006ABE3C" w14:textId="6A86DB9D" w:rsidR="00317F73" w:rsidRPr="00897CA5" w:rsidRDefault="000C3789">
      <w:pPr>
        <w:rPr>
          <w:sz w:val="24"/>
          <w:szCs w:val="24"/>
        </w:rPr>
      </w:pPr>
      <w:r w:rsidRPr="000C3789">
        <w:rPr>
          <w:sz w:val="24"/>
          <w:szCs w:val="24"/>
        </w:rPr>
        <w:t xml:space="preserve">It's also </w:t>
      </w:r>
      <w:r w:rsidR="00255A76">
        <w:rPr>
          <w:sz w:val="24"/>
          <w:szCs w:val="24"/>
        </w:rPr>
        <w:t>difficult</w:t>
      </w:r>
      <w:r w:rsidRPr="000C3789">
        <w:rPr>
          <w:sz w:val="24"/>
          <w:szCs w:val="24"/>
        </w:rPr>
        <w:t xml:space="preserve"> to actually </w:t>
      </w:r>
      <w:r w:rsidR="00255A76">
        <w:rPr>
          <w:sz w:val="24"/>
          <w:szCs w:val="24"/>
        </w:rPr>
        <w:t>own</w:t>
      </w:r>
      <w:r w:rsidRPr="000C3789">
        <w:rPr>
          <w:sz w:val="24"/>
          <w:szCs w:val="24"/>
        </w:rPr>
        <w:t xml:space="preserve"> this portfolio</w:t>
      </w:r>
      <w:r w:rsidR="00255A76">
        <w:rPr>
          <w:sz w:val="24"/>
          <w:szCs w:val="24"/>
        </w:rPr>
        <w:t xml:space="preserve">: </w:t>
      </w:r>
      <w:r w:rsidRPr="000C3789">
        <w:rPr>
          <w:sz w:val="24"/>
          <w:szCs w:val="24"/>
        </w:rPr>
        <w:t xml:space="preserve">stock in Black-owned banks is thinly traded and illiquid. </w:t>
      </w:r>
      <w:r w:rsidR="006017C6">
        <w:rPr>
          <w:sz w:val="24"/>
          <w:szCs w:val="24"/>
        </w:rPr>
        <w:t>Minority bank i</w:t>
      </w:r>
      <w:r w:rsidR="006017C6" w:rsidRPr="000C3789">
        <w:rPr>
          <w:sz w:val="24"/>
          <w:szCs w:val="24"/>
        </w:rPr>
        <w:t>nvestments made by large non-minority banks, like JP Morgan, Morgan Stanley, Citibank and Wells Fargo</w:t>
      </w:r>
      <w:r w:rsidR="006017C6">
        <w:rPr>
          <w:sz w:val="24"/>
          <w:szCs w:val="24"/>
        </w:rPr>
        <w:t>, are a</w:t>
      </w:r>
      <w:r w:rsidR="00255A76">
        <w:rPr>
          <w:sz w:val="24"/>
          <w:szCs w:val="24"/>
        </w:rPr>
        <w:t xml:space="preserve"> significant factor</w:t>
      </w:r>
      <w:r w:rsidRPr="000C3789">
        <w:rPr>
          <w:sz w:val="24"/>
          <w:szCs w:val="24"/>
        </w:rPr>
        <w:t xml:space="preserve">. </w:t>
      </w:r>
    </w:p>
    <w:p w14:paraId="36EA8A00" w14:textId="70BB4E75" w:rsidR="00074895" w:rsidRPr="003F0109" w:rsidRDefault="003F0109" w:rsidP="00074895">
      <w:pPr>
        <w:rPr>
          <w:b/>
          <w:bCs/>
          <w:sz w:val="24"/>
          <w:szCs w:val="24"/>
        </w:rPr>
      </w:pPr>
      <w:r w:rsidRPr="003F0109">
        <w:rPr>
          <w:b/>
          <w:bCs/>
          <w:sz w:val="24"/>
          <w:szCs w:val="24"/>
        </w:rPr>
        <w:t>02/08/2021</w:t>
      </w:r>
      <w:r>
        <w:rPr>
          <w:b/>
          <w:bCs/>
          <w:sz w:val="24"/>
          <w:szCs w:val="24"/>
        </w:rPr>
        <w:t xml:space="preserve">. </w:t>
      </w:r>
      <w:r w:rsidR="00074895" w:rsidRPr="003F0109">
        <w:rPr>
          <w:b/>
          <w:bCs/>
          <w:sz w:val="24"/>
          <w:szCs w:val="24"/>
        </w:rPr>
        <w:t>WELLS FARGO INVESTS IN SIX BLACK-OWNED BANKS</w:t>
      </w:r>
    </w:p>
    <w:p w14:paraId="0E6B18A4" w14:textId="2F7AC44D" w:rsidR="00074895" w:rsidRDefault="00074895" w:rsidP="00074895">
      <w:r>
        <w:t xml:space="preserve">SAN FRANCISCO--(BUSINESS </w:t>
      </w:r>
      <w:proofErr w:type="gramStart"/>
      <w:r>
        <w:t>WIRE)--</w:t>
      </w:r>
      <w:proofErr w:type="gramEnd"/>
      <w:r>
        <w:t xml:space="preserve"> Wells Fargo today announced equity investments in six African American Minority Depository Institutions (MDIs) as part of its March 10, 2020, </w:t>
      </w:r>
      <w:r w:rsidRPr="00074895">
        <w:rPr>
          <w:b/>
          <w:bCs/>
        </w:rPr>
        <w:t>pledge to invest up to $50 million in Black-owned banks</w:t>
      </w:r>
      <w:r>
        <w:t xml:space="preserve">. As part of the capital investment, </w:t>
      </w:r>
      <w:r w:rsidRPr="003F0109">
        <w:rPr>
          <w:b/>
          <w:bCs/>
        </w:rPr>
        <w:t>the banks will have access to a dedicated Wells Fargo relationship team that will provide financial, technological, and product development expertise in order to help each institution grow and benefit their local community</w:t>
      </w:r>
      <w:r w:rsidR="003F0109">
        <w:rPr>
          <w:b/>
          <w:bCs/>
        </w:rPr>
        <w:t>.</w:t>
      </w:r>
    </w:p>
    <w:p w14:paraId="33A680CF" w14:textId="2088685C" w:rsidR="00074895" w:rsidRDefault="00074895" w:rsidP="00074895">
      <w:r>
        <w:t>“These investments are designed to help the banks become stronger and more impactful to the minority communities they serve, which leads to economic revitalization and job opportunities,” said Bill Daley, vice chairman of Public Affairs at Wells Fargo. “So many communities have suffered over the past year. MDIs need capital, but they can also benefit from access to other resources, and Wells Fargo is committed to building lasting, strategic relationships with these institutions in support of their goals.”</w:t>
      </w:r>
    </w:p>
    <w:p w14:paraId="15A86436" w14:textId="77777777" w:rsidR="00074895" w:rsidRDefault="00074895" w:rsidP="00074895">
      <w:r>
        <w:t>Today’s announcement includes investments in the following institutions:</w:t>
      </w:r>
    </w:p>
    <w:p w14:paraId="78192B61" w14:textId="77777777" w:rsidR="00074895" w:rsidRDefault="00074895" w:rsidP="003F0109">
      <w:pPr>
        <w:spacing w:after="0" w:line="240" w:lineRule="auto"/>
      </w:pPr>
      <w:r>
        <w:t>Broadway Federal Bank*, in Los Angeles, California</w:t>
      </w:r>
    </w:p>
    <w:p w14:paraId="78A2182E" w14:textId="77777777" w:rsidR="00074895" w:rsidRDefault="00074895" w:rsidP="003F0109">
      <w:pPr>
        <w:spacing w:after="0" w:line="240" w:lineRule="auto"/>
      </w:pPr>
      <w:r>
        <w:t>Carver Federal Savings Bank, in New York, New York</w:t>
      </w:r>
    </w:p>
    <w:p w14:paraId="7D8684EF" w14:textId="77777777" w:rsidR="00074895" w:rsidRDefault="00074895" w:rsidP="003F0109">
      <w:pPr>
        <w:spacing w:after="0" w:line="240" w:lineRule="auto"/>
      </w:pPr>
      <w:r>
        <w:t>Citizens Savings Bank &amp; Trust, in Nashville, Tennessee</w:t>
      </w:r>
    </w:p>
    <w:p w14:paraId="2CA6B824" w14:textId="77777777" w:rsidR="00074895" w:rsidRDefault="00074895" w:rsidP="003F0109">
      <w:pPr>
        <w:spacing w:after="0" w:line="240" w:lineRule="auto"/>
      </w:pPr>
      <w:r>
        <w:t>Commonwealth National Bank, in Mobile, Alabama</w:t>
      </w:r>
    </w:p>
    <w:p w14:paraId="12F30589" w14:textId="77777777" w:rsidR="00074895" w:rsidRDefault="00074895" w:rsidP="003F0109">
      <w:pPr>
        <w:spacing w:after="0" w:line="240" w:lineRule="auto"/>
      </w:pPr>
      <w:r>
        <w:t>M&amp;F Bank, in Durham, North Carolina</w:t>
      </w:r>
    </w:p>
    <w:p w14:paraId="1028250D" w14:textId="5BF52047" w:rsidR="00074895" w:rsidRDefault="00074895" w:rsidP="003F0109">
      <w:pPr>
        <w:spacing w:after="0" w:line="240" w:lineRule="auto"/>
      </w:pPr>
      <w:r>
        <w:t>Optus Bank, in Columbia, South Carolina</w:t>
      </w:r>
    </w:p>
    <w:p w14:paraId="65E426EC" w14:textId="77777777" w:rsidR="003F0109" w:rsidRDefault="003F0109" w:rsidP="003F0109">
      <w:pPr>
        <w:spacing w:after="0" w:line="240" w:lineRule="auto"/>
      </w:pPr>
    </w:p>
    <w:p w14:paraId="731AF8AB" w14:textId="0008D6C2" w:rsidR="00074895" w:rsidRDefault="00074895" w:rsidP="00074895">
      <w:r>
        <w:t xml:space="preserve">Wells Fargo’s financial commitments are in the form of critical equity capital, which is foundational to the MDIs’ ability to expand lending and deposit-taking capacity in their communities. </w:t>
      </w:r>
      <w:r w:rsidRPr="00074895">
        <w:rPr>
          <w:b/>
          <w:bCs/>
        </w:rPr>
        <w:t xml:space="preserve">The investments, primarily non-voting </w:t>
      </w:r>
      <w:r w:rsidR="003F0109">
        <w:rPr>
          <w:b/>
          <w:bCs/>
        </w:rPr>
        <w:t>(</w:t>
      </w:r>
      <w:r w:rsidR="003F0109" w:rsidRPr="00074895">
        <w:rPr>
          <w:b/>
          <w:bCs/>
        </w:rPr>
        <w:t>P</w:t>
      </w:r>
      <w:r w:rsidR="003F0109">
        <w:rPr>
          <w:b/>
          <w:bCs/>
        </w:rPr>
        <w:t>referred Stock) p</w:t>
      </w:r>
      <w:r w:rsidRPr="00074895">
        <w:rPr>
          <w:b/>
          <w:bCs/>
        </w:rPr>
        <w:t xml:space="preserve">ositions, are designed to enable the banks to maintain their MDI status. </w:t>
      </w:r>
      <w:r>
        <w:t>Wells Fargo is also supporting each MDI’s development through a banking relationship in the form of a single touchpoint coverage model that will help them access Wells Fargo’s expertise and pursue strategic priorities like entering new markets, expanding locations, designing new products, and hiring staff to support loan growth.</w:t>
      </w:r>
    </w:p>
    <w:p w14:paraId="503FCE3F" w14:textId="7D9D3BAC" w:rsidR="00074895" w:rsidRPr="00074895" w:rsidRDefault="00074895" w:rsidP="00074895">
      <w:pPr>
        <w:rPr>
          <w:b/>
          <w:bCs/>
        </w:rPr>
      </w:pPr>
      <w:r w:rsidRPr="00074895">
        <w:rPr>
          <w:b/>
          <w:bCs/>
        </w:rPr>
        <w:t xml:space="preserve">External partners that assisted Wells Fargo include the National Bankers Association (NBA) and Sullivan &amp; Cromwell. External advisory committee members are Kim D. Saunders, president and CEO of NBA; Aron </w:t>
      </w:r>
      <w:proofErr w:type="spellStart"/>
      <w:r w:rsidRPr="00074895">
        <w:rPr>
          <w:b/>
          <w:bCs/>
        </w:rPr>
        <w:t>Betru</w:t>
      </w:r>
      <w:proofErr w:type="spellEnd"/>
      <w:r w:rsidRPr="00074895">
        <w:rPr>
          <w:b/>
          <w:bCs/>
        </w:rPr>
        <w:t>, managing director of the Center for Financial Markets at Milken Institute; and John W. Rogers, Jr., chairman, co-CEO, and CIO of Ariel Investments.</w:t>
      </w:r>
    </w:p>
    <w:p w14:paraId="440A85F1" w14:textId="76AC8905" w:rsidR="00074895" w:rsidRDefault="00074895" w:rsidP="00074895">
      <w:r>
        <w:t>The company’s Open for Business Fund invests all gross processing fees we received from the Paycheck Protection Program in 2020 — approximately $400 million — to nonprofits helping small businesses navigate the pandemic, with an emphasis on Black, African American, and other minority-owned small businesses, as businesses with nonwhite owners are closing at a rate faster than industry peers.</w:t>
      </w:r>
    </w:p>
    <w:p w14:paraId="143981C6" w14:textId="5CAB6F3F" w:rsidR="00074895" w:rsidRDefault="00074895" w:rsidP="00074895">
      <w:r>
        <w:t>The Wells Fargo Diverse Community Capital program is a $175 million program with Community Development Financial Institutions (CDFIs) to provide capital and technical assistance for diverse small business owners in the U.S. Approximately 75% of awardees are led by leaders from underrepresented communities. The DCC program has enabled CDFIs to lend nearly $350 million to Black and African American small business owners across the country since the program launched in 2015, according to Opportunity Finance Network.</w:t>
      </w:r>
    </w:p>
    <w:p w14:paraId="595A03CE" w14:textId="00DDC595" w:rsidR="00074895" w:rsidRDefault="00074895" w:rsidP="00074895">
      <w:r>
        <w:t>In the 10 years spanning 2009 to 2018, Wells Fargo was the No. 1 financier of home loans to African Americans and originated more mortgages to help Black buyers purchase homes than the four other largest bank lenders combined.</w:t>
      </w:r>
    </w:p>
    <w:p w14:paraId="6D93AD4A" w14:textId="6E8DF3FB" w:rsidR="00074895" w:rsidRDefault="00074895" w:rsidP="00074895">
      <w:r>
        <w:t>In 2017, the company pledged to create 250,000 Black homeowners by 2027 through lending $60 billion for home purchases, increasing the diversity of the sales team, and supporting homebuyer education and counseling. In the first three years of the commitment, 60,527 African American homeowners have been created with $15.2 billion in financing.</w:t>
      </w:r>
    </w:p>
    <w:p w14:paraId="3FD0620B" w14:textId="5570448B" w:rsidR="00074895" w:rsidRDefault="00074895" w:rsidP="00074895">
      <w:r>
        <w:t>Wells Fargo is donating $5.4 million in grants to 15 legal assistance organizations across the U.S. that work to keep people and families housed through services and advocacy efforts. This first-of-its-kind effort seeks to enable these nonprofit organizations to provide free or low-cost legal representation to people at risk of eviction. These organizations have track records of serving, on average, more than 60% people of color.</w:t>
      </w:r>
    </w:p>
    <w:p w14:paraId="2533F015" w14:textId="2CA54AD5" w:rsidR="00074895" w:rsidRDefault="00074895" w:rsidP="00074895">
      <w:r>
        <w:t>*Broadway is expected to merge with City First Bank in early 2021 and will become the largest African American MDI. Wells Fargo’s investment will close upon completion of the merger.</w:t>
      </w:r>
    </w:p>
    <w:p w14:paraId="78CCBBEB" w14:textId="37690E07" w:rsidR="00074895" w:rsidRDefault="00074895">
      <w:r>
        <w:br w:type="page"/>
      </w:r>
    </w:p>
    <w:p w14:paraId="7C010670" w14:textId="77777777" w:rsidR="00074895" w:rsidRDefault="00074895" w:rsidP="00976338"/>
    <w:tbl>
      <w:tblPr>
        <w:tblW w:w="11325" w:type="dxa"/>
        <w:tblCellSpacing w:w="0" w:type="dxa"/>
        <w:tblInd w:w="-450" w:type="dxa"/>
        <w:shd w:val="clear" w:color="auto" w:fill="FFFFFF"/>
        <w:tblCellMar>
          <w:left w:w="0" w:type="dxa"/>
          <w:right w:w="0" w:type="dxa"/>
        </w:tblCellMar>
        <w:tblLook w:val="04A0" w:firstRow="1" w:lastRow="0" w:firstColumn="1" w:lastColumn="0" w:noHBand="0" w:noVBand="1"/>
      </w:tblPr>
      <w:tblGrid>
        <w:gridCol w:w="11325"/>
      </w:tblGrid>
      <w:tr w:rsidR="00E678E0" w:rsidRPr="00E678E0" w14:paraId="5E4197B6" w14:textId="77777777" w:rsidTr="00E678E0">
        <w:trPr>
          <w:tblCellSpacing w:w="0" w:type="dxa"/>
        </w:trPr>
        <w:tc>
          <w:tcPr>
            <w:tcW w:w="0" w:type="auto"/>
            <w:shd w:val="clear" w:color="auto" w:fill="FFFFFF"/>
            <w:vAlign w:val="bottom"/>
            <w:hideMark/>
          </w:tcPr>
          <w:p w14:paraId="2732ADC8" w14:textId="77777777" w:rsidR="00E678E0" w:rsidRPr="00E678E0" w:rsidRDefault="00E678E0" w:rsidP="00E678E0">
            <w:pPr>
              <w:spacing w:after="0" w:line="240" w:lineRule="auto"/>
              <w:ind w:left="-270" w:firstLine="270"/>
              <w:jc w:val="center"/>
              <w:rPr>
                <w:rFonts w:ascii="Arial" w:eastAsia="Times New Roman" w:hAnsi="Arial" w:cs="Arial"/>
                <w:sz w:val="20"/>
                <w:szCs w:val="20"/>
              </w:rPr>
            </w:pPr>
            <w:r w:rsidRPr="00E678E0">
              <w:rPr>
                <w:rFonts w:ascii="Arial" w:eastAsia="Times New Roman" w:hAnsi="Arial" w:cs="Arial"/>
                <w:b/>
                <w:bCs/>
                <w:sz w:val="27"/>
                <w:szCs w:val="27"/>
              </w:rPr>
              <w:t>State Banking Performance Summary</w:t>
            </w:r>
          </w:p>
        </w:tc>
      </w:tr>
      <w:tr w:rsidR="00E678E0" w:rsidRPr="00E678E0" w14:paraId="0924C375" w14:textId="77777777" w:rsidTr="00E678E0">
        <w:trPr>
          <w:tblCellSpacing w:w="0" w:type="dxa"/>
        </w:trPr>
        <w:tc>
          <w:tcPr>
            <w:tcW w:w="0" w:type="auto"/>
            <w:shd w:val="clear" w:color="auto" w:fill="FFFFFF"/>
            <w:vAlign w:val="center"/>
            <w:hideMark/>
          </w:tcPr>
          <w:p w14:paraId="15661AF4" w14:textId="77777777" w:rsidR="00E678E0" w:rsidRPr="00E678E0" w:rsidRDefault="00E678E0" w:rsidP="00E678E0">
            <w:pPr>
              <w:spacing w:after="0" w:line="240" w:lineRule="auto"/>
              <w:jc w:val="center"/>
              <w:rPr>
                <w:rFonts w:ascii="Arial" w:eastAsia="Times New Roman" w:hAnsi="Arial" w:cs="Arial"/>
                <w:sz w:val="20"/>
                <w:szCs w:val="20"/>
              </w:rPr>
            </w:pPr>
          </w:p>
        </w:tc>
      </w:tr>
      <w:tr w:rsidR="00E678E0" w:rsidRPr="00E678E0" w14:paraId="417350F7" w14:textId="77777777" w:rsidTr="00E678E0">
        <w:trPr>
          <w:tblCellSpacing w:w="0" w:type="dxa"/>
        </w:trPr>
        <w:tc>
          <w:tcPr>
            <w:tcW w:w="0" w:type="auto"/>
            <w:shd w:val="clear" w:color="auto" w:fill="FFFFFF"/>
            <w:vAlign w:val="bottom"/>
            <w:hideMark/>
          </w:tcPr>
          <w:p w14:paraId="626B178C" w14:textId="77777777" w:rsidR="00E678E0" w:rsidRPr="00E678E0" w:rsidRDefault="00E678E0" w:rsidP="00E678E0">
            <w:pPr>
              <w:spacing w:after="0" w:line="240" w:lineRule="auto"/>
              <w:jc w:val="center"/>
              <w:rPr>
                <w:rFonts w:ascii="Arial" w:eastAsia="Times New Roman" w:hAnsi="Arial" w:cs="Arial"/>
                <w:sz w:val="20"/>
                <w:szCs w:val="20"/>
              </w:rPr>
            </w:pPr>
            <w:r w:rsidRPr="00E678E0">
              <w:rPr>
                <w:rFonts w:ascii="Arial" w:eastAsia="Times New Roman" w:hAnsi="Arial" w:cs="Arial"/>
                <w:sz w:val="27"/>
                <w:szCs w:val="27"/>
              </w:rPr>
              <w:t>FDIC-Insured Institutions</w:t>
            </w:r>
            <w:r w:rsidRPr="00E678E0">
              <w:rPr>
                <w:rFonts w:ascii="Arial" w:eastAsia="Times New Roman" w:hAnsi="Arial" w:cs="Arial"/>
                <w:sz w:val="20"/>
                <w:szCs w:val="20"/>
              </w:rPr>
              <w:br/>
            </w:r>
          </w:p>
        </w:tc>
      </w:tr>
    </w:tbl>
    <w:p w14:paraId="7FF5FE46" w14:textId="77777777" w:rsidR="00E678E0" w:rsidRPr="00E678E0" w:rsidRDefault="00E678E0" w:rsidP="00E678E0">
      <w:pPr>
        <w:spacing w:after="0" w:line="240" w:lineRule="auto"/>
        <w:rPr>
          <w:rFonts w:ascii="Times New Roman" w:eastAsia="Times New Roman" w:hAnsi="Times New Roman" w:cs="Times New Roman"/>
          <w:vanish/>
          <w:sz w:val="24"/>
          <w:szCs w:val="24"/>
        </w:rPr>
      </w:pPr>
    </w:p>
    <w:tbl>
      <w:tblPr>
        <w:tblW w:w="11325" w:type="dxa"/>
        <w:tblCellSpacing w:w="0" w:type="dxa"/>
        <w:tblInd w:w="-450" w:type="dxa"/>
        <w:shd w:val="clear" w:color="auto" w:fill="FFFFFF"/>
        <w:tblCellMar>
          <w:top w:w="15" w:type="dxa"/>
          <w:left w:w="15" w:type="dxa"/>
          <w:bottom w:w="15" w:type="dxa"/>
          <w:right w:w="15" w:type="dxa"/>
        </w:tblCellMar>
        <w:tblLook w:val="04A0" w:firstRow="1" w:lastRow="0" w:firstColumn="1" w:lastColumn="0" w:noHBand="0" w:noVBand="1"/>
        <w:tblDescription w:val="The State Banking Performance Table consists of three main sections which are populated with different data depending on the choices provided.  The Type of Bank charter, the geographic level, and the quarter of data to be displayed are user options.  Each three main choices display the data broken down by the size of the banks selected."/>
      </w:tblPr>
      <w:tblGrid>
        <w:gridCol w:w="3414"/>
        <w:gridCol w:w="843"/>
        <w:gridCol w:w="893"/>
        <w:gridCol w:w="901"/>
        <w:gridCol w:w="843"/>
        <w:gridCol w:w="893"/>
        <w:gridCol w:w="901"/>
        <w:gridCol w:w="843"/>
        <w:gridCol w:w="893"/>
        <w:gridCol w:w="901"/>
      </w:tblGrid>
      <w:tr w:rsidR="00E678E0" w:rsidRPr="00E678E0" w14:paraId="0E1CB596" w14:textId="77777777" w:rsidTr="00E678E0">
        <w:trPr>
          <w:tblHeader/>
          <w:tblCellSpacing w:w="0" w:type="dxa"/>
        </w:trPr>
        <w:tc>
          <w:tcPr>
            <w:tcW w:w="3399" w:type="dxa"/>
            <w:shd w:val="clear" w:color="auto" w:fill="FFFFFF"/>
            <w:vAlign w:val="center"/>
            <w:hideMark/>
          </w:tcPr>
          <w:p w14:paraId="1B28CEE0" w14:textId="77777777" w:rsidR="00E678E0" w:rsidRPr="00E678E0" w:rsidRDefault="00E678E0" w:rsidP="00E678E0">
            <w:pPr>
              <w:spacing w:after="0" w:line="240" w:lineRule="auto"/>
              <w:rPr>
                <w:rFonts w:ascii="Times New Roman" w:eastAsia="Times New Roman" w:hAnsi="Times New Roman" w:cs="Times New Roman"/>
                <w:sz w:val="24"/>
                <w:szCs w:val="24"/>
              </w:rPr>
            </w:pPr>
          </w:p>
        </w:tc>
        <w:tc>
          <w:tcPr>
            <w:tcW w:w="0" w:type="auto"/>
            <w:gridSpan w:val="3"/>
            <w:shd w:val="clear" w:color="auto" w:fill="FFFFFF"/>
            <w:vAlign w:val="bottom"/>
            <w:hideMark/>
          </w:tcPr>
          <w:p w14:paraId="07951C34"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20"/>
                <w:szCs w:val="20"/>
              </w:rPr>
              <w:t>All Insured Institutions</w:t>
            </w:r>
            <w:r w:rsidRPr="00E678E0">
              <w:rPr>
                <w:rFonts w:ascii="Arial" w:eastAsia="Times New Roman" w:hAnsi="Arial" w:cs="Arial"/>
                <w:b/>
                <w:bCs/>
                <w:sz w:val="20"/>
                <w:szCs w:val="20"/>
              </w:rPr>
              <w:br/>
              <w:t>National</w:t>
            </w:r>
            <w:r w:rsidRPr="00E678E0">
              <w:rPr>
                <w:rFonts w:ascii="Arial" w:eastAsia="Times New Roman" w:hAnsi="Arial" w:cs="Arial"/>
                <w:b/>
                <w:bCs/>
                <w:sz w:val="20"/>
                <w:szCs w:val="20"/>
              </w:rPr>
              <w:br/>
              <w:t>September 30, 2020</w:t>
            </w:r>
          </w:p>
        </w:tc>
        <w:tc>
          <w:tcPr>
            <w:tcW w:w="0" w:type="auto"/>
            <w:gridSpan w:val="3"/>
            <w:shd w:val="clear" w:color="auto" w:fill="FFFFFF"/>
            <w:vAlign w:val="bottom"/>
            <w:hideMark/>
          </w:tcPr>
          <w:p w14:paraId="7E67AC89"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20"/>
                <w:szCs w:val="20"/>
              </w:rPr>
              <w:t>All Insured Institutions</w:t>
            </w:r>
            <w:r w:rsidRPr="00E678E0">
              <w:rPr>
                <w:rFonts w:ascii="Arial" w:eastAsia="Times New Roman" w:hAnsi="Arial" w:cs="Arial"/>
                <w:b/>
                <w:bCs/>
                <w:sz w:val="20"/>
                <w:szCs w:val="20"/>
              </w:rPr>
              <w:br/>
              <w:t>National</w:t>
            </w:r>
            <w:r w:rsidRPr="00E678E0">
              <w:rPr>
                <w:rFonts w:ascii="Arial" w:eastAsia="Times New Roman" w:hAnsi="Arial" w:cs="Arial"/>
                <w:b/>
                <w:bCs/>
                <w:sz w:val="20"/>
                <w:szCs w:val="20"/>
              </w:rPr>
              <w:br/>
              <w:t>September 30, 2019</w:t>
            </w:r>
          </w:p>
        </w:tc>
        <w:tc>
          <w:tcPr>
            <w:tcW w:w="0" w:type="auto"/>
            <w:gridSpan w:val="3"/>
            <w:shd w:val="clear" w:color="auto" w:fill="FFFFFF"/>
            <w:vAlign w:val="bottom"/>
            <w:hideMark/>
          </w:tcPr>
          <w:p w14:paraId="6A530611"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20"/>
                <w:szCs w:val="20"/>
              </w:rPr>
              <w:t>All Insured Institutions</w:t>
            </w:r>
            <w:r w:rsidRPr="00E678E0">
              <w:rPr>
                <w:rFonts w:ascii="Arial" w:eastAsia="Times New Roman" w:hAnsi="Arial" w:cs="Arial"/>
                <w:b/>
                <w:bCs/>
                <w:sz w:val="20"/>
                <w:szCs w:val="20"/>
              </w:rPr>
              <w:br/>
              <w:t>National</w:t>
            </w:r>
            <w:r w:rsidRPr="00E678E0">
              <w:rPr>
                <w:rFonts w:ascii="Arial" w:eastAsia="Times New Roman" w:hAnsi="Arial" w:cs="Arial"/>
                <w:b/>
                <w:bCs/>
                <w:sz w:val="20"/>
                <w:szCs w:val="20"/>
              </w:rPr>
              <w:br/>
              <w:t>September 30, 2018</w:t>
            </w:r>
          </w:p>
        </w:tc>
      </w:tr>
      <w:tr w:rsidR="00E678E0" w:rsidRPr="00E678E0" w14:paraId="181DE75C" w14:textId="77777777" w:rsidTr="00E678E0">
        <w:trPr>
          <w:tblHeader/>
          <w:tblCellSpacing w:w="0" w:type="dxa"/>
        </w:trPr>
        <w:tc>
          <w:tcPr>
            <w:tcW w:w="3399" w:type="dxa"/>
            <w:shd w:val="clear" w:color="auto" w:fill="FFFFFF"/>
            <w:vAlign w:val="bottom"/>
            <w:hideMark/>
          </w:tcPr>
          <w:p w14:paraId="7E6EF52F"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      </w:t>
            </w:r>
            <w:r w:rsidRPr="00E678E0">
              <w:rPr>
                <w:rFonts w:ascii="Arial" w:eastAsia="Times New Roman" w:hAnsi="Arial" w:cs="Arial"/>
                <w:i/>
                <w:iCs/>
                <w:color w:val="FFFFFF"/>
                <w:sz w:val="15"/>
                <w:szCs w:val="15"/>
              </w:rPr>
              <w:t>(dollar figures in millions)</w:t>
            </w:r>
          </w:p>
        </w:tc>
        <w:tc>
          <w:tcPr>
            <w:tcW w:w="0" w:type="auto"/>
            <w:shd w:val="clear" w:color="auto" w:fill="FFFFFF"/>
            <w:vAlign w:val="bottom"/>
            <w:hideMark/>
          </w:tcPr>
          <w:p w14:paraId="01C10709"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All</w:t>
            </w:r>
            <w:r w:rsidRPr="00E678E0">
              <w:rPr>
                <w:rFonts w:ascii="Arial" w:eastAsia="Times New Roman" w:hAnsi="Arial" w:cs="Arial"/>
                <w:b/>
                <w:bCs/>
                <w:sz w:val="15"/>
                <w:szCs w:val="15"/>
              </w:rPr>
              <w:br/>
              <w:t>Institutions</w:t>
            </w:r>
          </w:p>
        </w:tc>
        <w:tc>
          <w:tcPr>
            <w:tcW w:w="0" w:type="auto"/>
            <w:shd w:val="clear" w:color="auto" w:fill="FFFFFF"/>
            <w:vAlign w:val="bottom"/>
            <w:hideMark/>
          </w:tcPr>
          <w:p w14:paraId="65379A97"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Assets</w:t>
            </w:r>
            <w:r w:rsidRPr="00E678E0">
              <w:rPr>
                <w:rFonts w:ascii="Arial" w:eastAsia="Times New Roman" w:hAnsi="Arial" w:cs="Arial"/>
                <w:b/>
                <w:bCs/>
                <w:sz w:val="15"/>
                <w:szCs w:val="15"/>
              </w:rPr>
              <w:br/>
              <w:t>less than</w:t>
            </w:r>
            <w:r w:rsidRPr="00E678E0">
              <w:rPr>
                <w:rFonts w:ascii="Arial" w:eastAsia="Times New Roman" w:hAnsi="Arial" w:cs="Arial"/>
                <w:b/>
                <w:bCs/>
                <w:sz w:val="15"/>
                <w:szCs w:val="15"/>
              </w:rPr>
              <w:br/>
              <w:t>$100 million</w:t>
            </w:r>
          </w:p>
        </w:tc>
        <w:tc>
          <w:tcPr>
            <w:tcW w:w="0" w:type="auto"/>
            <w:shd w:val="clear" w:color="auto" w:fill="FFFFFF"/>
            <w:vAlign w:val="bottom"/>
            <w:hideMark/>
          </w:tcPr>
          <w:p w14:paraId="21328726"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Assets</w:t>
            </w:r>
            <w:r w:rsidRPr="00E678E0">
              <w:rPr>
                <w:rFonts w:ascii="Arial" w:eastAsia="Times New Roman" w:hAnsi="Arial" w:cs="Arial"/>
                <w:b/>
                <w:bCs/>
                <w:sz w:val="15"/>
                <w:szCs w:val="15"/>
              </w:rPr>
              <w:br/>
              <w:t>greater than</w:t>
            </w:r>
            <w:r w:rsidRPr="00E678E0">
              <w:rPr>
                <w:rFonts w:ascii="Arial" w:eastAsia="Times New Roman" w:hAnsi="Arial" w:cs="Arial"/>
                <w:b/>
                <w:bCs/>
                <w:sz w:val="15"/>
                <w:szCs w:val="15"/>
              </w:rPr>
              <w:br/>
              <w:t>$100 million</w:t>
            </w:r>
          </w:p>
        </w:tc>
        <w:tc>
          <w:tcPr>
            <w:tcW w:w="0" w:type="auto"/>
            <w:shd w:val="clear" w:color="auto" w:fill="FFFFFF"/>
            <w:vAlign w:val="bottom"/>
            <w:hideMark/>
          </w:tcPr>
          <w:p w14:paraId="2A7783B0"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All</w:t>
            </w:r>
            <w:r w:rsidRPr="00E678E0">
              <w:rPr>
                <w:rFonts w:ascii="Arial" w:eastAsia="Times New Roman" w:hAnsi="Arial" w:cs="Arial"/>
                <w:b/>
                <w:bCs/>
                <w:sz w:val="15"/>
                <w:szCs w:val="15"/>
              </w:rPr>
              <w:br/>
              <w:t>Institutions</w:t>
            </w:r>
          </w:p>
        </w:tc>
        <w:tc>
          <w:tcPr>
            <w:tcW w:w="0" w:type="auto"/>
            <w:shd w:val="clear" w:color="auto" w:fill="FFFFFF"/>
            <w:vAlign w:val="bottom"/>
            <w:hideMark/>
          </w:tcPr>
          <w:p w14:paraId="4603CA55"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Assets</w:t>
            </w:r>
            <w:r w:rsidRPr="00E678E0">
              <w:rPr>
                <w:rFonts w:ascii="Arial" w:eastAsia="Times New Roman" w:hAnsi="Arial" w:cs="Arial"/>
                <w:b/>
                <w:bCs/>
                <w:sz w:val="15"/>
                <w:szCs w:val="15"/>
              </w:rPr>
              <w:br/>
              <w:t>less than</w:t>
            </w:r>
            <w:r w:rsidRPr="00E678E0">
              <w:rPr>
                <w:rFonts w:ascii="Arial" w:eastAsia="Times New Roman" w:hAnsi="Arial" w:cs="Arial"/>
                <w:b/>
                <w:bCs/>
                <w:sz w:val="15"/>
                <w:szCs w:val="15"/>
              </w:rPr>
              <w:br/>
              <w:t>$100 million</w:t>
            </w:r>
          </w:p>
        </w:tc>
        <w:tc>
          <w:tcPr>
            <w:tcW w:w="0" w:type="auto"/>
            <w:shd w:val="clear" w:color="auto" w:fill="FFFFFF"/>
            <w:vAlign w:val="bottom"/>
            <w:hideMark/>
          </w:tcPr>
          <w:p w14:paraId="1A75FF17"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Assets</w:t>
            </w:r>
            <w:r w:rsidRPr="00E678E0">
              <w:rPr>
                <w:rFonts w:ascii="Arial" w:eastAsia="Times New Roman" w:hAnsi="Arial" w:cs="Arial"/>
                <w:b/>
                <w:bCs/>
                <w:sz w:val="15"/>
                <w:szCs w:val="15"/>
              </w:rPr>
              <w:br/>
              <w:t>greater than</w:t>
            </w:r>
            <w:r w:rsidRPr="00E678E0">
              <w:rPr>
                <w:rFonts w:ascii="Arial" w:eastAsia="Times New Roman" w:hAnsi="Arial" w:cs="Arial"/>
                <w:b/>
                <w:bCs/>
                <w:sz w:val="15"/>
                <w:szCs w:val="15"/>
              </w:rPr>
              <w:br/>
              <w:t>$100 million</w:t>
            </w:r>
          </w:p>
        </w:tc>
        <w:tc>
          <w:tcPr>
            <w:tcW w:w="0" w:type="auto"/>
            <w:shd w:val="clear" w:color="auto" w:fill="FFFFFF"/>
            <w:vAlign w:val="bottom"/>
            <w:hideMark/>
          </w:tcPr>
          <w:p w14:paraId="3BC7D186"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All</w:t>
            </w:r>
            <w:r w:rsidRPr="00E678E0">
              <w:rPr>
                <w:rFonts w:ascii="Arial" w:eastAsia="Times New Roman" w:hAnsi="Arial" w:cs="Arial"/>
                <w:b/>
                <w:bCs/>
                <w:sz w:val="15"/>
                <w:szCs w:val="15"/>
              </w:rPr>
              <w:br/>
              <w:t>Institutions</w:t>
            </w:r>
          </w:p>
        </w:tc>
        <w:tc>
          <w:tcPr>
            <w:tcW w:w="0" w:type="auto"/>
            <w:shd w:val="clear" w:color="auto" w:fill="FFFFFF"/>
            <w:vAlign w:val="bottom"/>
            <w:hideMark/>
          </w:tcPr>
          <w:p w14:paraId="7BBDD60C"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Assets</w:t>
            </w:r>
            <w:r w:rsidRPr="00E678E0">
              <w:rPr>
                <w:rFonts w:ascii="Arial" w:eastAsia="Times New Roman" w:hAnsi="Arial" w:cs="Arial"/>
                <w:b/>
                <w:bCs/>
                <w:sz w:val="15"/>
                <w:szCs w:val="15"/>
              </w:rPr>
              <w:br/>
              <w:t>less than</w:t>
            </w:r>
            <w:r w:rsidRPr="00E678E0">
              <w:rPr>
                <w:rFonts w:ascii="Arial" w:eastAsia="Times New Roman" w:hAnsi="Arial" w:cs="Arial"/>
                <w:b/>
                <w:bCs/>
                <w:sz w:val="15"/>
                <w:szCs w:val="15"/>
              </w:rPr>
              <w:br/>
              <w:t>$100 million</w:t>
            </w:r>
          </w:p>
        </w:tc>
        <w:tc>
          <w:tcPr>
            <w:tcW w:w="0" w:type="auto"/>
            <w:shd w:val="clear" w:color="auto" w:fill="FFFFFF"/>
            <w:vAlign w:val="bottom"/>
            <w:hideMark/>
          </w:tcPr>
          <w:p w14:paraId="3CC9786E" w14:textId="77777777" w:rsidR="00E678E0" w:rsidRPr="00E678E0" w:rsidRDefault="00E678E0" w:rsidP="00E678E0">
            <w:pPr>
              <w:spacing w:after="0" w:line="240" w:lineRule="auto"/>
              <w:jc w:val="center"/>
              <w:rPr>
                <w:rFonts w:ascii="Arial" w:eastAsia="Times New Roman" w:hAnsi="Arial" w:cs="Arial"/>
                <w:b/>
                <w:bCs/>
                <w:sz w:val="20"/>
                <w:szCs w:val="20"/>
              </w:rPr>
            </w:pPr>
            <w:r w:rsidRPr="00E678E0">
              <w:rPr>
                <w:rFonts w:ascii="Arial" w:eastAsia="Times New Roman" w:hAnsi="Arial" w:cs="Arial"/>
                <w:b/>
                <w:bCs/>
                <w:sz w:val="15"/>
                <w:szCs w:val="15"/>
              </w:rPr>
              <w:t>Assets</w:t>
            </w:r>
            <w:r w:rsidRPr="00E678E0">
              <w:rPr>
                <w:rFonts w:ascii="Arial" w:eastAsia="Times New Roman" w:hAnsi="Arial" w:cs="Arial"/>
                <w:b/>
                <w:bCs/>
                <w:sz w:val="15"/>
                <w:szCs w:val="15"/>
              </w:rPr>
              <w:br/>
              <w:t>greater than</w:t>
            </w:r>
            <w:r w:rsidRPr="00E678E0">
              <w:rPr>
                <w:rFonts w:ascii="Arial" w:eastAsia="Times New Roman" w:hAnsi="Arial" w:cs="Arial"/>
                <w:b/>
                <w:bCs/>
                <w:sz w:val="15"/>
                <w:szCs w:val="15"/>
              </w:rPr>
              <w:br/>
              <w:t>$100 million</w:t>
            </w:r>
          </w:p>
        </w:tc>
      </w:tr>
      <w:tr w:rsidR="00E678E0" w:rsidRPr="00E678E0" w14:paraId="29B2C7B2" w14:textId="77777777" w:rsidTr="00E678E0">
        <w:trPr>
          <w:tblCellSpacing w:w="0" w:type="dxa"/>
        </w:trPr>
        <w:tc>
          <w:tcPr>
            <w:tcW w:w="3399" w:type="dxa"/>
            <w:shd w:val="clear" w:color="auto" w:fill="FFFFFF"/>
            <w:noWrap/>
            <w:vAlign w:val="center"/>
            <w:hideMark/>
          </w:tcPr>
          <w:p w14:paraId="4E416E44"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Number of institutions reporting</w:t>
            </w:r>
          </w:p>
        </w:tc>
        <w:tc>
          <w:tcPr>
            <w:tcW w:w="0" w:type="auto"/>
            <w:shd w:val="clear" w:color="auto" w:fill="FFFFFF"/>
            <w:vAlign w:val="center"/>
            <w:hideMark/>
          </w:tcPr>
          <w:p w14:paraId="3F30093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5,033</w:t>
            </w:r>
          </w:p>
        </w:tc>
        <w:tc>
          <w:tcPr>
            <w:tcW w:w="0" w:type="auto"/>
            <w:shd w:val="clear" w:color="auto" w:fill="FFFFFF"/>
            <w:vAlign w:val="center"/>
            <w:hideMark/>
          </w:tcPr>
          <w:p w14:paraId="30DF172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981</w:t>
            </w:r>
          </w:p>
        </w:tc>
        <w:tc>
          <w:tcPr>
            <w:tcW w:w="0" w:type="auto"/>
            <w:shd w:val="clear" w:color="auto" w:fill="FFFFFF"/>
            <w:vAlign w:val="center"/>
            <w:hideMark/>
          </w:tcPr>
          <w:p w14:paraId="7988945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4,052</w:t>
            </w:r>
          </w:p>
        </w:tc>
        <w:tc>
          <w:tcPr>
            <w:tcW w:w="0" w:type="auto"/>
            <w:shd w:val="clear" w:color="auto" w:fill="FFFFFF"/>
            <w:vAlign w:val="center"/>
            <w:hideMark/>
          </w:tcPr>
          <w:p w14:paraId="07AF2D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5,258</w:t>
            </w:r>
          </w:p>
        </w:tc>
        <w:tc>
          <w:tcPr>
            <w:tcW w:w="0" w:type="auto"/>
            <w:shd w:val="clear" w:color="auto" w:fill="FFFFFF"/>
            <w:vAlign w:val="center"/>
            <w:hideMark/>
          </w:tcPr>
          <w:p w14:paraId="667E43F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1,207</w:t>
            </w:r>
          </w:p>
        </w:tc>
        <w:tc>
          <w:tcPr>
            <w:tcW w:w="0" w:type="auto"/>
            <w:shd w:val="clear" w:color="auto" w:fill="FFFFFF"/>
            <w:vAlign w:val="center"/>
            <w:hideMark/>
          </w:tcPr>
          <w:p w14:paraId="1502DA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4,051</w:t>
            </w:r>
          </w:p>
        </w:tc>
        <w:tc>
          <w:tcPr>
            <w:tcW w:w="0" w:type="auto"/>
            <w:shd w:val="clear" w:color="auto" w:fill="FFFFFF"/>
            <w:vAlign w:val="center"/>
            <w:hideMark/>
          </w:tcPr>
          <w:p w14:paraId="299217B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5,477</w:t>
            </w:r>
          </w:p>
        </w:tc>
        <w:tc>
          <w:tcPr>
            <w:tcW w:w="0" w:type="auto"/>
            <w:shd w:val="clear" w:color="auto" w:fill="FFFFFF"/>
            <w:vAlign w:val="center"/>
            <w:hideMark/>
          </w:tcPr>
          <w:p w14:paraId="64A578E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1,335</w:t>
            </w:r>
          </w:p>
        </w:tc>
        <w:tc>
          <w:tcPr>
            <w:tcW w:w="0" w:type="auto"/>
            <w:shd w:val="clear" w:color="auto" w:fill="FFFFFF"/>
            <w:vAlign w:val="center"/>
            <w:hideMark/>
          </w:tcPr>
          <w:p w14:paraId="3B1B846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4,142</w:t>
            </w:r>
          </w:p>
        </w:tc>
      </w:tr>
      <w:tr w:rsidR="00E678E0" w:rsidRPr="00E678E0" w14:paraId="5D53215F" w14:textId="77777777" w:rsidTr="00E678E0">
        <w:trPr>
          <w:tblCellSpacing w:w="0" w:type="dxa"/>
        </w:trPr>
        <w:tc>
          <w:tcPr>
            <w:tcW w:w="3399" w:type="dxa"/>
            <w:shd w:val="clear" w:color="auto" w:fill="FFFFFF"/>
            <w:noWrap/>
            <w:vAlign w:val="center"/>
            <w:hideMark/>
          </w:tcPr>
          <w:p w14:paraId="4AA3C98F"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Total employees (full-time equivalent)</w:t>
            </w:r>
          </w:p>
        </w:tc>
        <w:tc>
          <w:tcPr>
            <w:tcW w:w="0" w:type="auto"/>
            <w:shd w:val="clear" w:color="auto" w:fill="FFFFFF"/>
            <w:vAlign w:val="center"/>
            <w:hideMark/>
          </w:tcPr>
          <w:p w14:paraId="0878613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2,071,910</w:t>
            </w:r>
          </w:p>
        </w:tc>
        <w:tc>
          <w:tcPr>
            <w:tcW w:w="0" w:type="auto"/>
            <w:shd w:val="clear" w:color="auto" w:fill="FFFFFF"/>
            <w:vAlign w:val="center"/>
            <w:hideMark/>
          </w:tcPr>
          <w:p w14:paraId="0D376FC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13,562</w:t>
            </w:r>
          </w:p>
        </w:tc>
        <w:tc>
          <w:tcPr>
            <w:tcW w:w="0" w:type="auto"/>
            <w:shd w:val="clear" w:color="auto" w:fill="FFFFFF"/>
            <w:vAlign w:val="center"/>
            <w:hideMark/>
          </w:tcPr>
          <w:p w14:paraId="22C6E5A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2,058,348</w:t>
            </w:r>
          </w:p>
        </w:tc>
        <w:tc>
          <w:tcPr>
            <w:tcW w:w="0" w:type="auto"/>
            <w:shd w:val="clear" w:color="auto" w:fill="FFFFFF"/>
            <w:vAlign w:val="center"/>
            <w:hideMark/>
          </w:tcPr>
          <w:p w14:paraId="436412E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2,065,840</w:t>
            </w:r>
          </w:p>
        </w:tc>
        <w:tc>
          <w:tcPr>
            <w:tcW w:w="0" w:type="auto"/>
            <w:shd w:val="clear" w:color="auto" w:fill="FFFFFF"/>
            <w:vAlign w:val="center"/>
            <w:hideMark/>
          </w:tcPr>
          <w:p w14:paraId="7135F15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18,297</w:t>
            </w:r>
          </w:p>
        </w:tc>
        <w:tc>
          <w:tcPr>
            <w:tcW w:w="0" w:type="auto"/>
            <w:shd w:val="clear" w:color="auto" w:fill="FFFFFF"/>
            <w:vAlign w:val="center"/>
            <w:hideMark/>
          </w:tcPr>
          <w:p w14:paraId="3D78BD7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2,047,543</w:t>
            </w:r>
          </w:p>
        </w:tc>
        <w:tc>
          <w:tcPr>
            <w:tcW w:w="0" w:type="auto"/>
            <w:shd w:val="clear" w:color="auto" w:fill="FFFFFF"/>
            <w:vAlign w:val="center"/>
            <w:hideMark/>
          </w:tcPr>
          <w:p w14:paraId="5C09923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2,070,600</w:t>
            </w:r>
          </w:p>
        </w:tc>
        <w:tc>
          <w:tcPr>
            <w:tcW w:w="0" w:type="auto"/>
            <w:shd w:val="clear" w:color="auto" w:fill="FFFFFF"/>
            <w:vAlign w:val="center"/>
            <w:hideMark/>
          </w:tcPr>
          <w:p w14:paraId="763B17D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20,722</w:t>
            </w:r>
          </w:p>
        </w:tc>
        <w:tc>
          <w:tcPr>
            <w:tcW w:w="0" w:type="auto"/>
            <w:shd w:val="clear" w:color="auto" w:fill="FFFFFF"/>
            <w:vAlign w:val="center"/>
            <w:hideMark/>
          </w:tcPr>
          <w:p w14:paraId="540EF82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2,049,878</w:t>
            </w:r>
          </w:p>
        </w:tc>
      </w:tr>
      <w:tr w:rsidR="00E678E0" w:rsidRPr="00E678E0" w14:paraId="2A778B9A" w14:textId="77777777" w:rsidTr="00E678E0">
        <w:trPr>
          <w:tblCellSpacing w:w="0" w:type="dxa"/>
        </w:trPr>
        <w:tc>
          <w:tcPr>
            <w:tcW w:w="3399" w:type="dxa"/>
            <w:shd w:val="clear" w:color="auto" w:fill="FFFFFF"/>
            <w:noWrap/>
            <w:vAlign w:val="center"/>
            <w:hideMark/>
          </w:tcPr>
          <w:p w14:paraId="5934299A"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b/>
                <w:bCs/>
                <w:sz w:val="15"/>
                <w:szCs w:val="15"/>
              </w:rPr>
              <w:t>AGGREGATE CONDITION AND INCOME DATA</w:t>
            </w:r>
          </w:p>
        </w:tc>
        <w:tc>
          <w:tcPr>
            <w:tcW w:w="0" w:type="auto"/>
            <w:shd w:val="clear" w:color="auto" w:fill="FFFFFF"/>
            <w:vAlign w:val="center"/>
            <w:hideMark/>
          </w:tcPr>
          <w:p w14:paraId="412CEEF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73D80A1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206F89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07B2DD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09A766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0BD63C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CAA782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2D0515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CCDB3C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r>
      <w:tr w:rsidR="00E678E0" w:rsidRPr="00E678E0" w14:paraId="69334DC2" w14:textId="77777777" w:rsidTr="00E678E0">
        <w:trPr>
          <w:tblCellSpacing w:w="0" w:type="dxa"/>
        </w:trPr>
        <w:tc>
          <w:tcPr>
            <w:tcW w:w="3399" w:type="dxa"/>
            <w:shd w:val="clear" w:color="auto" w:fill="FFFFFF"/>
            <w:noWrap/>
            <w:vAlign w:val="center"/>
            <w:hideMark/>
          </w:tcPr>
          <w:p w14:paraId="47335B67"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Net income (year-to-date)</w:t>
            </w:r>
          </w:p>
        </w:tc>
        <w:tc>
          <w:tcPr>
            <w:tcW w:w="0" w:type="auto"/>
            <w:shd w:val="clear" w:color="auto" w:fill="FFFFFF"/>
            <w:vAlign w:val="center"/>
            <w:hideMark/>
          </w:tcPr>
          <w:p w14:paraId="18464AB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88,352</w:t>
            </w:r>
          </w:p>
        </w:tc>
        <w:tc>
          <w:tcPr>
            <w:tcW w:w="0" w:type="auto"/>
            <w:shd w:val="clear" w:color="auto" w:fill="FFFFFF"/>
            <w:vAlign w:val="center"/>
            <w:hideMark/>
          </w:tcPr>
          <w:p w14:paraId="5BAC650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386</w:t>
            </w:r>
          </w:p>
        </w:tc>
        <w:tc>
          <w:tcPr>
            <w:tcW w:w="0" w:type="auto"/>
            <w:shd w:val="clear" w:color="auto" w:fill="FFFFFF"/>
            <w:vAlign w:val="center"/>
            <w:hideMark/>
          </w:tcPr>
          <w:p w14:paraId="7FADB47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87,965</w:t>
            </w:r>
          </w:p>
        </w:tc>
        <w:tc>
          <w:tcPr>
            <w:tcW w:w="0" w:type="auto"/>
            <w:shd w:val="clear" w:color="auto" w:fill="FFFFFF"/>
            <w:vAlign w:val="center"/>
            <w:hideMark/>
          </w:tcPr>
          <w:p w14:paraId="45F1D03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180,268</w:t>
            </w:r>
          </w:p>
        </w:tc>
        <w:tc>
          <w:tcPr>
            <w:tcW w:w="0" w:type="auto"/>
            <w:shd w:val="clear" w:color="auto" w:fill="FFFFFF"/>
            <w:vAlign w:val="center"/>
            <w:hideMark/>
          </w:tcPr>
          <w:p w14:paraId="68CCA4D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536</w:t>
            </w:r>
          </w:p>
        </w:tc>
        <w:tc>
          <w:tcPr>
            <w:tcW w:w="0" w:type="auto"/>
            <w:shd w:val="clear" w:color="auto" w:fill="FFFFFF"/>
            <w:vAlign w:val="center"/>
            <w:hideMark/>
          </w:tcPr>
          <w:p w14:paraId="0DDDB3E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179,731</w:t>
            </w:r>
          </w:p>
        </w:tc>
        <w:tc>
          <w:tcPr>
            <w:tcW w:w="0" w:type="auto"/>
            <w:shd w:val="clear" w:color="auto" w:fill="FFFFFF"/>
            <w:vAlign w:val="center"/>
            <w:hideMark/>
          </w:tcPr>
          <w:p w14:paraId="0D4BD4A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177,625</w:t>
            </w:r>
          </w:p>
        </w:tc>
        <w:tc>
          <w:tcPr>
            <w:tcW w:w="0" w:type="auto"/>
            <w:shd w:val="clear" w:color="auto" w:fill="FFFFFF"/>
            <w:vAlign w:val="center"/>
            <w:hideMark/>
          </w:tcPr>
          <w:p w14:paraId="3128D5F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623</w:t>
            </w:r>
          </w:p>
        </w:tc>
        <w:tc>
          <w:tcPr>
            <w:tcW w:w="0" w:type="auto"/>
            <w:shd w:val="clear" w:color="auto" w:fill="FFFFFF"/>
            <w:vAlign w:val="center"/>
            <w:hideMark/>
          </w:tcPr>
          <w:p w14:paraId="06A453E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177,002</w:t>
            </w:r>
          </w:p>
        </w:tc>
      </w:tr>
      <w:tr w:rsidR="00E678E0" w:rsidRPr="00E678E0" w14:paraId="5A194B4B" w14:textId="77777777" w:rsidTr="00E678E0">
        <w:trPr>
          <w:tblCellSpacing w:w="0" w:type="dxa"/>
        </w:trPr>
        <w:tc>
          <w:tcPr>
            <w:tcW w:w="3399" w:type="dxa"/>
            <w:shd w:val="clear" w:color="auto" w:fill="FFFFFF"/>
            <w:noWrap/>
            <w:vAlign w:val="center"/>
            <w:hideMark/>
          </w:tcPr>
          <w:p w14:paraId="703AF5F2"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Total assets</w:t>
            </w:r>
          </w:p>
        </w:tc>
        <w:tc>
          <w:tcPr>
            <w:tcW w:w="0" w:type="auto"/>
            <w:shd w:val="clear" w:color="auto" w:fill="FFFFFF"/>
            <w:vAlign w:val="center"/>
            <w:hideMark/>
          </w:tcPr>
          <w:p w14:paraId="20FA496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21,219,742</w:t>
            </w:r>
          </w:p>
        </w:tc>
        <w:tc>
          <w:tcPr>
            <w:tcW w:w="0" w:type="auto"/>
            <w:shd w:val="clear" w:color="auto" w:fill="FFFFFF"/>
            <w:vAlign w:val="center"/>
            <w:hideMark/>
          </w:tcPr>
          <w:p w14:paraId="3CDE3A3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58,965</w:t>
            </w:r>
          </w:p>
        </w:tc>
        <w:tc>
          <w:tcPr>
            <w:tcW w:w="0" w:type="auto"/>
            <w:shd w:val="clear" w:color="auto" w:fill="FFFFFF"/>
            <w:vAlign w:val="center"/>
            <w:hideMark/>
          </w:tcPr>
          <w:p w14:paraId="346B8B3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21,160,777</w:t>
            </w:r>
          </w:p>
        </w:tc>
        <w:tc>
          <w:tcPr>
            <w:tcW w:w="0" w:type="auto"/>
            <w:shd w:val="clear" w:color="auto" w:fill="FFFFFF"/>
            <w:vAlign w:val="center"/>
            <w:hideMark/>
          </w:tcPr>
          <w:p w14:paraId="1CC7E0B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18,481,915</w:t>
            </w:r>
          </w:p>
        </w:tc>
        <w:tc>
          <w:tcPr>
            <w:tcW w:w="0" w:type="auto"/>
            <w:shd w:val="clear" w:color="auto" w:fill="FFFFFF"/>
            <w:vAlign w:val="center"/>
            <w:hideMark/>
          </w:tcPr>
          <w:p w14:paraId="3B05C23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71,673</w:t>
            </w:r>
          </w:p>
        </w:tc>
        <w:tc>
          <w:tcPr>
            <w:tcW w:w="0" w:type="auto"/>
            <w:shd w:val="clear" w:color="auto" w:fill="FFFFFF"/>
            <w:vAlign w:val="center"/>
            <w:hideMark/>
          </w:tcPr>
          <w:p w14:paraId="66F8DF7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18,410,242</w:t>
            </w:r>
          </w:p>
        </w:tc>
        <w:tc>
          <w:tcPr>
            <w:tcW w:w="0" w:type="auto"/>
            <w:shd w:val="clear" w:color="auto" w:fill="FFFFFF"/>
            <w:vAlign w:val="center"/>
            <w:hideMark/>
          </w:tcPr>
          <w:p w14:paraId="74A0F0F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17,672,832</w:t>
            </w:r>
          </w:p>
        </w:tc>
        <w:tc>
          <w:tcPr>
            <w:tcW w:w="0" w:type="auto"/>
            <w:shd w:val="clear" w:color="auto" w:fill="FFFFFF"/>
            <w:vAlign w:val="center"/>
            <w:hideMark/>
          </w:tcPr>
          <w:p w14:paraId="5D499B7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79,193</w:t>
            </w:r>
          </w:p>
        </w:tc>
        <w:tc>
          <w:tcPr>
            <w:tcW w:w="0" w:type="auto"/>
            <w:shd w:val="clear" w:color="auto" w:fill="FFFFFF"/>
            <w:vAlign w:val="center"/>
            <w:hideMark/>
          </w:tcPr>
          <w:p w14:paraId="6BDEB6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17,593,638</w:t>
            </w:r>
          </w:p>
        </w:tc>
      </w:tr>
      <w:tr w:rsidR="00E678E0" w:rsidRPr="00E678E0" w14:paraId="43410B09" w14:textId="77777777" w:rsidTr="00E678E0">
        <w:trPr>
          <w:tblCellSpacing w:w="0" w:type="dxa"/>
        </w:trPr>
        <w:tc>
          <w:tcPr>
            <w:tcW w:w="3399" w:type="dxa"/>
            <w:shd w:val="clear" w:color="auto" w:fill="FFFFFF"/>
            <w:noWrap/>
            <w:vAlign w:val="center"/>
            <w:hideMark/>
          </w:tcPr>
          <w:p w14:paraId="176A5962"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Earning assets</w:t>
            </w:r>
          </w:p>
        </w:tc>
        <w:tc>
          <w:tcPr>
            <w:tcW w:w="0" w:type="auto"/>
            <w:shd w:val="clear" w:color="auto" w:fill="FFFFFF"/>
            <w:vAlign w:val="center"/>
            <w:hideMark/>
          </w:tcPr>
          <w:p w14:paraId="65F3D5F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19,319,934</w:t>
            </w:r>
          </w:p>
        </w:tc>
        <w:tc>
          <w:tcPr>
            <w:tcW w:w="0" w:type="auto"/>
            <w:shd w:val="clear" w:color="auto" w:fill="FFFFFF"/>
            <w:vAlign w:val="center"/>
            <w:hideMark/>
          </w:tcPr>
          <w:p w14:paraId="5664955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54,496</w:t>
            </w:r>
          </w:p>
        </w:tc>
        <w:tc>
          <w:tcPr>
            <w:tcW w:w="0" w:type="auto"/>
            <w:shd w:val="clear" w:color="auto" w:fill="FFFFFF"/>
            <w:vAlign w:val="center"/>
            <w:hideMark/>
          </w:tcPr>
          <w:p w14:paraId="6BC1E2F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19,265,438</w:t>
            </w:r>
          </w:p>
        </w:tc>
        <w:tc>
          <w:tcPr>
            <w:tcW w:w="0" w:type="auto"/>
            <w:shd w:val="clear" w:color="auto" w:fill="FFFFFF"/>
            <w:vAlign w:val="center"/>
            <w:hideMark/>
          </w:tcPr>
          <w:p w14:paraId="082C74E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16,686,809</w:t>
            </w:r>
          </w:p>
        </w:tc>
        <w:tc>
          <w:tcPr>
            <w:tcW w:w="0" w:type="auto"/>
            <w:shd w:val="clear" w:color="auto" w:fill="FFFFFF"/>
            <w:vAlign w:val="center"/>
            <w:hideMark/>
          </w:tcPr>
          <w:p w14:paraId="2C8D4F5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66,383</w:t>
            </w:r>
          </w:p>
        </w:tc>
        <w:tc>
          <w:tcPr>
            <w:tcW w:w="0" w:type="auto"/>
            <w:shd w:val="clear" w:color="auto" w:fill="FFFFFF"/>
            <w:vAlign w:val="center"/>
            <w:hideMark/>
          </w:tcPr>
          <w:p w14:paraId="4429371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16,620,426</w:t>
            </w:r>
          </w:p>
        </w:tc>
        <w:tc>
          <w:tcPr>
            <w:tcW w:w="0" w:type="auto"/>
            <w:shd w:val="clear" w:color="auto" w:fill="FFFFFF"/>
            <w:vAlign w:val="center"/>
            <w:hideMark/>
          </w:tcPr>
          <w:p w14:paraId="7C3229B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15,959,314</w:t>
            </w:r>
          </w:p>
        </w:tc>
        <w:tc>
          <w:tcPr>
            <w:tcW w:w="0" w:type="auto"/>
            <w:shd w:val="clear" w:color="auto" w:fill="FFFFFF"/>
            <w:vAlign w:val="center"/>
            <w:hideMark/>
          </w:tcPr>
          <w:p w14:paraId="2B77479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73,361</w:t>
            </w:r>
          </w:p>
        </w:tc>
        <w:tc>
          <w:tcPr>
            <w:tcW w:w="0" w:type="auto"/>
            <w:shd w:val="clear" w:color="auto" w:fill="FFFFFF"/>
            <w:vAlign w:val="center"/>
            <w:hideMark/>
          </w:tcPr>
          <w:p w14:paraId="1A0169B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15,885,953</w:t>
            </w:r>
          </w:p>
        </w:tc>
      </w:tr>
      <w:tr w:rsidR="00E678E0" w:rsidRPr="00E678E0" w14:paraId="6828DC32" w14:textId="77777777" w:rsidTr="00E678E0">
        <w:trPr>
          <w:tblCellSpacing w:w="0" w:type="dxa"/>
        </w:trPr>
        <w:tc>
          <w:tcPr>
            <w:tcW w:w="3399" w:type="dxa"/>
            <w:shd w:val="clear" w:color="auto" w:fill="FFFFFF"/>
            <w:noWrap/>
            <w:vAlign w:val="center"/>
            <w:hideMark/>
          </w:tcPr>
          <w:p w14:paraId="315140A5"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Total loans &amp; leases</w:t>
            </w:r>
          </w:p>
        </w:tc>
        <w:tc>
          <w:tcPr>
            <w:tcW w:w="0" w:type="auto"/>
            <w:shd w:val="clear" w:color="auto" w:fill="FFFFFF"/>
            <w:vAlign w:val="center"/>
            <w:hideMark/>
          </w:tcPr>
          <w:p w14:paraId="1529D4C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10,910,604</w:t>
            </w:r>
          </w:p>
        </w:tc>
        <w:tc>
          <w:tcPr>
            <w:tcW w:w="0" w:type="auto"/>
            <w:shd w:val="clear" w:color="auto" w:fill="FFFFFF"/>
            <w:vAlign w:val="center"/>
            <w:hideMark/>
          </w:tcPr>
          <w:p w14:paraId="00D3CFA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33,453</w:t>
            </w:r>
          </w:p>
        </w:tc>
        <w:tc>
          <w:tcPr>
            <w:tcW w:w="0" w:type="auto"/>
            <w:shd w:val="clear" w:color="auto" w:fill="FFFFFF"/>
            <w:vAlign w:val="center"/>
            <w:hideMark/>
          </w:tcPr>
          <w:p w14:paraId="58D1DD7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10,877,150</w:t>
            </w:r>
          </w:p>
        </w:tc>
        <w:tc>
          <w:tcPr>
            <w:tcW w:w="0" w:type="auto"/>
            <w:shd w:val="clear" w:color="auto" w:fill="FFFFFF"/>
            <w:vAlign w:val="center"/>
            <w:hideMark/>
          </w:tcPr>
          <w:p w14:paraId="062AB12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10,400,294</w:t>
            </w:r>
          </w:p>
        </w:tc>
        <w:tc>
          <w:tcPr>
            <w:tcW w:w="0" w:type="auto"/>
            <w:shd w:val="clear" w:color="auto" w:fill="FFFFFF"/>
            <w:vAlign w:val="center"/>
            <w:hideMark/>
          </w:tcPr>
          <w:p w14:paraId="2EDAA83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42,924</w:t>
            </w:r>
          </w:p>
        </w:tc>
        <w:tc>
          <w:tcPr>
            <w:tcW w:w="0" w:type="auto"/>
            <w:shd w:val="clear" w:color="auto" w:fill="FFFFFF"/>
            <w:vAlign w:val="center"/>
            <w:hideMark/>
          </w:tcPr>
          <w:p w14:paraId="1575172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10,357,370</w:t>
            </w:r>
          </w:p>
        </w:tc>
        <w:tc>
          <w:tcPr>
            <w:tcW w:w="0" w:type="auto"/>
            <w:shd w:val="clear" w:color="auto" w:fill="FFFFFF"/>
            <w:vAlign w:val="center"/>
            <w:hideMark/>
          </w:tcPr>
          <w:p w14:paraId="4806420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9,939,045</w:t>
            </w:r>
          </w:p>
        </w:tc>
        <w:tc>
          <w:tcPr>
            <w:tcW w:w="0" w:type="auto"/>
            <w:shd w:val="clear" w:color="auto" w:fill="FFFFFF"/>
            <w:vAlign w:val="center"/>
            <w:hideMark/>
          </w:tcPr>
          <w:p w14:paraId="3320FBD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48,147</w:t>
            </w:r>
          </w:p>
        </w:tc>
        <w:tc>
          <w:tcPr>
            <w:tcW w:w="0" w:type="auto"/>
            <w:shd w:val="clear" w:color="auto" w:fill="FFFFFF"/>
            <w:vAlign w:val="center"/>
            <w:hideMark/>
          </w:tcPr>
          <w:p w14:paraId="136A180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9,890,899</w:t>
            </w:r>
          </w:p>
        </w:tc>
      </w:tr>
      <w:tr w:rsidR="00E678E0" w:rsidRPr="00E678E0" w14:paraId="03CF6307" w14:textId="77777777" w:rsidTr="00E678E0">
        <w:trPr>
          <w:tblCellSpacing w:w="0" w:type="dxa"/>
        </w:trPr>
        <w:tc>
          <w:tcPr>
            <w:tcW w:w="3399" w:type="dxa"/>
            <w:shd w:val="clear" w:color="auto" w:fill="FFFFFF"/>
            <w:noWrap/>
            <w:vAlign w:val="center"/>
            <w:hideMark/>
          </w:tcPr>
          <w:p w14:paraId="02945C95"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Other real estate owned</w:t>
            </w:r>
          </w:p>
        </w:tc>
        <w:tc>
          <w:tcPr>
            <w:tcW w:w="0" w:type="auto"/>
            <w:shd w:val="clear" w:color="auto" w:fill="FFFFFF"/>
            <w:vAlign w:val="center"/>
            <w:hideMark/>
          </w:tcPr>
          <w:p w14:paraId="10B0819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4,548</w:t>
            </w:r>
          </w:p>
        </w:tc>
        <w:tc>
          <w:tcPr>
            <w:tcW w:w="0" w:type="auto"/>
            <w:shd w:val="clear" w:color="auto" w:fill="FFFFFF"/>
            <w:vAlign w:val="center"/>
            <w:hideMark/>
          </w:tcPr>
          <w:p w14:paraId="5E695AC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89</w:t>
            </w:r>
          </w:p>
        </w:tc>
        <w:tc>
          <w:tcPr>
            <w:tcW w:w="0" w:type="auto"/>
            <w:shd w:val="clear" w:color="auto" w:fill="FFFFFF"/>
            <w:vAlign w:val="center"/>
            <w:hideMark/>
          </w:tcPr>
          <w:p w14:paraId="0ACD312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4,459</w:t>
            </w:r>
          </w:p>
        </w:tc>
        <w:tc>
          <w:tcPr>
            <w:tcW w:w="0" w:type="auto"/>
            <w:shd w:val="clear" w:color="auto" w:fill="FFFFFF"/>
            <w:vAlign w:val="center"/>
            <w:hideMark/>
          </w:tcPr>
          <w:p w14:paraId="7CE2A3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6,190</w:t>
            </w:r>
          </w:p>
        </w:tc>
        <w:tc>
          <w:tcPr>
            <w:tcW w:w="0" w:type="auto"/>
            <w:shd w:val="clear" w:color="auto" w:fill="FFFFFF"/>
            <w:vAlign w:val="center"/>
            <w:hideMark/>
          </w:tcPr>
          <w:p w14:paraId="1DB45BA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146</w:t>
            </w:r>
          </w:p>
        </w:tc>
        <w:tc>
          <w:tcPr>
            <w:tcW w:w="0" w:type="auto"/>
            <w:shd w:val="clear" w:color="auto" w:fill="FFFFFF"/>
            <w:vAlign w:val="center"/>
            <w:hideMark/>
          </w:tcPr>
          <w:p w14:paraId="2B2DDD5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6,044</w:t>
            </w:r>
          </w:p>
        </w:tc>
        <w:tc>
          <w:tcPr>
            <w:tcW w:w="0" w:type="auto"/>
            <w:shd w:val="clear" w:color="auto" w:fill="FFFFFF"/>
            <w:vAlign w:val="center"/>
            <w:hideMark/>
          </w:tcPr>
          <w:p w14:paraId="1990C56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7,187</w:t>
            </w:r>
          </w:p>
        </w:tc>
        <w:tc>
          <w:tcPr>
            <w:tcW w:w="0" w:type="auto"/>
            <w:shd w:val="clear" w:color="auto" w:fill="FFFFFF"/>
            <w:vAlign w:val="center"/>
            <w:hideMark/>
          </w:tcPr>
          <w:p w14:paraId="61F274E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193</w:t>
            </w:r>
          </w:p>
        </w:tc>
        <w:tc>
          <w:tcPr>
            <w:tcW w:w="0" w:type="auto"/>
            <w:shd w:val="clear" w:color="auto" w:fill="FFFFFF"/>
            <w:vAlign w:val="center"/>
            <w:hideMark/>
          </w:tcPr>
          <w:p w14:paraId="2D7BDCB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6,994</w:t>
            </w:r>
          </w:p>
        </w:tc>
      </w:tr>
      <w:tr w:rsidR="00E678E0" w:rsidRPr="00E678E0" w14:paraId="7ED2014B" w14:textId="77777777" w:rsidTr="00E678E0">
        <w:trPr>
          <w:tblCellSpacing w:w="0" w:type="dxa"/>
        </w:trPr>
        <w:tc>
          <w:tcPr>
            <w:tcW w:w="3399" w:type="dxa"/>
            <w:shd w:val="clear" w:color="auto" w:fill="FFFFFF"/>
            <w:noWrap/>
            <w:vAlign w:val="center"/>
            <w:hideMark/>
          </w:tcPr>
          <w:p w14:paraId="4616B166"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Total deposits</w:t>
            </w:r>
          </w:p>
        </w:tc>
        <w:tc>
          <w:tcPr>
            <w:tcW w:w="0" w:type="auto"/>
            <w:shd w:val="clear" w:color="auto" w:fill="FFFFFF"/>
            <w:vAlign w:val="center"/>
            <w:hideMark/>
          </w:tcPr>
          <w:p w14:paraId="6FA0762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17,116,653</w:t>
            </w:r>
          </w:p>
        </w:tc>
        <w:tc>
          <w:tcPr>
            <w:tcW w:w="0" w:type="auto"/>
            <w:shd w:val="clear" w:color="auto" w:fill="FFFFFF"/>
            <w:vAlign w:val="center"/>
            <w:hideMark/>
          </w:tcPr>
          <w:p w14:paraId="79E2EAF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48,638</w:t>
            </w:r>
          </w:p>
        </w:tc>
        <w:tc>
          <w:tcPr>
            <w:tcW w:w="0" w:type="auto"/>
            <w:shd w:val="clear" w:color="auto" w:fill="FFFFFF"/>
            <w:vAlign w:val="center"/>
            <w:hideMark/>
          </w:tcPr>
          <w:p w14:paraId="115E37A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17,068,015</w:t>
            </w:r>
          </w:p>
        </w:tc>
        <w:tc>
          <w:tcPr>
            <w:tcW w:w="0" w:type="auto"/>
            <w:shd w:val="clear" w:color="auto" w:fill="FFFFFF"/>
            <w:vAlign w:val="center"/>
            <w:hideMark/>
          </w:tcPr>
          <w:p w14:paraId="668963E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14,276,906</w:t>
            </w:r>
          </w:p>
        </w:tc>
        <w:tc>
          <w:tcPr>
            <w:tcW w:w="0" w:type="auto"/>
            <w:shd w:val="clear" w:color="auto" w:fill="FFFFFF"/>
            <w:vAlign w:val="center"/>
            <w:hideMark/>
          </w:tcPr>
          <w:p w14:paraId="3FCB2A4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59,035</w:t>
            </w:r>
          </w:p>
        </w:tc>
        <w:tc>
          <w:tcPr>
            <w:tcW w:w="0" w:type="auto"/>
            <w:shd w:val="clear" w:color="auto" w:fill="FFFFFF"/>
            <w:vAlign w:val="center"/>
            <w:hideMark/>
          </w:tcPr>
          <w:p w14:paraId="7022B67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14,217,871</w:t>
            </w:r>
          </w:p>
        </w:tc>
        <w:tc>
          <w:tcPr>
            <w:tcW w:w="0" w:type="auto"/>
            <w:shd w:val="clear" w:color="auto" w:fill="FFFFFF"/>
            <w:vAlign w:val="center"/>
            <w:hideMark/>
          </w:tcPr>
          <w:p w14:paraId="7EBE118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13,573,628</w:t>
            </w:r>
          </w:p>
        </w:tc>
        <w:tc>
          <w:tcPr>
            <w:tcW w:w="0" w:type="auto"/>
            <w:shd w:val="clear" w:color="auto" w:fill="FFFFFF"/>
            <w:vAlign w:val="center"/>
            <w:hideMark/>
          </w:tcPr>
          <w:p w14:paraId="5CB320E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65,541</w:t>
            </w:r>
          </w:p>
        </w:tc>
        <w:tc>
          <w:tcPr>
            <w:tcW w:w="0" w:type="auto"/>
            <w:shd w:val="clear" w:color="auto" w:fill="FFFFFF"/>
            <w:vAlign w:val="center"/>
            <w:hideMark/>
          </w:tcPr>
          <w:p w14:paraId="5F0285C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13,508,087</w:t>
            </w:r>
          </w:p>
        </w:tc>
      </w:tr>
      <w:tr w:rsidR="00E678E0" w:rsidRPr="00E678E0" w14:paraId="45858024" w14:textId="77777777" w:rsidTr="00E678E0">
        <w:trPr>
          <w:tblCellSpacing w:w="0" w:type="dxa"/>
        </w:trPr>
        <w:tc>
          <w:tcPr>
            <w:tcW w:w="3399" w:type="dxa"/>
            <w:shd w:val="clear" w:color="auto" w:fill="FFFFFF"/>
            <w:noWrap/>
            <w:vAlign w:val="center"/>
            <w:hideMark/>
          </w:tcPr>
          <w:p w14:paraId="5988A5B0"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Equity capital</w:t>
            </w:r>
          </w:p>
        </w:tc>
        <w:tc>
          <w:tcPr>
            <w:tcW w:w="0" w:type="auto"/>
            <w:shd w:val="clear" w:color="auto" w:fill="FFFFFF"/>
            <w:vAlign w:val="center"/>
            <w:hideMark/>
          </w:tcPr>
          <w:p w14:paraId="6A492C1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2,183,201</w:t>
            </w:r>
          </w:p>
        </w:tc>
        <w:tc>
          <w:tcPr>
            <w:tcW w:w="0" w:type="auto"/>
            <w:shd w:val="clear" w:color="auto" w:fill="FFFFFF"/>
            <w:vAlign w:val="center"/>
            <w:hideMark/>
          </w:tcPr>
          <w:p w14:paraId="142EA3A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8,015</w:t>
            </w:r>
          </w:p>
        </w:tc>
        <w:tc>
          <w:tcPr>
            <w:tcW w:w="0" w:type="auto"/>
            <w:shd w:val="clear" w:color="auto" w:fill="FFFFFF"/>
            <w:vAlign w:val="center"/>
            <w:hideMark/>
          </w:tcPr>
          <w:p w14:paraId="5C48802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2,175,186</w:t>
            </w:r>
          </w:p>
        </w:tc>
        <w:tc>
          <w:tcPr>
            <w:tcW w:w="0" w:type="auto"/>
            <w:shd w:val="clear" w:color="auto" w:fill="FFFFFF"/>
            <w:vAlign w:val="center"/>
            <w:hideMark/>
          </w:tcPr>
          <w:p w14:paraId="64692D2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2,098,263</w:t>
            </w:r>
          </w:p>
        </w:tc>
        <w:tc>
          <w:tcPr>
            <w:tcW w:w="0" w:type="auto"/>
            <w:shd w:val="clear" w:color="auto" w:fill="FFFFFF"/>
            <w:vAlign w:val="center"/>
            <w:hideMark/>
          </w:tcPr>
          <w:p w14:paraId="31F570C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10,367</w:t>
            </w:r>
          </w:p>
        </w:tc>
        <w:tc>
          <w:tcPr>
            <w:tcW w:w="0" w:type="auto"/>
            <w:shd w:val="clear" w:color="auto" w:fill="FFFFFF"/>
            <w:vAlign w:val="center"/>
            <w:hideMark/>
          </w:tcPr>
          <w:p w14:paraId="2FF5678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2,087,896</w:t>
            </w:r>
          </w:p>
        </w:tc>
        <w:tc>
          <w:tcPr>
            <w:tcW w:w="0" w:type="auto"/>
            <w:shd w:val="clear" w:color="auto" w:fill="FFFFFF"/>
            <w:vAlign w:val="center"/>
            <w:hideMark/>
          </w:tcPr>
          <w:p w14:paraId="7492687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1,993,823</w:t>
            </w:r>
          </w:p>
        </w:tc>
        <w:tc>
          <w:tcPr>
            <w:tcW w:w="0" w:type="auto"/>
            <w:shd w:val="clear" w:color="auto" w:fill="FFFFFF"/>
            <w:vAlign w:val="center"/>
            <w:hideMark/>
          </w:tcPr>
          <w:p w14:paraId="2FBE415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10,673</w:t>
            </w:r>
          </w:p>
        </w:tc>
        <w:tc>
          <w:tcPr>
            <w:tcW w:w="0" w:type="auto"/>
            <w:shd w:val="clear" w:color="auto" w:fill="FFFFFF"/>
            <w:vAlign w:val="center"/>
            <w:hideMark/>
          </w:tcPr>
          <w:p w14:paraId="30DDBC1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1,983,150</w:t>
            </w:r>
          </w:p>
        </w:tc>
      </w:tr>
      <w:tr w:rsidR="00E678E0" w:rsidRPr="00E678E0" w14:paraId="698331BB" w14:textId="77777777" w:rsidTr="00E678E0">
        <w:trPr>
          <w:tblCellSpacing w:w="0" w:type="dxa"/>
        </w:trPr>
        <w:tc>
          <w:tcPr>
            <w:tcW w:w="3399" w:type="dxa"/>
            <w:shd w:val="clear" w:color="auto" w:fill="FFFFFF"/>
            <w:noWrap/>
            <w:vAlign w:val="center"/>
            <w:hideMark/>
          </w:tcPr>
          <w:p w14:paraId="2D91D15A"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b/>
                <w:bCs/>
                <w:sz w:val="15"/>
                <w:szCs w:val="15"/>
              </w:rPr>
              <w:t>PERFORMANCE RATIOS (YTD, %)</w:t>
            </w:r>
          </w:p>
        </w:tc>
        <w:tc>
          <w:tcPr>
            <w:tcW w:w="0" w:type="auto"/>
            <w:shd w:val="clear" w:color="auto" w:fill="FFFFFF"/>
            <w:vAlign w:val="center"/>
            <w:hideMark/>
          </w:tcPr>
          <w:p w14:paraId="4E192F3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735B37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233A01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190AE5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167C938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435433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A5F86C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DC1F07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433926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r>
      <w:tr w:rsidR="00E678E0" w:rsidRPr="00E678E0" w14:paraId="4C2F3FF7" w14:textId="77777777" w:rsidTr="00E678E0">
        <w:trPr>
          <w:tblCellSpacing w:w="0" w:type="dxa"/>
        </w:trPr>
        <w:tc>
          <w:tcPr>
            <w:tcW w:w="3399" w:type="dxa"/>
            <w:shd w:val="clear" w:color="auto" w:fill="FFFFFF"/>
            <w:noWrap/>
            <w:vAlign w:val="center"/>
            <w:hideMark/>
          </w:tcPr>
          <w:p w14:paraId="6917D05D"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Yield on earning assets</w:t>
            </w:r>
          </w:p>
        </w:tc>
        <w:tc>
          <w:tcPr>
            <w:tcW w:w="0" w:type="auto"/>
            <w:shd w:val="clear" w:color="auto" w:fill="FFFFFF"/>
            <w:vAlign w:val="center"/>
            <w:hideMark/>
          </w:tcPr>
          <w:p w14:paraId="51A15C2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3.35</w:t>
            </w:r>
          </w:p>
        </w:tc>
        <w:tc>
          <w:tcPr>
            <w:tcW w:w="0" w:type="auto"/>
            <w:shd w:val="clear" w:color="auto" w:fill="FFFFFF"/>
            <w:vAlign w:val="center"/>
            <w:hideMark/>
          </w:tcPr>
          <w:p w14:paraId="3659DC6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4.15</w:t>
            </w:r>
          </w:p>
        </w:tc>
        <w:tc>
          <w:tcPr>
            <w:tcW w:w="0" w:type="auto"/>
            <w:shd w:val="clear" w:color="auto" w:fill="FFFFFF"/>
            <w:vAlign w:val="center"/>
            <w:hideMark/>
          </w:tcPr>
          <w:p w14:paraId="30691BC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3.35</w:t>
            </w:r>
          </w:p>
        </w:tc>
        <w:tc>
          <w:tcPr>
            <w:tcW w:w="0" w:type="auto"/>
            <w:shd w:val="clear" w:color="auto" w:fill="FFFFFF"/>
            <w:vAlign w:val="center"/>
            <w:hideMark/>
          </w:tcPr>
          <w:p w14:paraId="4B5BA29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4.39</w:t>
            </w:r>
          </w:p>
        </w:tc>
        <w:tc>
          <w:tcPr>
            <w:tcW w:w="0" w:type="auto"/>
            <w:shd w:val="clear" w:color="auto" w:fill="FFFFFF"/>
            <w:vAlign w:val="center"/>
            <w:hideMark/>
          </w:tcPr>
          <w:p w14:paraId="157A74D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4.57</w:t>
            </w:r>
          </w:p>
        </w:tc>
        <w:tc>
          <w:tcPr>
            <w:tcW w:w="0" w:type="auto"/>
            <w:shd w:val="clear" w:color="auto" w:fill="FFFFFF"/>
            <w:vAlign w:val="center"/>
            <w:hideMark/>
          </w:tcPr>
          <w:p w14:paraId="15E250F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4.39</w:t>
            </w:r>
          </w:p>
        </w:tc>
        <w:tc>
          <w:tcPr>
            <w:tcW w:w="0" w:type="auto"/>
            <w:shd w:val="clear" w:color="auto" w:fill="FFFFFF"/>
            <w:vAlign w:val="center"/>
            <w:hideMark/>
          </w:tcPr>
          <w:p w14:paraId="26484E2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4.09</w:t>
            </w:r>
          </w:p>
        </w:tc>
        <w:tc>
          <w:tcPr>
            <w:tcW w:w="0" w:type="auto"/>
            <w:shd w:val="clear" w:color="auto" w:fill="FFFFFF"/>
            <w:vAlign w:val="center"/>
            <w:hideMark/>
          </w:tcPr>
          <w:p w14:paraId="3EE9DEE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4.36</w:t>
            </w:r>
          </w:p>
        </w:tc>
        <w:tc>
          <w:tcPr>
            <w:tcW w:w="0" w:type="auto"/>
            <w:shd w:val="clear" w:color="auto" w:fill="FFFFFF"/>
            <w:vAlign w:val="center"/>
            <w:hideMark/>
          </w:tcPr>
          <w:p w14:paraId="2D19A72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4.08</w:t>
            </w:r>
          </w:p>
        </w:tc>
      </w:tr>
      <w:tr w:rsidR="00E678E0" w:rsidRPr="00E678E0" w14:paraId="518E00D9" w14:textId="77777777" w:rsidTr="00E678E0">
        <w:trPr>
          <w:tblCellSpacing w:w="0" w:type="dxa"/>
        </w:trPr>
        <w:tc>
          <w:tcPr>
            <w:tcW w:w="3399" w:type="dxa"/>
            <w:shd w:val="clear" w:color="auto" w:fill="FFFFFF"/>
            <w:noWrap/>
            <w:vAlign w:val="center"/>
            <w:hideMark/>
          </w:tcPr>
          <w:p w14:paraId="4BB5BFAC"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Cost of funding earning assets</w:t>
            </w:r>
          </w:p>
        </w:tc>
        <w:tc>
          <w:tcPr>
            <w:tcW w:w="0" w:type="auto"/>
            <w:shd w:val="clear" w:color="auto" w:fill="FFFFFF"/>
            <w:vAlign w:val="center"/>
            <w:hideMark/>
          </w:tcPr>
          <w:p w14:paraId="1686F44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0.47</w:t>
            </w:r>
          </w:p>
        </w:tc>
        <w:tc>
          <w:tcPr>
            <w:tcW w:w="0" w:type="auto"/>
            <w:shd w:val="clear" w:color="auto" w:fill="FFFFFF"/>
            <w:vAlign w:val="center"/>
            <w:hideMark/>
          </w:tcPr>
          <w:p w14:paraId="525592D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0.65</w:t>
            </w:r>
          </w:p>
        </w:tc>
        <w:tc>
          <w:tcPr>
            <w:tcW w:w="0" w:type="auto"/>
            <w:shd w:val="clear" w:color="auto" w:fill="FFFFFF"/>
            <w:vAlign w:val="center"/>
            <w:hideMark/>
          </w:tcPr>
          <w:p w14:paraId="37EE4C0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0.47</w:t>
            </w:r>
          </w:p>
        </w:tc>
        <w:tc>
          <w:tcPr>
            <w:tcW w:w="0" w:type="auto"/>
            <w:shd w:val="clear" w:color="auto" w:fill="FFFFFF"/>
            <w:vAlign w:val="center"/>
            <w:hideMark/>
          </w:tcPr>
          <w:p w14:paraId="4BE72B7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1.00</w:t>
            </w:r>
          </w:p>
        </w:tc>
        <w:tc>
          <w:tcPr>
            <w:tcW w:w="0" w:type="auto"/>
            <w:shd w:val="clear" w:color="auto" w:fill="FFFFFF"/>
            <w:vAlign w:val="center"/>
            <w:hideMark/>
          </w:tcPr>
          <w:p w14:paraId="7E7B514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0.75</w:t>
            </w:r>
          </w:p>
        </w:tc>
        <w:tc>
          <w:tcPr>
            <w:tcW w:w="0" w:type="auto"/>
            <w:shd w:val="clear" w:color="auto" w:fill="FFFFFF"/>
            <w:vAlign w:val="center"/>
            <w:hideMark/>
          </w:tcPr>
          <w:p w14:paraId="5BEA74A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1.01</w:t>
            </w:r>
          </w:p>
        </w:tc>
        <w:tc>
          <w:tcPr>
            <w:tcW w:w="0" w:type="auto"/>
            <w:shd w:val="clear" w:color="auto" w:fill="FFFFFF"/>
            <w:vAlign w:val="center"/>
            <w:hideMark/>
          </w:tcPr>
          <w:p w14:paraId="4C89EC6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0.70</w:t>
            </w:r>
          </w:p>
        </w:tc>
        <w:tc>
          <w:tcPr>
            <w:tcW w:w="0" w:type="auto"/>
            <w:shd w:val="clear" w:color="auto" w:fill="FFFFFF"/>
            <w:vAlign w:val="center"/>
            <w:hideMark/>
          </w:tcPr>
          <w:p w14:paraId="623E2A8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0.55</w:t>
            </w:r>
          </w:p>
        </w:tc>
        <w:tc>
          <w:tcPr>
            <w:tcW w:w="0" w:type="auto"/>
            <w:shd w:val="clear" w:color="auto" w:fill="FFFFFF"/>
            <w:vAlign w:val="center"/>
            <w:hideMark/>
          </w:tcPr>
          <w:p w14:paraId="05F2E02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0.70</w:t>
            </w:r>
          </w:p>
        </w:tc>
      </w:tr>
      <w:tr w:rsidR="00E678E0" w:rsidRPr="00E678E0" w14:paraId="35B6C631" w14:textId="77777777" w:rsidTr="00E678E0">
        <w:trPr>
          <w:tblCellSpacing w:w="0" w:type="dxa"/>
        </w:trPr>
        <w:tc>
          <w:tcPr>
            <w:tcW w:w="3399" w:type="dxa"/>
            <w:shd w:val="clear" w:color="auto" w:fill="FFFFFF"/>
            <w:noWrap/>
            <w:vAlign w:val="center"/>
            <w:hideMark/>
          </w:tcPr>
          <w:p w14:paraId="4FC36603"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Net interest margin</w:t>
            </w:r>
          </w:p>
        </w:tc>
        <w:tc>
          <w:tcPr>
            <w:tcW w:w="0" w:type="auto"/>
            <w:shd w:val="clear" w:color="auto" w:fill="FFFFFF"/>
            <w:vAlign w:val="center"/>
            <w:hideMark/>
          </w:tcPr>
          <w:p w14:paraId="162D717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2.88</w:t>
            </w:r>
          </w:p>
        </w:tc>
        <w:tc>
          <w:tcPr>
            <w:tcW w:w="0" w:type="auto"/>
            <w:shd w:val="clear" w:color="auto" w:fill="FFFFFF"/>
            <w:vAlign w:val="center"/>
            <w:hideMark/>
          </w:tcPr>
          <w:p w14:paraId="6867673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3.50</w:t>
            </w:r>
          </w:p>
        </w:tc>
        <w:tc>
          <w:tcPr>
            <w:tcW w:w="0" w:type="auto"/>
            <w:shd w:val="clear" w:color="auto" w:fill="FFFFFF"/>
            <w:vAlign w:val="center"/>
            <w:hideMark/>
          </w:tcPr>
          <w:p w14:paraId="61EF28D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2.88</w:t>
            </w:r>
          </w:p>
        </w:tc>
        <w:tc>
          <w:tcPr>
            <w:tcW w:w="0" w:type="auto"/>
            <w:shd w:val="clear" w:color="auto" w:fill="FFFFFF"/>
            <w:vAlign w:val="center"/>
            <w:hideMark/>
          </w:tcPr>
          <w:p w14:paraId="2EFE3F4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3.38</w:t>
            </w:r>
          </w:p>
        </w:tc>
        <w:tc>
          <w:tcPr>
            <w:tcW w:w="0" w:type="auto"/>
            <w:shd w:val="clear" w:color="auto" w:fill="FFFFFF"/>
            <w:vAlign w:val="center"/>
            <w:hideMark/>
          </w:tcPr>
          <w:p w14:paraId="6ACE871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3.82</w:t>
            </w:r>
          </w:p>
        </w:tc>
        <w:tc>
          <w:tcPr>
            <w:tcW w:w="0" w:type="auto"/>
            <w:shd w:val="clear" w:color="auto" w:fill="FFFFFF"/>
            <w:vAlign w:val="center"/>
            <w:hideMark/>
          </w:tcPr>
          <w:p w14:paraId="1020962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3.38</w:t>
            </w:r>
          </w:p>
        </w:tc>
        <w:tc>
          <w:tcPr>
            <w:tcW w:w="0" w:type="auto"/>
            <w:shd w:val="clear" w:color="auto" w:fill="FFFFFF"/>
            <w:vAlign w:val="center"/>
            <w:hideMark/>
          </w:tcPr>
          <w:p w14:paraId="4D2E380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3.38</w:t>
            </w:r>
          </w:p>
        </w:tc>
        <w:tc>
          <w:tcPr>
            <w:tcW w:w="0" w:type="auto"/>
            <w:shd w:val="clear" w:color="auto" w:fill="FFFFFF"/>
            <w:vAlign w:val="center"/>
            <w:hideMark/>
          </w:tcPr>
          <w:p w14:paraId="012946A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3.81</w:t>
            </w:r>
          </w:p>
        </w:tc>
        <w:tc>
          <w:tcPr>
            <w:tcW w:w="0" w:type="auto"/>
            <w:shd w:val="clear" w:color="auto" w:fill="FFFFFF"/>
            <w:vAlign w:val="center"/>
            <w:hideMark/>
          </w:tcPr>
          <w:p w14:paraId="27885F2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3.38</w:t>
            </w:r>
          </w:p>
        </w:tc>
      </w:tr>
      <w:tr w:rsidR="00E678E0" w:rsidRPr="00E678E0" w14:paraId="5F1DBB14" w14:textId="77777777" w:rsidTr="00E678E0">
        <w:trPr>
          <w:tblCellSpacing w:w="0" w:type="dxa"/>
        </w:trPr>
        <w:tc>
          <w:tcPr>
            <w:tcW w:w="3399" w:type="dxa"/>
            <w:shd w:val="clear" w:color="auto" w:fill="FFFFFF"/>
            <w:noWrap/>
            <w:vAlign w:val="center"/>
            <w:hideMark/>
          </w:tcPr>
          <w:p w14:paraId="3FDE0A2C"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Noninterest income to avg. earning assets</w:t>
            </w:r>
          </w:p>
        </w:tc>
        <w:tc>
          <w:tcPr>
            <w:tcW w:w="0" w:type="auto"/>
            <w:shd w:val="clear" w:color="auto" w:fill="FFFFFF"/>
            <w:vAlign w:val="center"/>
            <w:hideMark/>
          </w:tcPr>
          <w:p w14:paraId="44391D5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1.53</w:t>
            </w:r>
          </w:p>
        </w:tc>
        <w:tc>
          <w:tcPr>
            <w:tcW w:w="0" w:type="auto"/>
            <w:shd w:val="clear" w:color="auto" w:fill="FFFFFF"/>
            <w:vAlign w:val="center"/>
            <w:hideMark/>
          </w:tcPr>
          <w:p w14:paraId="5E2766E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1.52</w:t>
            </w:r>
          </w:p>
        </w:tc>
        <w:tc>
          <w:tcPr>
            <w:tcW w:w="0" w:type="auto"/>
            <w:shd w:val="clear" w:color="auto" w:fill="FFFFFF"/>
            <w:vAlign w:val="center"/>
            <w:hideMark/>
          </w:tcPr>
          <w:p w14:paraId="28A36CA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1.53</w:t>
            </w:r>
          </w:p>
        </w:tc>
        <w:tc>
          <w:tcPr>
            <w:tcW w:w="0" w:type="auto"/>
            <w:shd w:val="clear" w:color="auto" w:fill="FFFFFF"/>
            <w:vAlign w:val="center"/>
            <w:hideMark/>
          </w:tcPr>
          <w:p w14:paraId="208C407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1.63</w:t>
            </w:r>
          </w:p>
        </w:tc>
        <w:tc>
          <w:tcPr>
            <w:tcW w:w="0" w:type="auto"/>
            <w:shd w:val="clear" w:color="auto" w:fill="FFFFFF"/>
            <w:vAlign w:val="center"/>
            <w:hideMark/>
          </w:tcPr>
          <w:p w14:paraId="3F923AD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1.47</w:t>
            </w:r>
          </w:p>
        </w:tc>
        <w:tc>
          <w:tcPr>
            <w:tcW w:w="0" w:type="auto"/>
            <w:shd w:val="clear" w:color="auto" w:fill="FFFFFF"/>
            <w:vAlign w:val="center"/>
            <w:hideMark/>
          </w:tcPr>
          <w:p w14:paraId="67E7747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1.64</w:t>
            </w:r>
          </w:p>
        </w:tc>
        <w:tc>
          <w:tcPr>
            <w:tcW w:w="0" w:type="auto"/>
            <w:shd w:val="clear" w:color="auto" w:fill="FFFFFF"/>
            <w:vAlign w:val="center"/>
            <w:hideMark/>
          </w:tcPr>
          <w:p w14:paraId="356BBB7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1.70</w:t>
            </w:r>
          </w:p>
        </w:tc>
        <w:tc>
          <w:tcPr>
            <w:tcW w:w="0" w:type="auto"/>
            <w:shd w:val="clear" w:color="auto" w:fill="FFFFFF"/>
            <w:vAlign w:val="center"/>
            <w:hideMark/>
          </w:tcPr>
          <w:p w14:paraId="0103B3F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1.47</w:t>
            </w:r>
          </w:p>
        </w:tc>
        <w:tc>
          <w:tcPr>
            <w:tcW w:w="0" w:type="auto"/>
            <w:shd w:val="clear" w:color="auto" w:fill="FFFFFF"/>
            <w:vAlign w:val="center"/>
            <w:hideMark/>
          </w:tcPr>
          <w:p w14:paraId="061B447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1.70</w:t>
            </w:r>
          </w:p>
        </w:tc>
      </w:tr>
      <w:tr w:rsidR="00E678E0" w:rsidRPr="00E678E0" w14:paraId="2E2ACA28" w14:textId="77777777" w:rsidTr="00E678E0">
        <w:trPr>
          <w:tblCellSpacing w:w="0" w:type="dxa"/>
        </w:trPr>
        <w:tc>
          <w:tcPr>
            <w:tcW w:w="3399" w:type="dxa"/>
            <w:shd w:val="clear" w:color="auto" w:fill="FFFFFF"/>
            <w:noWrap/>
            <w:vAlign w:val="center"/>
            <w:hideMark/>
          </w:tcPr>
          <w:p w14:paraId="129EE8A9"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Noninterest expense to avg. earning assets</w:t>
            </w:r>
          </w:p>
        </w:tc>
        <w:tc>
          <w:tcPr>
            <w:tcW w:w="0" w:type="auto"/>
            <w:shd w:val="clear" w:color="auto" w:fill="FFFFFF"/>
            <w:vAlign w:val="center"/>
            <w:hideMark/>
          </w:tcPr>
          <w:p w14:paraId="75504F5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2.72</w:t>
            </w:r>
          </w:p>
        </w:tc>
        <w:tc>
          <w:tcPr>
            <w:tcW w:w="0" w:type="auto"/>
            <w:shd w:val="clear" w:color="auto" w:fill="FFFFFF"/>
            <w:vAlign w:val="center"/>
            <w:hideMark/>
          </w:tcPr>
          <w:p w14:paraId="24FFD1E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3.80</w:t>
            </w:r>
          </w:p>
        </w:tc>
        <w:tc>
          <w:tcPr>
            <w:tcW w:w="0" w:type="auto"/>
            <w:shd w:val="clear" w:color="auto" w:fill="FFFFFF"/>
            <w:vAlign w:val="center"/>
            <w:hideMark/>
          </w:tcPr>
          <w:p w14:paraId="0524985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2.71</w:t>
            </w:r>
          </w:p>
        </w:tc>
        <w:tc>
          <w:tcPr>
            <w:tcW w:w="0" w:type="auto"/>
            <w:shd w:val="clear" w:color="auto" w:fill="FFFFFF"/>
            <w:vAlign w:val="center"/>
            <w:hideMark/>
          </w:tcPr>
          <w:p w14:paraId="67F3DF2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2.84</w:t>
            </w:r>
          </w:p>
        </w:tc>
        <w:tc>
          <w:tcPr>
            <w:tcW w:w="0" w:type="auto"/>
            <w:shd w:val="clear" w:color="auto" w:fill="FFFFFF"/>
            <w:vAlign w:val="center"/>
            <w:hideMark/>
          </w:tcPr>
          <w:p w14:paraId="11C577F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3.92</w:t>
            </w:r>
          </w:p>
        </w:tc>
        <w:tc>
          <w:tcPr>
            <w:tcW w:w="0" w:type="auto"/>
            <w:shd w:val="clear" w:color="auto" w:fill="FFFFFF"/>
            <w:vAlign w:val="center"/>
            <w:hideMark/>
          </w:tcPr>
          <w:p w14:paraId="5F984EE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2.84</w:t>
            </w:r>
          </w:p>
        </w:tc>
        <w:tc>
          <w:tcPr>
            <w:tcW w:w="0" w:type="auto"/>
            <w:shd w:val="clear" w:color="auto" w:fill="FFFFFF"/>
            <w:vAlign w:val="center"/>
            <w:hideMark/>
          </w:tcPr>
          <w:p w14:paraId="71176CF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2.88</w:t>
            </w:r>
          </w:p>
        </w:tc>
        <w:tc>
          <w:tcPr>
            <w:tcW w:w="0" w:type="auto"/>
            <w:shd w:val="clear" w:color="auto" w:fill="FFFFFF"/>
            <w:vAlign w:val="center"/>
            <w:hideMark/>
          </w:tcPr>
          <w:p w14:paraId="2ABB843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3.84</w:t>
            </w:r>
          </w:p>
        </w:tc>
        <w:tc>
          <w:tcPr>
            <w:tcW w:w="0" w:type="auto"/>
            <w:shd w:val="clear" w:color="auto" w:fill="FFFFFF"/>
            <w:vAlign w:val="center"/>
            <w:hideMark/>
          </w:tcPr>
          <w:p w14:paraId="76CCE99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2.88</w:t>
            </w:r>
          </w:p>
        </w:tc>
      </w:tr>
      <w:tr w:rsidR="00E678E0" w:rsidRPr="00E678E0" w14:paraId="34D6D0FD" w14:textId="77777777" w:rsidTr="00E678E0">
        <w:trPr>
          <w:tblCellSpacing w:w="0" w:type="dxa"/>
        </w:trPr>
        <w:tc>
          <w:tcPr>
            <w:tcW w:w="3399" w:type="dxa"/>
            <w:shd w:val="clear" w:color="auto" w:fill="FFFFFF"/>
            <w:noWrap/>
            <w:vAlign w:val="center"/>
            <w:hideMark/>
          </w:tcPr>
          <w:p w14:paraId="3A9A3B45"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Net charge-offs to loans &amp; leases</w:t>
            </w:r>
          </w:p>
        </w:tc>
        <w:tc>
          <w:tcPr>
            <w:tcW w:w="0" w:type="auto"/>
            <w:shd w:val="clear" w:color="auto" w:fill="FFFFFF"/>
            <w:vAlign w:val="center"/>
            <w:hideMark/>
          </w:tcPr>
          <w:p w14:paraId="49E09EA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0.53</w:t>
            </w:r>
          </w:p>
        </w:tc>
        <w:tc>
          <w:tcPr>
            <w:tcW w:w="0" w:type="auto"/>
            <w:shd w:val="clear" w:color="auto" w:fill="FFFFFF"/>
            <w:vAlign w:val="center"/>
            <w:hideMark/>
          </w:tcPr>
          <w:p w14:paraId="49327B2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0.13</w:t>
            </w:r>
          </w:p>
        </w:tc>
        <w:tc>
          <w:tcPr>
            <w:tcW w:w="0" w:type="auto"/>
            <w:shd w:val="clear" w:color="auto" w:fill="FFFFFF"/>
            <w:vAlign w:val="center"/>
            <w:hideMark/>
          </w:tcPr>
          <w:p w14:paraId="30AB59E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0.53</w:t>
            </w:r>
          </w:p>
        </w:tc>
        <w:tc>
          <w:tcPr>
            <w:tcW w:w="0" w:type="auto"/>
            <w:shd w:val="clear" w:color="auto" w:fill="FFFFFF"/>
            <w:vAlign w:val="center"/>
            <w:hideMark/>
          </w:tcPr>
          <w:p w14:paraId="38A447A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0.50</w:t>
            </w:r>
          </w:p>
        </w:tc>
        <w:tc>
          <w:tcPr>
            <w:tcW w:w="0" w:type="auto"/>
            <w:shd w:val="clear" w:color="auto" w:fill="FFFFFF"/>
            <w:vAlign w:val="center"/>
            <w:hideMark/>
          </w:tcPr>
          <w:p w14:paraId="115EE5D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0.18</w:t>
            </w:r>
          </w:p>
        </w:tc>
        <w:tc>
          <w:tcPr>
            <w:tcW w:w="0" w:type="auto"/>
            <w:shd w:val="clear" w:color="auto" w:fill="FFFFFF"/>
            <w:vAlign w:val="center"/>
            <w:hideMark/>
          </w:tcPr>
          <w:p w14:paraId="00A3ED6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0.51</w:t>
            </w:r>
          </w:p>
        </w:tc>
        <w:tc>
          <w:tcPr>
            <w:tcW w:w="0" w:type="auto"/>
            <w:shd w:val="clear" w:color="auto" w:fill="FFFFFF"/>
            <w:vAlign w:val="center"/>
            <w:hideMark/>
          </w:tcPr>
          <w:p w14:paraId="2BD6634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0.48</w:t>
            </w:r>
          </w:p>
        </w:tc>
        <w:tc>
          <w:tcPr>
            <w:tcW w:w="0" w:type="auto"/>
            <w:shd w:val="clear" w:color="auto" w:fill="FFFFFF"/>
            <w:vAlign w:val="center"/>
            <w:hideMark/>
          </w:tcPr>
          <w:p w14:paraId="5AAB67B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0.17</w:t>
            </w:r>
          </w:p>
        </w:tc>
        <w:tc>
          <w:tcPr>
            <w:tcW w:w="0" w:type="auto"/>
            <w:shd w:val="clear" w:color="auto" w:fill="FFFFFF"/>
            <w:vAlign w:val="center"/>
            <w:hideMark/>
          </w:tcPr>
          <w:p w14:paraId="7CB7DE4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0.48</w:t>
            </w:r>
          </w:p>
        </w:tc>
      </w:tr>
      <w:tr w:rsidR="00E678E0" w:rsidRPr="00E678E0" w14:paraId="4D8F7CE9" w14:textId="77777777" w:rsidTr="00E678E0">
        <w:trPr>
          <w:tblCellSpacing w:w="0" w:type="dxa"/>
        </w:trPr>
        <w:tc>
          <w:tcPr>
            <w:tcW w:w="3399" w:type="dxa"/>
            <w:shd w:val="clear" w:color="auto" w:fill="FFFFFF"/>
            <w:noWrap/>
            <w:vAlign w:val="center"/>
            <w:hideMark/>
          </w:tcPr>
          <w:p w14:paraId="301C3E2C"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Credit-loss provision to net charge-offs</w:t>
            </w:r>
          </w:p>
        </w:tc>
        <w:tc>
          <w:tcPr>
            <w:tcW w:w="0" w:type="auto"/>
            <w:shd w:val="clear" w:color="auto" w:fill="FFFFFF"/>
            <w:vAlign w:val="center"/>
            <w:hideMark/>
          </w:tcPr>
          <w:p w14:paraId="4689E3A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298.91</w:t>
            </w:r>
          </w:p>
        </w:tc>
        <w:tc>
          <w:tcPr>
            <w:tcW w:w="0" w:type="auto"/>
            <w:shd w:val="clear" w:color="auto" w:fill="FFFFFF"/>
            <w:vAlign w:val="center"/>
            <w:hideMark/>
          </w:tcPr>
          <w:p w14:paraId="32EFEE1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165.47</w:t>
            </w:r>
          </w:p>
        </w:tc>
        <w:tc>
          <w:tcPr>
            <w:tcW w:w="0" w:type="auto"/>
            <w:shd w:val="clear" w:color="auto" w:fill="FFFFFF"/>
            <w:vAlign w:val="center"/>
            <w:hideMark/>
          </w:tcPr>
          <w:p w14:paraId="398EA3F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299.01</w:t>
            </w:r>
          </w:p>
        </w:tc>
        <w:tc>
          <w:tcPr>
            <w:tcW w:w="0" w:type="auto"/>
            <w:shd w:val="clear" w:color="auto" w:fill="FFFFFF"/>
            <w:vAlign w:val="center"/>
            <w:hideMark/>
          </w:tcPr>
          <w:p w14:paraId="3034A42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105.34</w:t>
            </w:r>
          </w:p>
        </w:tc>
        <w:tc>
          <w:tcPr>
            <w:tcW w:w="0" w:type="auto"/>
            <w:shd w:val="clear" w:color="auto" w:fill="FFFFFF"/>
            <w:vAlign w:val="center"/>
            <w:hideMark/>
          </w:tcPr>
          <w:p w14:paraId="6E8B38B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142.48</w:t>
            </w:r>
          </w:p>
        </w:tc>
        <w:tc>
          <w:tcPr>
            <w:tcW w:w="0" w:type="auto"/>
            <w:shd w:val="clear" w:color="auto" w:fill="FFFFFF"/>
            <w:vAlign w:val="center"/>
            <w:hideMark/>
          </w:tcPr>
          <w:p w14:paraId="6E0B098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105.29</w:t>
            </w:r>
          </w:p>
        </w:tc>
        <w:tc>
          <w:tcPr>
            <w:tcW w:w="0" w:type="auto"/>
            <w:shd w:val="clear" w:color="auto" w:fill="FFFFFF"/>
            <w:vAlign w:val="center"/>
            <w:hideMark/>
          </w:tcPr>
          <w:p w14:paraId="3878C26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103.10</w:t>
            </w:r>
          </w:p>
        </w:tc>
        <w:tc>
          <w:tcPr>
            <w:tcW w:w="0" w:type="auto"/>
            <w:shd w:val="clear" w:color="auto" w:fill="FFFFFF"/>
            <w:vAlign w:val="center"/>
            <w:hideMark/>
          </w:tcPr>
          <w:p w14:paraId="0BC5CA5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132.45</w:t>
            </w:r>
          </w:p>
        </w:tc>
        <w:tc>
          <w:tcPr>
            <w:tcW w:w="0" w:type="auto"/>
            <w:shd w:val="clear" w:color="auto" w:fill="FFFFFF"/>
            <w:vAlign w:val="center"/>
            <w:hideMark/>
          </w:tcPr>
          <w:p w14:paraId="3DF07A4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103.05</w:t>
            </w:r>
          </w:p>
        </w:tc>
      </w:tr>
      <w:tr w:rsidR="00E678E0" w:rsidRPr="00E678E0" w14:paraId="53D40D80" w14:textId="77777777" w:rsidTr="00E678E0">
        <w:trPr>
          <w:tblCellSpacing w:w="0" w:type="dxa"/>
        </w:trPr>
        <w:tc>
          <w:tcPr>
            <w:tcW w:w="3399" w:type="dxa"/>
            <w:shd w:val="clear" w:color="auto" w:fill="FFFFFF"/>
            <w:noWrap/>
            <w:vAlign w:val="center"/>
            <w:hideMark/>
          </w:tcPr>
          <w:p w14:paraId="14B7DA4D"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Net operating income to average assets</w:t>
            </w:r>
          </w:p>
        </w:tc>
        <w:tc>
          <w:tcPr>
            <w:tcW w:w="0" w:type="auto"/>
            <w:shd w:val="clear" w:color="auto" w:fill="FFFFFF"/>
            <w:vAlign w:val="center"/>
            <w:hideMark/>
          </w:tcPr>
          <w:p w14:paraId="6C3E85C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0.55</w:t>
            </w:r>
          </w:p>
        </w:tc>
        <w:tc>
          <w:tcPr>
            <w:tcW w:w="0" w:type="auto"/>
            <w:shd w:val="clear" w:color="auto" w:fill="FFFFFF"/>
            <w:vAlign w:val="center"/>
            <w:hideMark/>
          </w:tcPr>
          <w:p w14:paraId="359EF9E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0.88</w:t>
            </w:r>
          </w:p>
        </w:tc>
        <w:tc>
          <w:tcPr>
            <w:tcW w:w="0" w:type="auto"/>
            <w:shd w:val="clear" w:color="auto" w:fill="FFFFFF"/>
            <w:vAlign w:val="center"/>
            <w:hideMark/>
          </w:tcPr>
          <w:p w14:paraId="2EE6389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0.55</w:t>
            </w:r>
          </w:p>
        </w:tc>
        <w:tc>
          <w:tcPr>
            <w:tcW w:w="0" w:type="auto"/>
            <w:shd w:val="clear" w:color="auto" w:fill="FFFFFF"/>
            <w:vAlign w:val="center"/>
            <w:hideMark/>
          </w:tcPr>
          <w:p w14:paraId="51159D4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1.32</w:t>
            </w:r>
          </w:p>
        </w:tc>
        <w:tc>
          <w:tcPr>
            <w:tcW w:w="0" w:type="auto"/>
            <w:shd w:val="clear" w:color="auto" w:fill="FFFFFF"/>
            <w:vAlign w:val="center"/>
            <w:hideMark/>
          </w:tcPr>
          <w:p w14:paraId="453F448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0.98</w:t>
            </w:r>
          </w:p>
        </w:tc>
        <w:tc>
          <w:tcPr>
            <w:tcW w:w="0" w:type="auto"/>
            <w:shd w:val="clear" w:color="auto" w:fill="FFFFFF"/>
            <w:vAlign w:val="center"/>
            <w:hideMark/>
          </w:tcPr>
          <w:p w14:paraId="2735789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1.32</w:t>
            </w:r>
          </w:p>
        </w:tc>
        <w:tc>
          <w:tcPr>
            <w:tcW w:w="0" w:type="auto"/>
            <w:shd w:val="clear" w:color="auto" w:fill="FFFFFF"/>
            <w:vAlign w:val="center"/>
            <w:hideMark/>
          </w:tcPr>
          <w:p w14:paraId="4960088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w:t>
            </w:r>
          </w:p>
        </w:tc>
        <w:tc>
          <w:tcPr>
            <w:tcW w:w="0" w:type="auto"/>
            <w:shd w:val="clear" w:color="auto" w:fill="FFFFFF"/>
            <w:vAlign w:val="center"/>
            <w:hideMark/>
          </w:tcPr>
          <w:p w14:paraId="043319E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1.06</w:t>
            </w:r>
          </w:p>
        </w:tc>
        <w:tc>
          <w:tcPr>
            <w:tcW w:w="0" w:type="auto"/>
            <w:shd w:val="clear" w:color="auto" w:fill="FFFFFF"/>
            <w:vAlign w:val="center"/>
            <w:hideMark/>
          </w:tcPr>
          <w:p w14:paraId="3776638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w:t>
            </w:r>
          </w:p>
        </w:tc>
      </w:tr>
      <w:tr w:rsidR="00E678E0" w:rsidRPr="00E678E0" w14:paraId="2C2DEC34" w14:textId="77777777" w:rsidTr="00E678E0">
        <w:trPr>
          <w:tblCellSpacing w:w="0" w:type="dxa"/>
        </w:trPr>
        <w:tc>
          <w:tcPr>
            <w:tcW w:w="3399" w:type="dxa"/>
            <w:shd w:val="clear" w:color="auto" w:fill="FFFFFF"/>
            <w:noWrap/>
            <w:vAlign w:val="center"/>
            <w:hideMark/>
          </w:tcPr>
          <w:p w14:paraId="0916C5D7"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Retained earnings to average equity</w:t>
            </w:r>
          </w:p>
        </w:tc>
        <w:tc>
          <w:tcPr>
            <w:tcW w:w="0" w:type="auto"/>
            <w:shd w:val="clear" w:color="auto" w:fill="FFFFFF"/>
            <w:vAlign w:val="center"/>
            <w:hideMark/>
          </w:tcPr>
          <w:p w14:paraId="49B0708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1.63</w:t>
            </w:r>
          </w:p>
        </w:tc>
        <w:tc>
          <w:tcPr>
            <w:tcW w:w="0" w:type="auto"/>
            <w:shd w:val="clear" w:color="auto" w:fill="FFFFFF"/>
            <w:vAlign w:val="center"/>
            <w:hideMark/>
          </w:tcPr>
          <w:p w14:paraId="10D966A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3.35</w:t>
            </w:r>
          </w:p>
        </w:tc>
        <w:tc>
          <w:tcPr>
            <w:tcW w:w="0" w:type="auto"/>
            <w:shd w:val="clear" w:color="auto" w:fill="FFFFFF"/>
            <w:vAlign w:val="center"/>
            <w:hideMark/>
          </w:tcPr>
          <w:p w14:paraId="7F42C67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1.63</w:t>
            </w:r>
          </w:p>
        </w:tc>
        <w:tc>
          <w:tcPr>
            <w:tcW w:w="0" w:type="auto"/>
            <w:shd w:val="clear" w:color="auto" w:fill="FFFFFF"/>
            <w:vAlign w:val="center"/>
            <w:hideMark/>
          </w:tcPr>
          <w:p w14:paraId="3FC4A1D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2.94</w:t>
            </w:r>
          </w:p>
        </w:tc>
        <w:tc>
          <w:tcPr>
            <w:tcW w:w="0" w:type="auto"/>
            <w:shd w:val="clear" w:color="auto" w:fill="FFFFFF"/>
            <w:vAlign w:val="center"/>
            <w:hideMark/>
          </w:tcPr>
          <w:p w14:paraId="7582850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3.06</w:t>
            </w:r>
          </w:p>
        </w:tc>
        <w:tc>
          <w:tcPr>
            <w:tcW w:w="0" w:type="auto"/>
            <w:shd w:val="clear" w:color="auto" w:fill="FFFFFF"/>
            <w:vAlign w:val="center"/>
            <w:hideMark/>
          </w:tcPr>
          <w:p w14:paraId="2B3582E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2.94</w:t>
            </w:r>
          </w:p>
        </w:tc>
        <w:tc>
          <w:tcPr>
            <w:tcW w:w="0" w:type="auto"/>
            <w:shd w:val="clear" w:color="auto" w:fill="FFFFFF"/>
            <w:vAlign w:val="center"/>
            <w:hideMark/>
          </w:tcPr>
          <w:p w14:paraId="3EEAD3F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4.43</w:t>
            </w:r>
          </w:p>
        </w:tc>
        <w:tc>
          <w:tcPr>
            <w:tcW w:w="0" w:type="auto"/>
            <w:shd w:val="clear" w:color="auto" w:fill="FFFFFF"/>
            <w:vAlign w:val="center"/>
            <w:hideMark/>
          </w:tcPr>
          <w:p w14:paraId="51D2AFF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3.85</w:t>
            </w:r>
          </w:p>
        </w:tc>
        <w:tc>
          <w:tcPr>
            <w:tcW w:w="0" w:type="auto"/>
            <w:shd w:val="clear" w:color="auto" w:fill="FFFFFF"/>
            <w:vAlign w:val="center"/>
            <w:hideMark/>
          </w:tcPr>
          <w:p w14:paraId="1AB4FBD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4.44</w:t>
            </w:r>
          </w:p>
        </w:tc>
      </w:tr>
      <w:tr w:rsidR="00E678E0" w:rsidRPr="00E678E0" w14:paraId="6B09D617" w14:textId="77777777" w:rsidTr="00E678E0">
        <w:trPr>
          <w:tblCellSpacing w:w="0" w:type="dxa"/>
        </w:trPr>
        <w:tc>
          <w:tcPr>
            <w:tcW w:w="3399" w:type="dxa"/>
            <w:shd w:val="clear" w:color="auto" w:fill="FFFFFF"/>
            <w:noWrap/>
            <w:vAlign w:val="center"/>
            <w:hideMark/>
          </w:tcPr>
          <w:p w14:paraId="78CB47DA" w14:textId="77777777" w:rsidR="00E678E0" w:rsidRPr="00E678E0" w:rsidRDefault="00E678E0" w:rsidP="00E678E0">
            <w:pPr>
              <w:spacing w:after="0" w:line="240" w:lineRule="auto"/>
              <w:rPr>
                <w:rFonts w:ascii="Arial" w:eastAsia="Times New Roman" w:hAnsi="Arial" w:cs="Arial"/>
                <w:sz w:val="20"/>
                <w:szCs w:val="20"/>
              </w:rPr>
            </w:pPr>
            <w:proofErr w:type="spellStart"/>
            <w:r w:rsidRPr="00E678E0">
              <w:rPr>
                <w:rFonts w:ascii="Arial" w:eastAsia="Times New Roman" w:hAnsi="Arial" w:cs="Arial"/>
                <w:sz w:val="15"/>
                <w:szCs w:val="15"/>
              </w:rPr>
              <w:t>Pre tax</w:t>
            </w:r>
            <w:proofErr w:type="spellEnd"/>
            <w:r w:rsidRPr="00E678E0">
              <w:rPr>
                <w:rFonts w:ascii="Arial" w:eastAsia="Times New Roman" w:hAnsi="Arial" w:cs="Arial"/>
                <w:sz w:val="15"/>
                <w:szCs w:val="15"/>
              </w:rPr>
              <w:t xml:space="preserve"> return on assets</w:t>
            </w:r>
          </w:p>
        </w:tc>
        <w:tc>
          <w:tcPr>
            <w:tcW w:w="0" w:type="auto"/>
            <w:shd w:val="clear" w:color="auto" w:fill="FFFFFF"/>
            <w:vAlign w:val="center"/>
            <w:hideMark/>
          </w:tcPr>
          <w:p w14:paraId="2990628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0.73</w:t>
            </w:r>
          </w:p>
        </w:tc>
        <w:tc>
          <w:tcPr>
            <w:tcW w:w="0" w:type="auto"/>
            <w:shd w:val="clear" w:color="auto" w:fill="FFFFFF"/>
            <w:vAlign w:val="center"/>
            <w:hideMark/>
          </w:tcPr>
          <w:p w14:paraId="23213B2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1.04</w:t>
            </w:r>
          </w:p>
        </w:tc>
        <w:tc>
          <w:tcPr>
            <w:tcW w:w="0" w:type="auto"/>
            <w:shd w:val="clear" w:color="auto" w:fill="FFFFFF"/>
            <w:vAlign w:val="center"/>
            <w:hideMark/>
          </w:tcPr>
          <w:p w14:paraId="4CE6F3A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0.73</w:t>
            </w:r>
          </w:p>
        </w:tc>
        <w:tc>
          <w:tcPr>
            <w:tcW w:w="0" w:type="auto"/>
            <w:shd w:val="clear" w:color="auto" w:fill="FFFFFF"/>
            <w:vAlign w:val="center"/>
            <w:hideMark/>
          </w:tcPr>
          <w:p w14:paraId="531F09A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1.67</w:t>
            </w:r>
          </w:p>
        </w:tc>
        <w:tc>
          <w:tcPr>
            <w:tcW w:w="0" w:type="auto"/>
            <w:shd w:val="clear" w:color="auto" w:fill="FFFFFF"/>
            <w:vAlign w:val="center"/>
            <w:hideMark/>
          </w:tcPr>
          <w:p w14:paraId="68C1B19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1.15</w:t>
            </w:r>
          </w:p>
        </w:tc>
        <w:tc>
          <w:tcPr>
            <w:tcW w:w="0" w:type="auto"/>
            <w:shd w:val="clear" w:color="auto" w:fill="FFFFFF"/>
            <w:vAlign w:val="center"/>
            <w:hideMark/>
          </w:tcPr>
          <w:p w14:paraId="69C6E5F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1.68</w:t>
            </w:r>
          </w:p>
        </w:tc>
        <w:tc>
          <w:tcPr>
            <w:tcW w:w="0" w:type="auto"/>
            <w:shd w:val="clear" w:color="auto" w:fill="FFFFFF"/>
            <w:vAlign w:val="center"/>
            <w:hideMark/>
          </w:tcPr>
          <w:p w14:paraId="0E71151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1.72</w:t>
            </w:r>
          </w:p>
        </w:tc>
        <w:tc>
          <w:tcPr>
            <w:tcW w:w="0" w:type="auto"/>
            <w:shd w:val="clear" w:color="auto" w:fill="FFFFFF"/>
            <w:vAlign w:val="center"/>
            <w:hideMark/>
          </w:tcPr>
          <w:p w14:paraId="2342DD7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1.19</w:t>
            </w:r>
          </w:p>
        </w:tc>
        <w:tc>
          <w:tcPr>
            <w:tcW w:w="0" w:type="auto"/>
            <w:shd w:val="clear" w:color="auto" w:fill="FFFFFF"/>
            <w:vAlign w:val="center"/>
            <w:hideMark/>
          </w:tcPr>
          <w:p w14:paraId="5736C3F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1.72</w:t>
            </w:r>
          </w:p>
        </w:tc>
      </w:tr>
      <w:tr w:rsidR="00E678E0" w:rsidRPr="00E678E0" w14:paraId="242885C7" w14:textId="77777777" w:rsidTr="00E678E0">
        <w:trPr>
          <w:tblCellSpacing w:w="0" w:type="dxa"/>
        </w:trPr>
        <w:tc>
          <w:tcPr>
            <w:tcW w:w="3399" w:type="dxa"/>
            <w:shd w:val="clear" w:color="auto" w:fill="FFFFFF"/>
            <w:noWrap/>
            <w:vAlign w:val="center"/>
            <w:hideMark/>
          </w:tcPr>
          <w:p w14:paraId="736722FE"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Return on assets</w:t>
            </w:r>
          </w:p>
        </w:tc>
        <w:tc>
          <w:tcPr>
            <w:tcW w:w="0" w:type="auto"/>
            <w:shd w:val="clear" w:color="auto" w:fill="FFFFFF"/>
            <w:vAlign w:val="center"/>
            <w:hideMark/>
          </w:tcPr>
          <w:p w14:paraId="56B6672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0.58</w:t>
            </w:r>
          </w:p>
        </w:tc>
        <w:tc>
          <w:tcPr>
            <w:tcW w:w="0" w:type="auto"/>
            <w:shd w:val="clear" w:color="auto" w:fill="FFFFFF"/>
            <w:vAlign w:val="center"/>
            <w:hideMark/>
          </w:tcPr>
          <w:p w14:paraId="2EA121C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0.91</w:t>
            </w:r>
          </w:p>
        </w:tc>
        <w:tc>
          <w:tcPr>
            <w:tcW w:w="0" w:type="auto"/>
            <w:shd w:val="clear" w:color="auto" w:fill="FFFFFF"/>
            <w:vAlign w:val="center"/>
            <w:hideMark/>
          </w:tcPr>
          <w:p w14:paraId="7698E55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0.58</w:t>
            </w:r>
          </w:p>
        </w:tc>
        <w:tc>
          <w:tcPr>
            <w:tcW w:w="0" w:type="auto"/>
            <w:shd w:val="clear" w:color="auto" w:fill="FFFFFF"/>
            <w:vAlign w:val="center"/>
            <w:hideMark/>
          </w:tcPr>
          <w:p w14:paraId="62A340F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1.33</w:t>
            </w:r>
          </w:p>
        </w:tc>
        <w:tc>
          <w:tcPr>
            <w:tcW w:w="0" w:type="auto"/>
            <w:shd w:val="clear" w:color="auto" w:fill="FFFFFF"/>
            <w:vAlign w:val="center"/>
            <w:hideMark/>
          </w:tcPr>
          <w:p w14:paraId="2BFF9E5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1.00</w:t>
            </w:r>
          </w:p>
        </w:tc>
        <w:tc>
          <w:tcPr>
            <w:tcW w:w="0" w:type="auto"/>
            <w:shd w:val="clear" w:color="auto" w:fill="FFFFFF"/>
            <w:vAlign w:val="center"/>
            <w:hideMark/>
          </w:tcPr>
          <w:p w14:paraId="086A574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1.33</w:t>
            </w:r>
          </w:p>
        </w:tc>
        <w:tc>
          <w:tcPr>
            <w:tcW w:w="0" w:type="auto"/>
            <w:shd w:val="clear" w:color="auto" w:fill="FFFFFF"/>
            <w:vAlign w:val="center"/>
            <w:hideMark/>
          </w:tcPr>
          <w:p w14:paraId="72A4342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w:t>
            </w:r>
          </w:p>
        </w:tc>
        <w:tc>
          <w:tcPr>
            <w:tcW w:w="0" w:type="auto"/>
            <w:shd w:val="clear" w:color="auto" w:fill="FFFFFF"/>
            <w:vAlign w:val="center"/>
            <w:hideMark/>
          </w:tcPr>
          <w:p w14:paraId="2071E72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1.05</w:t>
            </w:r>
          </w:p>
        </w:tc>
        <w:tc>
          <w:tcPr>
            <w:tcW w:w="0" w:type="auto"/>
            <w:shd w:val="clear" w:color="auto" w:fill="FFFFFF"/>
            <w:vAlign w:val="center"/>
            <w:hideMark/>
          </w:tcPr>
          <w:p w14:paraId="4CBDB07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w:t>
            </w:r>
          </w:p>
        </w:tc>
      </w:tr>
      <w:tr w:rsidR="00E678E0" w:rsidRPr="00E678E0" w14:paraId="6374CED2" w14:textId="77777777" w:rsidTr="00E678E0">
        <w:trPr>
          <w:tblCellSpacing w:w="0" w:type="dxa"/>
        </w:trPr>
        <w:tc>
          <w:tcPr>
            <w:tcW w:w="3399" w:type="dxa"/>
            <w:shd w:val="clear" w:color="auto" w:fill="FFFFFF"/>
            <w:noWrap/>
            <w:vAlign w:val="center"/>
            <w:hideMark/>
          </w:tcPr>
          <w:p w14:paraId="41A0D904"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Return on equity</w:t>
            </w:r>
          </w:p>
        </w:tc>
        <w:tc>
          <w:tcPr>
            <w:tcW w:w="0" w:type="auto"/>
            <w:shd w:val="clear" w:color="auto" w:fill="FFFFFF"/>
            <w:vAlign w:val="center"/>
            <w:hideMark/>
          </w:tcPr>
          <w:p w14:paraId="52B2515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5.53</w:t>
            </w:r>
          </w:p>
        </w:tc>
        <w:tc>
          <w:tcPr>
            <w:tcW w:w="0" w:type="auto"/>
            <w:shd w:val="clear" w:color="auto" w:fill="FFFFFF"/>
            <w:vAlign w:val="center"/>
            <w:hideMark/>
          </w:tcPr>
          <w:p w14:paraId="1DE8074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6.60</w:t>
            </w:r>
          </w:p>
        </w:tc>
        <w:tc>
          <w:tcPr>
            <w:tcW w:w="0" w:type="auto"/>
            <w:shd w:val="clear" w:color="auto" w:fill="FFFFFF"/>
            <w:vAlign w:val="center"/>
            <w:hideMark/>
          </w:tcPr>
          <w:p w14:paraId="696BBB8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5.53</w:t>
            </w:r>
          </w:p>
        </w:tc>
        <w:tc>
          <w:tcPr>
            <w:tcW w:w="0" w:type="auto"/>
            <w:shd w:val="clear" w:color="auto" w:fill="FFFFFF"/>
            <w:vAlign w:val="center"/>
            <w:hideMark/>
          </w:tcPr>
          <w:p w14:paraId="6506259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11.67</w:t>
            </w:r>
          </w:p>
        </w:tc>
        <w:tc>
          <w:tcPr>
            <w:tcW w:w="0" w:type="auto"/>
            <w:shd w:val="clear" w:color="auto" w:fill="FFFFFF"/>
            <w:vAlign w:val="center"/>
            <w:hideMark/>
          </w:tcPr>
          <w:p w14:paraId="37DD4C9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7.11</w:t>
            </w:r>
          </w:p>
        </w:tc>
        <w:tc>
          <w:tcPr>
            <w:tcW w:w="0" w:type="auto"/>
            <w:shd w:val="clear" w:color="auto" w:fill="FFFFFF"/>
            <w:vAlign w:val="center"/>
            <w:hideMark/>
          </w:tcPr>
          <w:p w14:paraId="3FCF961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11.69</w:t>
            </w:r>
          </w:p>
        </w:tc>
        <w:tc>
          <w:tcPr>
            <w:tcW w:w="0" w:type="auto"/>
            <w:shd w:val="clear" w:color="auto" w:fill="FFFFFF"/>
            <w:vAlign w:val="center"/>
            <w:hideMark/>
          </w:tcPr>
          <w:p w14:paraId="19BEDA4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12.03</w:t>
            </w:r>
          </w:p>
        </w:tc>
        <w:tc>
          <w:tcPr>
            <w:tcW w:w="0" w:type="auto"/>
            <w:shd w:val="clear" w:color="auto" w:fill="FFFFFF"/>
            <w:vAlign w:val="center"/>
            <w:hideMark/>
          </w:tcPr>
          <w:p w14:paraId="49C7FC4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7.89</w:t>
            </w:r>
          </w:p>
        </w:tc>
        <w:tc>
          <w:tcPr>
            <w:tcW w:w="0" w:type="auto"/>
            <w:shd w:val="clear" w:color="auto" w:fill="FFFFFF"/>
            <w:vAlign w:val="center"/>
            <w:hideMark/>
          </w:tcPr>
          <w:p w14:paraId="1825212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12.05</w:t>
            </w:r>
          </w:p>
        </w:tc>
      </w:tr>
      <w:tr w:rsidR="00E678E0" w:rsidRPr="00E678E0" w14:paraId="6F6EF815" w14:textId="77777777" w:rsidTr="00E678E0">
        <w:trPr>
          <w:tblCellSpacing w:w="0" w:type="dxa"/>
        </w:trPr>
        <w:tc>
          <w:tcPr>
            <w:tcW w:w="3399" w:type="dxa"/>
            <w:shd w:val="clear" w:color="auto" w:fill="FFFFFF"/>
            <w:noWrap/>
            <w:vAlign w:val="center"/>
            <w:hideMark/>
          </w:tcPr>
          <w:p w14:paraId="132F3458"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Percent of unprofitable institutions</w:t>
            </w:r>
          </w:p>
        </w:tc>
        <w:tc>
          <w:tcPr>
            <w:tcW w:w="0" w:type="auto"/>
            <w:shd w:val="clear" w:color="auto" w:fill="FFFFFF"/>
            <w:vAlign w:val="center"/>
            <w:hideMark/>
          </w:tcPr>
          <w:p w14:paraId="14F7D69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4.79</w:t>
            </w:r>
          </w:p>
        </w:tc>
        <w:tc>
          <w:tcPr>
            <w:tcW w:w="0" w:type="auto"/>
            <w:shd w:val="clear" w:color="auto" w:fill="FFFFFF"/>
            <w:vAlign w:val="center"/>
            <w:hideMark/>
          </w:tcPr>
          <w:p w14:paraId="02EFD7F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10.09</w:t>
            </w:r>
          </w:p>
        </w:tc>
        <w:tc>
          <w:tcPr>
            <w:tcW w:w="0" w:type="auto"/>
            <w:shd w:val="clear" w:color="auto" w:fill="FFFFFF"/>
            <w:vAlign w:val="center"/>
            <w:hideMark/>
          </w:tcPr>
          <w:p w14:paraId="463CDD4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3.50</w:t>
            </w:r>
          </w:p>
        </w:tc>
        <w:tc>
          <w:tcPr>
            <w:tcW w:w="0" w:type="auto"/>
            <w:shd w:val="clear" w:color="auto" w:fill="FFFFFF"/>
            <w:vAlign w:val="center"/>
            <w:hideMark/>
          </w:tcPr>
          <w:p w14:paraId="280279C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3.59</w:t>
            </w:r>
          </w:p>
        </w:tc>
        <w:tc>
          <w:tcPr>
            <w:tcW w:w="0" w:type="auto"/>
            <w:shd w:val="clear" w:color="auto" w:fill="FFFFFF"/>
            <w:vAlign w:val="center"/>
            <w:hideMark/>
          </w:tcPr>
          <w:p w14:paraId="0207085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9.44</w:t>
            </w:r>
          </w:p>
        </w:tc>
        <w:tc>
          <w:tcPr>
            <w:tcW w:w="0" w:type="auto"/>
            <w:shd w:val="clear" w:color="auto" w:fill="FFFFFF"/>
            <w:vAlign w:val="center"/>
            <w:hideMark/>
          </w:tcPr>
          <w:p w14:paraId="62D694F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1.85</w:t>
            </w:r>
          </w:p>
        </w:tc>
        <w:tc>
          <w:tcPr>
            <w:tcW w:w="0" w:type="auto"/>
            <w:shd w:val="clear" w:color="auto" w:fill="FFFFFF"/>
            <w:vAlign w:val="center"/>
            <w:hideMark/>
          </w:tcPr>
          <w:p w14:paraId="5D1CBE0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3.41</w:t>
            </w:r>
          </w:p>
        </w:tc>
        <w:tc>
          <w:tcPr>
            <w:tcW w:w="0" w:type="auto"/>
            <w:shd w:val="clear" w:color="auto" w:fill="FFFFFF"/>
            <w:vAlign w:val="center"/>
            <w:hideMark/>
          </w:tcPr>
          <w:p w14:paraId="32B26F7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8.84</w:t>
            </w:r>
          </w:p>
        </w:tc>
        <w:tc>
          <w:tcPr>
            <w:tcW w:w="0" w:type="auto"/>
            <w:shd w:val="clear" w:color="auto" w:fill="FFFFFF"/>
            <w:vAlign w:val="center"/>
            <w:hideMark/>
          </w:tcPr>
          <w:p w14:paraId="026B74D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1.67</w:t>
            </w:r>
          </w:p>
        </w:tc>
      </w:tr>
      <w:tr w:rsidR="00E678E0" w:rsidRPr="00E678E0" w14:paraId="3A667052" w14:textId="77777777" w:rsidTr="00E678E0">
        <w:trPr>
          <w:tblCellSpacing w:w="0" w:type="dxa"/>
        </w:trPr>
        <w:tc>
          <w:tcPr>
            <w:tcW w:w="3399" w:type="dxa"/>
            <w:shd w:val="clear" w:color="auto" w:fill="FFFFFF"/>
            <w:noWrap/>
            <w:vAlign w:val="center"/>
            <w:hideMark/>
          </w:tcPr>
          <w:p w14:paraId="0F302782"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Percent of institutions with earning gains</w:t>
            </w:r>
          </w:p>
        </w:tc>
        <w:tc>
          <w:tcPr>
            <w:tcW w:w="0" w:type="auto"/>
            <w:shd w:val="clear" w:color="auto" w:fill="FFFFFF"/>
            <w:vAlign w:val="center"/>
            <w:hideMark/>
          </w:tcPr>
          <w:p w14:paraId="4568639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49.27</w:t>
            </w:r>
          </w:p>
        </w:tc>
        <w:tc>
          <w:tcPr>
            <w:tcW w:w="0" w:type="auto"/>
            <w:shd w:val="clear" w:color="auto" w:fill="FFFFFF"/>
            <w:vAlign w:val="center"/>
            <w:hideMark/>
          </w:tcPr>
          <w:p w14:paraId="50C18EF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40.47</w:t>
            </w:r>
          </w:p>
        </w:tc>
        <w:tc>
          <w:tcPr>
            <w:tcW w:w="0" w:type="auto"/>
            <w:shd w:val="clear" w:color="auto" w:fill="FFFFFF"/>
            <w:vAlign w:val="center"/>
            <w:hideMark/>
          </w:tcPr>
          <w:p w14:paraId="2C9778C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51.41</w:t>
            </w:r>
          </w:p>
        </w:tc>
        <w:tc>
          <w:tcPr>
            <w:tcW w:w="0" w:type="auto"/>
            <w:shd w:val="clear" w:color="auto" w:fill="FFFFFF"/>
            <w:vAlign w:val="center"/>
            <w:hideMark/>
          </w:tcPr>
          <w:p w14:paraId="4A00F6E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64.09</w:t>
            </w:r>
          </w:p>
        </w:tc>
        <w:tc>
          <w:tcPr>
            <w:tcW w:w="0" w:type="auto"/>
            <w:shd w:val="clear" w:color="auto" w:fill="FFFFFF"/>
            <w:vAlign w:val="center"/>
            <w:hideMark/>
          </w:tcPr>
          <w:p w14:paraId="220C035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57.17</w:t>
            </w:r>
          </w:p>
        </w:tc>
        <w:tc>
          <w:tcPr>
            <w:tcW w:w="0" w:type="auto"/>
            <w:shd w:val="clear" w:color="auto" w:fill="FFFFFF"/>
            <w:vAlign w:val="center"/>
            <w:hideMark/>
          </w:tcPr>
          <w:p w14:paraId="41E9B04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66.16</w:t>
            </w:r>
          </w:p>
        </w:tc>
        <w:tc>
          <w:tcPr>
            <w:tcW w:w="0" w:type="auto"/>
            <w:shd w:val="clear" w:color="auto" w:fill="FFFFFF"/>
            <w:vAlign w:val="center"/>
            <w:hideMark/>
          </w:tcPr>
          <w:p w14:paraId="3D1D1F3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76.57</w:t>
            </w:r>
          </w:p>
        </w:tc>
        <w:tc>
          <w:tcPr>
            <w:tcW w:w="0" w:type="auto"/>
            <w:shd w:val="clear" w:color="auto" w:fill="FFFFFF"/>
            <w:vAlign w:val="center"/>
            <w:hideMark/>
          </w:tcPr>
          <w:p w14:paraId="21433F0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65.39</w:t>
            </w:r>
          </w:p>
        </w:tc>
        <w:tc>
          <w:tcPr>
            <w:tcW w:w="0" w:type="auto"/>
            <w:shd w:val="clear" w:color="auto" w:fill="FFFFFF"/>
            <w:vAlign w:val="center"/>
            <w:hideMark/>
          </w:tcPr>
          <w:p w14:paraId="2BD58BF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80.18</w:t>
            </w:r>
          </w:p>
        </w:tc>
      </w:tr>
      <w:tr w:rsidR="00E678E0" w:rsidRPr="00E678E0" w14:paraId="6B1A211A" w14:textId="77777777" w:rsidTr="00E678E0">
        <w:trPr>
          <w:tblCellSpacing w:w="0" w:type="dxa"/>
        </w:trPr>
        <w:tc>
          <w:tcPr>
            <w:tcW w:w="3399" w:type="dxa"/>
            <w:shd w:val="clear" w:color="auto" w:fill="FFFFFF"/>
            <w:noWrap/>
            <w:vAlign w:val="center"/>
            <w:hideMark/>
          </w:tcPr>
          <w:p w14:paraId="06EFD67B"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b/>
                <w:bCs/>
                <w:sz w:val="15"/>
                <w:szCs w:val="15"/>
              </w:rPr>
              <w:t>CONDITION RATIOS (%)</w:t>
            </w:r>
          </w:p>
        </w:tc>
        <w:tc>
          <w:tcPr>
            <w:tcW w:w="0" w:type="auto"/>
            <w:shd w:val="clear" w:color="auto" w:fill="FFFFFF"/>
            <w:vAlign w:val="center"/>
            <w:hideMark/>
          </w:tcPr>
          <w:p w14:paraId="3A03D43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FF24B2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D390D7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0C5D42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0690B8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8EB08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BBEE3B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5531D0F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732B9C5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r>
      <w:tr w:rsidR="00E678E0" w:rsidRPr="00E678E0" w14:paraId="474FE7FC" w14:textId="77777777" w:rsidTr="00E678E0">
        <w:trPr>
          <w:tblCellSpacing w:w="0" w:type="dxa"/>
        </w:trPr>
        <w:tc>
          <w:tcPr>
            <w:tcW w:w="3399" w:type="dxa"/>
            <w:shd w:val="clear" w:color="auto" w:fill="FFFFFF"/>
            <w:noWrap/>
            <w:vAlign w:val="center"/>
            <w:hideMark/>
          </w:tcPr>
          <w:p w14:paraId="6474DEC0"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Net loans and leases to assets</w:t>
            </w:r>
          </w:p>
        </w:tc>
        <w:tc>
          <w:tcPr>
            <w:tcW w:w="0" w:type="auto"/>
            <w:shd w:val="clear" w:color="auto" w:fill="FFFFFF"/>
            <w:vAlign w:val="center"/>
            <w:hideMark/>
          </w:tcPr>
          <w:p w14:paraId="729252C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50.27</w:t>
            </w:r>
          </w:p>
        </w:tc>
        <w:tc>
          <w:tcPr>
            <w:tcW w:w="0" w:type="auto"/>
            <w:shd w:val="clear" w:color="auto" w:fill="FFFFFF"/>
            <w:vAlign w:val="center"/>
            <w:hideMark/>
          </w:tcPr>
          <w:p w14:paraId="727E6CC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55.95</w:t>
            </w:r>
          </w:p>
        </w:tc>
        <w:tc>
          <w:tcPr>
            <w:tcW w:w="0" w:type="auto"/>
            <w:shd w:val="clear" w:color="auto" w:fill="FFFFFF"/>
            <w:vAlign w:val="center"/>
            <w:hideMark/>
          </w:tcPr>
          <w:p w14:paraId="771F785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50.25</w:t>
            </w:r>
          </w:p>
        </w:tc>
        <w:tc>
          <w:tcPr>
            <w:tcW w:w="0" w:type="auto"/>
            <w:shd w:val="clear" w:color="auto" w:fill="FFFFFF"/>
            <w:vAlign w:val="center"/>
            <w:hideMark/>
          </w:tcPr>
          <w:p w14:paraId="0D58730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55.60</w:t>
            </w:r>
          </w:p>
        </w:tc>
        <w:tc>
          <w:tcPr>
            <w:tcW w:w="0" w:type="auto"/>
            <w:shd w:val="clear" w:color="auto" w:fill="FFFFFF"/>
            <w:vAlign w:val="center"/>
            <w:hideMark/>
          </w:tcPr>
          <w:p w14:paraId="1542A4A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59.06</w:t>
            </w:r>
          </w:p>
        </w:tc>
        <w:tc>
          <w:tcPr>
            <w:tcW w:w="0" w:type="auto"/>
            <w:shd w:val="clear" w:color="auto" w:fill="FFFFFF"/>
            <w:vAlign w:val="center"/>
            <w:hideMark/>
          </w:tcPr>
          <w:p w14:paraId="38B32F8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55.58</w:t>
            </w:r>
          </w:p>
        </w:tc>
        <w:tc>
          <w:tcPr>
            <w:tcW w:w="0" w:type="auto"/>
            <w:shd w:val="clear" w:color="auto" w:fill="FFFFFF"/>
            <w:vAlign w:val="center"/>
            <w:hideMark/>
          </w:tcPr>
          <w:p w14:paraId="4D32080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55.54</w:t>
            </w:r>
          </w:p>
        </w:tc>
        <w:tc>
          <w:tcPr>
            <w:tcW w:w="0" w:type="auto"/>
            <w:shd w:val="clear" w:color="auto" w:fill="FFFFFF"/>
            <w:vAlign w:val="center"/>
            <w:hideMark/>
          </w:tcPr>
          <w:p w14:paraId="136A0BA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59.95</w:t>
            </w:r>
          </w:p>
        </w:tc>
        <w:tc>
          <w:tcPr>
            <w:tcW w:w="0" w:type="auto"/>
            <w:shd w:val="clear" w:color="auto" w:fill="FFFFFF"/>
            <w:vAlign w:val="center"/>
            <w:hideMark/>
          </w:tcPr>
          <w:p w14:paraId="664D876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55.52</w:t>
            </w:r>
          </w:p>
        </w:tc>
      </w:tr>
      <w:tr w:rsidR="00E678E0" w:rsidRPr="00E678E0" w14:paraId="740A53A6" w14:textId="77777777" w:rsidTr="00E678E0">
        <w:trPr>
          <w:tblCellSpacing w:w="0" w:type="dxa"/>
        </w:trPr>
        <w:tc>
          <w:tcPr>
            <w:tcW w:w="3399" w:type="dxa"/>
            <w:shd w:val="clear" w:color="auto" w:fill="FFFFFF"/>
            <w:noWrap/>
            <w:vAlign w:val="center"/>
            <w:hideMark/>
          </w:tcPr>
          <w:p w14:paraId="5F839486"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Loss allowance to:</w:t>
            </w:r>
          </w:p>
        </w:tc>
        <w:tc>
          <w:tcPr>
            <w:tcW w:w="0" w:type="auto"/>
            <w:shd w:val="clear" w:color="auto" w:fill="FFFFFF"/>
            <w:vAlign w:val="center"/>
            <w:hideMark/>
          </w:tcPr>
          <w:p w14:paraId="55E5BAA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937BBE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1A2FFE6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E3EC64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094A438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010C62F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533C581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D0B7DE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CEB257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r>
      <w:tr w:rsidR="00E678E0" w:rsidRPr="00E678E0" w14:paraId="1B24E414" w14:textId="77777777" w:rsidTr="00E678E0">
        <w:trPr>
          <w:tblCellSpacing w:w="0" w:type="dxa"/>
        </w:trPr>
        <w:tc>
          <w:tcPr>
            <w:tcW w:w="3399" w:type="dxa"/>
            <w:shd w:val="clear" w:color="auto" w:fill="FFFFFF"/>
            <w:noWrap/>
            <w:vAlign w:val="center"/>
            <w:hideMark/>
          </w:tcPr>
          <w:p w14:paraId="4B37F154"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    Loans and leases</w:t>
            </w:r>
          </w:p>
        </w:tc>
        <w:tc>
          <w:tcPr>
            <w:tcW w:w="0" w:type="auto"/>
            <w:shd w:val="clear" w:color="auto" w:fill="FFFFFF"/>
            <w:vAlign w:val="center"/>
            <w:hideMark/>
          </w:tcPr>
          <w:p w14:paraId="3C31FE4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2.24</w:t>
            </w:r>
          </w:p>
        </w:tc>
        <w:tc>
          <w:tcPr>
            <w:tcW w:w="0" w:type="auto"/>
            <w:shd w:val="clear" w:color="auto" w:fill="FFFFFF"/>
            <w:vAlign w:val="center"/>
            <w:hideMark/>
          </w:tcPr>
          <w:p w14:paraId="64F3DC2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1.38</w:t>
            </w:r>
          </w:p>
        </w:tc>
        <w:tc>
          <w:tcPr>
            <w:tcW w:w="0" w:type="auto"/>
            <w:shd w:val="clear" w:color="auto" w:fill="FFFFFF"/>
            <w:vAlign w:val="center"/>
            <w:hideMark/>
          </w:tcPr>
          <w:p w14:paraId="7A529F0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2.24</w:t>
            </w:r>
          </w:p>
        </w:tc>
        <w:tc>
          <w:tcPr>
            <w:tcW w:w="0" w:type="auto"/>
            <w:shd w:val="clear" w:color="auto" w:fill="FFFFFF"/>
            <w:vAlign w:val="center"/>
            <w:hideMark/>
          </w:tcPr>
          <w:p w14:paraId="4EAB08C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1.20</w:t>
            </w:r>
          </w:p>
        </w:tc>
        <w:tc>
          <w:tcPr>
            <w:tcW w:w="0" w:type="auto"/>
            <w:shd w:val="clear" w:color="auto" w:fill="FFFFFF"/>
            <w:vAlign w:val="center"/>
            <w:hideMark/>
          </w:tcPr>
          <w:p w14:paraId="127DDB6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1.39</w:t>
            </w:r>
          </w:p>
        </w:tc>
        <w:tc>
          <w:tcPr>
            <w:tcW w:w="0" w:type="auto"/>
            <w:shd w:val="clear" w:color="auto" w:fill="FFFFFF"/>
            <w:vAlign w:val="center"/>
            <w:hideMark/>
          </w:tcPr>
          <w:p w14:paraId="0157792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1.20</w:t>
            </w:r>
          </w:p>
        </w:tc>
        <w:tc>
          <w:tcPr>
            <w:tcW w:w="0" w:type="auto"/>
            <w:shd w:val="clear" w:color="auto" w:fill="FFFFFF"/>
            <w:vAlign w:val="center"/>
            <w:hideMark/>
          </w:tcPr>
          <w:p w14:paraId="13CEB7F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1.24</w:t>
            </w:r>
          </w:p>
        </w:tc>
        <w:tc>
          <w:tcPr>
            <w:tcW w:w="0" w:type="auto"/>
            <w:shd w:val="clear" w:color="auto" w:fill="FFFFFF"/>
            <w:vAlign w:val="center"/>
            <w:hideMark/>
          </w:tcPr>
          <w:p w14:paraId="7C7525F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1.39</w:t>
            </w:r>
          </w:p>
        </w:tc>
        <w:tc>
          <w:tcPr>
            <w:tcW w:w="0" w:type="auto"/>
            <w:shd w:val="clear" w:color="auto" w:fill="FFFFFF"/>
            <w:vAlign w:val="center"/>
            <w:hideMark/>
          </w:tcPr>
          <w:p w14:paraId="353DB3B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1.24</w:t>
            </w:r>
          </w:p>
        </w:tc>
      </w:tr>
      <w:tr w:rsidR="00E678E0" w:rsidRPr="00E678E0" w14:paraId="0F157AA4" w14:textId="77777777" w:rsidTr="00E678E0">
        <w:trPr>
          <w:tblCellSpacing w:w="0" w:type="dxa"/>
        </w:trPr>
        <w:tc>
          <w:tcPr>
            <w:tcW w:w="3399" w:type="dxa"/>
            <w:shd w:val="clear" w:color="auto" w:fill="FFFFFF"/>
            <w:noWrap/>
            <w:vAlign w:val="center"/>
            <w:hideMark/>
          </w:tcPr>
          <w:p w14:paraId="714E9041"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    Noncurrent loans a</w:t>
            </w:r>
          </w:p>
        </w:tc>
        <w:tc>
          <w:tcPr>
            <w:tcW w:w="0" w:type="auto"/>
            <w:shd w:val="clear" w:color="auto" w:fill="FFFFFF"/>
            <w:vAlign w:val="center"/>
            <w:hideMark/>
          </w:tcPr>
          <w:p w14:paraId="6E01084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191.51</w:t>
            </w:r>
          </w:p>
        </w:tc>
        <w:tc>
          <w:tcPr>
            <w:tcW w:w="0" w:type="auto"/>
            <w:shd w:val="clear" w:color="auto" w:fill="FFFFFF"/>
            <w:vAlign w:val="center"/>
            <w:hideMark/>
          </w:tcPr>
          <w:p w14:paraId="38A7263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111.54</w:t>
            </w:r>
          </w:p>
        </w:tc>
        <w:tc>
          <w:tcPr>
            <w:tcW w:w="0" w:type="auto"/>
            <w:shd w:val="clear" w:color="auto" w:fill="FFFFFF"/>
            <w:vAlign w:val="center"/>
            <w:hideMark/>
          </w:tcPr>
          <w:p w14:paraId="7F72F70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191.77</w:t>
            </w:r>
          </w:p>
        </w:tc>
        <w:tc>
          <w:tcPr>
            <w:tcW w:w="0" w:type="auto"/>
            <w:shd w:val="clear" w:color="auto" w:fill="FFFFFF"/>
            <w:vAlign w:val="center"/>
            <w:hideMark/>
          </w:tcPr>
          <w:p w14:paraId="787AE37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131.01</w:t>
            </w:r>
          </w:p>
        </w:tc>
        <w:tc>
          <w:tcPr>
            <w:tcW w:w="0" w:type="auto"/>
            <w:shd w:val="clear" w:color="auto" w:fill="FFFFFF"/>
            <w:vAlign w:val="center"/>
            <w:hideMark/>
          </w:tcPr>
          <w:p w14:paraId="1D74261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106.69</w:t>
            </w:r>
          </w:p>
        </w:tc>
        <w:tc>
          <w:tcPr>
            <w:tcW w:w="0" w:type="auto"/>
            <w:shd w:val="clear" w:color="auto" w:fill="FFFFFF"/>
            <w:vAlign w:val="center"/>
            <w:hideMark/>
          </w:tcPr>
          <w:p w14:paraId="0BE70C1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131.15</w:t>
            </w:r>
          </w:p>
        </w:tc>
        <w:tc>
          <w:tcPr>
            <w:tcW w:w="0" w:type="auto"/>
            <w:shd w:val="clear" w:color="auto" w:fill="FFFFFF"/>
            <w:vAlign w:val="center"/>
            <w:hideMark/>
          </w:tcPr>
          <w:p w14:paraId="39C6A05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122.19</w:t>
            </w:r>
          </w:p>
        </w:tc>
        <w:tc>
          <w:tcPr>
            <w:tcW w:w="0" w:type="auto"/>
            <w:shd w:val="clear" w:color="auto" w:fill="FFFFFF"/>
            <w:vAlign w:val="center"/>
            <w:hideMark/>
          </w:tcPr>
          <w:p w14:paraId="14033F3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111.12</w:t>
            </w:r>
          </w:p>
        </w:tc>
        <w:tc>
          <w:tcPr>
            <w:tcW w:w="0" w:type="auto"/>
            <w:shd w:val="clear" w:color="auto" w:fill="FFFFFF"/>
            <w:vAlign w:val="center"/>
            <w:hideMark/>
          </w:tcPr>
          <w:p w14:paraId="5B9C1D1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122.26</w:t>
            </w:r>
          </w:p>
        </w:tc>
      </w:tr>
      <w:tr w:rsidR="00E678E0" w:rsidRPr="00E678E0" w14:paraId="1C931BEC" w14:textId="77777777" w:rsidTr="00E678E0">
        <w:trPr>
          <w:tblCellSpacing w:w="0" w:type="dxa"/>
        </w:trPr>
        <w:tc>
          <w:tcPr>
            <w:tcW w:w="3399" w:type="dxa"/>
            <w:shd w:val="clear" w:color="auto" w:fill="FFFFFF"/>
            <w:noWrap/>
            <w:vAlign w:val="center"/>
            <w:hideMark/>
          </w:tcPr>
          <w:p w14:paraId="460E9349"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Noncurrent loans &amp; leases to</w:t>
            </w:r>
          </w:p>
        </w:tc>
        <w:tc>
          <w:tcPr>
            <w:tcW w:w="0" w:type="auto"/>
            <w:shd w:val="clear" w:color="auto" w:fill="FFFFFF"/>
            <w:vAlign w:val="center"/>
            <w:hideMark/>
          </w:tcPr>
          <w:p w14:paraId="383529B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A8E354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C9F094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C331DB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007CF5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06A94E7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2833DE4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68E2583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4E5E8EA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r>
      <w:tr w:rsidR="00E678E0" w:rsidRPr="00E678E0" w14:paraId="7B2F318F" w14:textId="77777777" w:rsidTr="00E678E0">
        <w:trPr>
          <w:tblCellSpacing w:w="0" w:type="dxa"/>
        </w:trPr>
        <w:tc>
          <w:tcPr>
            <w:tcW w:w="3399" w:type="dxa"/>
            <w:shd w:val="clear" w:color="auto" w:fill="FFFFFF"/>
            <w:noWrap/>
            <w:vAlign w:val="center"/>
            <w:hideMark/>
          </w:tcPr>
          <w:p w14:paraId="52A2E741"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    total loans &amp; leas</w:t>
            </w:r>
          </w:p>
        </w:tc>
        <w:tc>
          <w:tcPr>
            <w:tcW w:w="0" w:type="auto"/>
            <w:shd w:val="clear" w:color="auto" w:fill="FFFFFF"/>
            <w:vAlign w:val="center"/>
            <w:hideMark/>
          </w:tcPr>
          <w:p w14:paraId="4E8E7D2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1.17</w:t>
            </w:r>
          </w:p>
        </w:tc>
        <w:tc>
          <w:tcPr>
            <w:tcW w:w="0" w:type="auto"/>
            <w:shd w:val="clear" w:color="auto" w:fill="FFFFFF"/>
            <w:vAlign w:val="center"/>
            <w:hideMark/>
          </w:tcPr>
          <w:p w14:paraId="4B6356F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1.24</w:t>
            </w:r>
          </w:p>
        </w:tc>
        <w:tc>
          <w:tcPr>
            <w:tcW w:w="0" w:type="auto"/>
            <w:shd w:val="clear" w:color="auto" w:fill="FFFFFF"/>
            <w:vAlign w:val="center"/>
            <w:hideMark/>
          </w:tcPr>
          <w:p w14:paraId="3D0D3FB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1.17</w:t>
            </w:r>
          </w:p>
        </w:tc>
        <w:tc>
          <w:tcPr>
            <w:tcW w:w="0" w:type="auto"/>
            <w:shd w:val="clear" w:color="auto" w:fill="FFFFFF"/>
            <w:vAlign w:val="center"/>
            <w:hideMark/>
          </w:tcPr>
          <w:p w14:paraId="4052297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0.92</w:t>
            </w:r>
          </w:p>
        </w:tc>
        <w:tc>
          <w:tcPr>
            <w:tcW w:w="0" w:type="auto"/>
            <w:shd w:val="clear" w:color="auto" w:fill="FFFFFF"/>
            <w:vAlign w:val="center"/>
            <w:hideMark/>
          </w:tcPr>
          <w:p w14:paraId="2B0DC03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1.30</w:t>
            </w:r>
          </w:p>
        </w:tc>
        <w:tc>
          <w:tcPr>
            <w:tcW w:w="0" w:type="auto"/>
            <w:shd w:val="clear" w:color="auto" w:fill="FFFFFF"/>
            <w:vAlign w:val="center"/>
            <w:hideMark/>
          </w:tcPr>
          <w:p w14:paraId="49935C0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0.92</w:t>
            </w:r>
          </w:p>
        </w:tc>
        <w:tc>
          <w:tcPr>
            <w:tcW w:w="0" w:type="auto"/>
            <w:shd w:val="clear" w:color="auto" w:fill="FFFFFF"/>
            <w:vAlign w:val="center"/>
            <w:hideMark/>
          </w:tcPr>
          <w:p w14:paraId="353EBA9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1.02</w:t>
            </w:r>
          </w:p>
        </w:tc>
        <w:tc>
          <w:tcPr>
            <w:tcW w:w="0" w:type="auto"/>
            <w:shd w:val="clear" w:color="auto" w:fill="FFFFFF"/>
            <w:vAlign w:val="center"/>
            <w:hideMark/>
          </w:tcPr>
          <w:p w14:paraId="4289B76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1.25</w:t>
            </w:r>
          </w:p>
        </w:tc>
        <w:tc>
          <w:tcPr>
            <w:tcW w:w="0" w:type="auto"/>
            <w:shd w:val="clear" w:color="auto" w:fill="FFFFFF"/>
            <w:vAlign w:val="center"/>
            <w:hideMark/>
          </w:tcPr>
          <w:p w14:paraId="384CF3B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1.02</w:t>
            </w:r>
          </w:p>
        </w:tc>
      </w:tr>
      <w:tr w:rsidR="00E678E0" w:rsidRPr="00E678E0" w14:paraId="38C5169B" w14:textId="77777777" w:rsidTr="00E678E0">
        <w:trPr>
          <w:tblCellSpacing w:w="0" w:type="dxa"/>
        </w:trPr>
        <w:tc>
          <w:tcPr>
            <w:tcW w:w="3399" w:type="dxa"/>
            <w:shd w:val="clear" w:color="auto" w:fill="FFFFFF"/>
            <w:noWrap/>
            <w:vAlign w:val="center"/>
            <w:hideMark/>
          </w:tcPr>
          <w:p w14:paraId="5C8D38FA"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Nonperforming assets to assets</w:t>
            </w:r>
          </w:p>
        </w:tc>
        <w:tc>
          <w:tcPr>
            <w:tcW w:w="0" w:type="auto"/>
            <w:shd w:val="clear" w:color="auto" w:fill="FFFFFF"/>
            <w:vAlign w:val="center"/>
            <w:hideMark/>
          </w:tcPr>
          <w:p w14:paraId="30CFBCB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0.63</w:t>
            </w:r>
          </w:p>
        </w:tc>
        <w:tc>
          <w:tcPr>
            <w:tcW w:w="0" w:type="auto"/>
            <w:shd w:val="clear" w:color="auto" w:fill="FFFFFF"/>
            <w:vAlign w:val="center"/>
            <w:hideMark/>
          </w:tcPr>
          <w:p w14:paraId="2C888A6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0.85</w:t>
            </w:r>
          </w:p>
        </w:tc>
        <w:tc>
          <w:tcPr>
            <w:tcW w:w="0" w:type="auto"/>
            <w:shd w:val="clear" w:color="auto" w:fill="FFFFFF"/>
            <w:vAlign w:val="center"/>
            <w:hideMark/>
          </w:tcPr>
          <w:p w14:paraId="0D32994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0.63</w:t>
            </w:r>
          </w:p>
        </w:tc>
        <w:tc>
          <w:tcPr>
            <w:tcW w:w="0" w:type="auto"/>
            <w:shd w:val="clear" w:color="auto" w:fill="FFFFFF"/>
            <w:vAlign w:val="center"/>
            <w:hideMark/>
          </w:tcPr>
          <w:p w14:paraId="692E853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0.56</w:t>
            </w:r>
          </w:p>
        </w:tc>
        <w:tc>
          <w:tcPr>
            <w:tcW w:w="0" w:type="auto"/>
            <w:shd w:val="clear" w:color="auto" w:fill="FFFFFF"/>
            <w:vAlign w:val="center"/>
            <w:hideMark/>
          </w:tcPr>
          <w:p w14:paraId="38BA769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0.98</w:t>
            </w:r>
          </w:p>
        </w:tc>
        <w:tc>
          <w:tcPr>
            <w:tcW w:w="0" w:type="auto"/>
            <w:shd w:val="clear" w:color="auto" w:fill="FFFFFF"/>
            <w:vAlign w:val="center"/>
            <w:hideMark/>
          </w:tcPr>
          <w:p w14:paraId="6463406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0.56</w:t>
            </w:r>
          </w:p>
        </w:tc>
        <w:tc>
          <w:tcPr>
            <w:tcW w:w="0" w:type="auto"/>
            <w:shd w:val="clear" w:color="auto" w:fill="FFFFFF"/>
            <w:vAlign w:val="center"/>
            <w:hideMark/>
          </w:tcPr>
          <w:p w14:paraId="4EA9FA2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0.62</w:t>
            </w:r>
          </w:p>
        </w:tc>
        <w:tc>
          <w:tcPr>
            <w:tcW w:w="0" w:type="auto"/>
            <w:shd w:val="clear" w:color="auto" w:fill="FFFFFF"/>
            <w:vAlign w:val="center"/>
            <w:hideMark/>
          </w:tcPr>
          <w:p w14:paraId="69EE31A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1.01</w:t>
            </w:r>
          </w:p>
        </w:tc>
        <w:tc>
          <w:tcPr>
            <w:tcW w:w="0" w:type="auto"/>
            <w:shd w:val="clear" w:color="auto" w:fill="FFFFFF"/>
            <w:vAlign w:val="center"/>
            <w:hideMark/>
          </w:tcPr>
          <w:p w14:paraId="71F4008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0.62</w:t>
            </w:r>
          </w:p>
        </w:tc>
      </w:tr>
      <w:tr w:rsidR="00E678E0" w:rsidRPr="00E678E0" w14:paraId="6EAE5A1F" w14:textId="77777777" w:rsidTr="00E678E0">
        <w:trPr>
          <w:tblCellSpacing w:w="0" w:type="dxa"/>
        </w:trPr>
        <w:tc>
          <w:tcPr>
            <w:tcW w:w="3399" w:type="dxa"/>
            <w:shd w:val="clear" w:color="auto" w:fill="FFFFFF"/>
            <w:noWrap/>
            <w:vAlign w:val="center"/>
            <w:hideMark/>
          </w:tcPr>
          <w:p w14:paraId="7C0110F2"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Core deposits to total liabilities</w:t>
            </w:r>
          </w:p>
        </w:tc>
        <w:tc>
          <w:tcPr>
            <w:tcW w:w="0" w:type="auto"/>
            <w:shd w:val="clear" w:color="auto" w:fill="FFFFFF"/>
            <w:vAlign w:val="center"/>
            <w:hideMark/>
          </w:tcPr>
          <w:p w14:paraId="4FF40F8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77.50</w:t>
            </w:r>
          </w:p>
        </w:tc>
        <w:tc>
          <w:tcPr>
            <w:tcW w:w="0" w:type="auto"/>
            <w:shd w:val="clear" w:color="auto" w:fill="FFFFFF"/>
            <w:vAlign w:val="center"/>
            <w:hideMark/>
          </w:tcPr>
          <w:p w14:paraId="61053C9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78.96</w:t>
            </w:r>
          </w:p>
        </w:tc>
        <w:tc>
          <w:tcPr>
            <w:tcW w:w="0" w:type="auto"/>
            <w:shd w:val="clear" w:color="auto" w:fill="FFFFFF"/>
            <w:vAlign w:val="center"/>
            <w:hideMark/>
          </w:tcPr>
          <w:p w14:paraId="20F302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77.49</w:t>
            </w:r>
          </w:p>
        </w:tc>
        <w:tc>
          <w:tcPr>
            <w:tcW w:w="0" w:type="auto"/>
            <w:shd w:val="clear" w:color="auto" w:fill="FFFFFF"/>
            <w:vAlign w:val="center"/>
            <w:hideMark/>
          </w:tcPr>
          <w:p w14:paraId="25C0C79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72.02</w:t>
            </w:r>
          </w:p>
        </w:tc>
        <w:tc>
          <w:tcPr>
            <w:tcW w:w="0" w:type="auto"/>
            <w:shd w:val="clear" w:color="auto" w:fill="FFFFFF"/>
            <w:vAlign w:val="center"/>
            <w:hideMark/>
          </w:tcPr>
          <w:p w14:paraId="6FB61C1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78.12</w:t>
            </w:r>
          </w:p>
        </w:tc>
        <w:tc>
          <w:tcPr>
            <w:tcW w:w="0" w:type="auto"/>
            <w:shd w:val="clear" w:color="auto" w:fill="FFFFFF"/>
            <w:vAlign w:val="center"/>
            <w:hideMark/>
          </w:tcPr>
          <w:p w14:paraId="38605A3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71.99</w:t>
            </w:r>
          </w:p>
        </w:tc>
        <w:tc>
          <w:tcPr>
            <w:tcW w:w="0" w:type="auto"/>
            <w:shd w:val="clear" w:color="auto" w:fill="FFFFFF"/>
            <w:vAlign w:val="center"/>
            <w:hideMark/>
          </w:tcPr>
          <w:p w14:paraId="63721BA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71.76</w:t>
            </w:r>
          </w:p>
        </w:tc>
        <w:tc>
          <w:tcPr>
            <w:tcW w:w="0" w:type="auto"/>
            <w:shd w:val="clear" w:color="auto" w:fill="FFFFFF"/>
            <w:vAlign w:val="center"/>
            <w:hideMark/>
          </w:tcPr>
          <w:p w14:paraId="2B9B41B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78.57</w:t>
            </w:r>
          </w:p>
        </w:tc>
        <w:tc>
          <w:tcPr>
            <w:tcW w:w="0" w:type="auto"/>
            <w:shd w:val="clear" w:color="auto" w:fill="FFFFFF"/>
            <w:vAlign w:val="center"/>
            <w:hideMark/>
          </w:tcPr>
          <w:p w14:paraId="7E35BD5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71.73</w:t>
            </w:r>
          </w:p>
        </w:tc>
      </w:tr>
      <w:tr w:rsidR="00E678E0" w:rsidRPr="00E678E0" w14:paraId="76A4A073" w14:textId="77777777" w:rsidTr="00E678E0">
        <w:trPr>
          <w:tblCellSpacing w:w="0" w:type="dxa"/>
        </w:trPr>
        <w:tc>
          <w:tcPr>
            <w:tcW w:w="3399" w:type="dxa"/>
            <w:shd w:val="clear" w:color="auto" w:fill="FFFFFF"/>
            <w:noWrap/>
            <w:vAlign w:val="center"/>
            <w:hideMark/>
          </w:tcPr>
          <w:p w14:paraId="31C44016"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Equity capital to total assets</w:t>
            </w:r>
          </w:p>
        </w:tc>
        <w:tc>
          <w:tcPr>
            <w:tcW w:w="0" w:type="auto"/>
            <w:shd w:val="clear" w:color="auto" w:fill="FFFFFF"/>
            <w:vAlign w:val="center"/>
            <w:hideMark/>
          </w:tcPr>
          <w:p w14:paraId="50DB6A5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10.29</w:t>
            </w:r>
          </w:p>
        </w:tc>
        <w:tc>
          <w:tcPr>
            <w:tcW w:w="0" w:type="auto"/>
            <w:shd w:val="clear" w:color="auto" w:fill="FFFFFF"/>
            <w:vAlign w:val="center"/>
            <w:hideMark/>
          </w:tcPr>
          <w:p w14:paraId="0C8AE64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13.59</w:t>
            </w:r>
          </w:p>
        </w:tc>
        <w:tc>
          <w:tcPr>
            <w:tcW w:w="0" w:type="auto"/>
            <w:shd w:val="clear" w:color="auto" w:fill="FFFFFF"/>
            <w:vAlign w:val="center"/>
            <w:hideMark/>
          </w:tcPr>
          <w:p w14:paraId="47B1938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10.28</w:t>
            </w:r>
          </w:p>
        </w:tc>
        <w:tc>
          <w:tcPr>
            <w:tcW w:w="0" w:type="auto"/>
            <w:shd w:val="clear" w:color="auto" w:fill="FFFFFF"/>
            <w:vAlign w:val="center"/>
            <w:hideMark/>
          </w:tcPr>
          <w:p w14:paraId="02766CE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11.35</w:t>
            </w:r>
          </w:p>
        </w:tc>
        <w:tc>
          <w:tcPr>
            <w:tcW w:w="0" w:type="auto"/>
            <w:shd w:val="clear" w:color="auto" w:fill="FFFFFF"/>
            <w:vAlign w:val="center"/>
            <w:hideMark/>
          </w:tcPr>
          <w:p w14:paraId="143D9EB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14.46</w:t>
            </w:r>
          </w:p>
        </w:tc>
        <w:tc>
          <w:tcPr>
            <w:tcW w:w="0" w:type="auto"/>
            <w:shd w:val="clear" w:color="auto" w:fill="FFFFFF"/>
            <w:vAlign w:val="center"/>
            <w:hideMark/>
          </w:tcPr>
          <w:p w14:paraId="1AFF559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11.34</w:t>
            </w:r>
          </w:p>
        </w:tc>
        <w:tc>
          <w:tcPr>
            <w:tcW w:w="0" w:type="auto"/>
            <w:shd w:val="clear" w:color="auto" w:fill="FFFFFF"/>
            <w:vAlign w:val="center"/>
            <w:hideMark/>
          </w:tcPr>
          <w:p w14:paraId="50832A51"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11.28</w:t>
            </w:r>
          </w:p>
        </w:tc>
        <w:tc>
          <w:tcPr>
            <w:tcW w:w="0" w:type="auto"/>
            <w:shd w:val="clear" w:color="auto" w:fill="FFFFFF"/>
            <w:vAlign w:val="center"/>
            <w:hideMark/>
          </w:tcPr>
          <w:p w14:paraId="52FB429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13.48</w:t>
            </w:r>
          </w:p>
        </w:tc>
        <w:tc>
          <w:tcPr>
            <w:tcW w:w="0" w:type="auto"/>
            <w:shd w:val="clear" w:color="auto" w:fill="FFFFFF"/>
            <w:vAlign w:val="center"/>
            <w:hideMark/>
          </w:tcPr>
          <w:p w14:paraId="0C355FB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11.27</w:t>
            </w:r>
          </w:p>
        </w:tc>
      </w:tr>
      <w:tr w:rsidR="00E678E0" w:rsidRPr="00E678E0" w14:paraId="00B5DF44" w14:textId="77777777" w:rsidTr="00E678E0">
        <w:trPr>
          <w:tblCellSpacing w:w="0" w:type="dxa"/>
        </w:trPr>
        <w:tc>
          <w:tcPr>
            <w:tcW w:w="3399" w:type="dxa"/>
            <w:shd w:val="clear" w:color="auto" w:fill="FFFFFF"/>
            <w:noWrap/>
            <w:vAlign w:val="center"/>
            <w:hideMark/>
          </w:tcPr>
          <w:p w14:paraId="24AC60DA"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Leverage (Core capital) ratio</w:t>
            </w:r>
          </w:p>
        </w:tc>
        <w:tc>
          <w:tcPr>
            <w:tcW w:w="0" w:type="auto"/>
            <w:shd w:val="clear" w:color="auto" w:fill="FFFFFF"/>
            <w:vAlign w:val="center"/>
            <w:hideMark/>
          </w:tcPr>
          <w:p w14:paraId="040C5574"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8.80</w:t>
            </w:r>
          </w:p>
        </w:tc>
        <w:tc>
          <w:tcPr>
            <w:tcW w:w="0" w:type="auto"/>
            <w:shd w:val="clear" w:color="auto" w:fill="FFFFFF"/>
            <w:vAlign w:val="center"/>
            <w:hideMark/>
          </w:tcPr>
          <w:p w14:paraId="6836F6D7"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13.16</w:t>
            </w:r>
          </w:p>
        </w:tc>
        <w:tc>
          <w:tcPr>
            <w:tcW w:w="0" w:type="auto"/>
            <w:shd w:val="clear" w:color="auto" w:fill="FFFFFF"/>
            <w:vAlign w:val="center"/>
            <w:hideMark/>
          </w:tcPr>
          <w:p w14:paraId="1FA87CA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8.79</w:t>
            </w:r>
          </w:p>
        </w:tc>
        <w:tc>
          <w:tcPr>
            <w:tcW w:w="0" w:type="auto"/>
            <w:shd w:val="clear" w:color="auto" w:fill="FFFFFF"/>
            <w:vAlign w:val="center"/>
            <w:hideMark/>
          </w:tcPr>
          <w:p w14:paraId="1DC4129A"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9.68</w:t>
            </w:r>
          </w:p>
        </w:tc>
        <w:tc>
          <w:tcPr>
            <w:tcW w:w="0" w:type="auto"/>
            <w:shd w:val="clear" w:color="auto" w:fill="FFFFFF"/>
            <w:vAlign w:val="center"/>
            <w:hideMark/>
          </w:tcPr>
          <w:p w14:paraId="060A6D4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14.12</w:t>
            </w:r>
          </w:p>
        </w:tc>
        <w:tc>
          <w:tcPr>
            <w:tcW w:w="0" w:type="auto"/>
            <w:shd w:val="clear" w:color="auto" w:fill="FFFFFF"/>
            <w:vAlign w:val="center"/>
            <w:hideMark/>
          </w:tcPr>
          <w:p w14:paraId="590FBDC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9.66</w:t>
            </w:r>
          </w:p>
        </w:tc>
        <w:tc>
          <w:tcPr>
            <w:tcW w:w="0" w:type="auto"/>
            <w:shd w:val="clear" w:color="auto" w:fill="FFFFFF"/>
            <w:vAlign w:val="center"/>
            <w:hideMark/>
          </w:tcPr>
          <w:p w14:paraId="4BF115FF"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9.77</w:t>
            </w:r>
          </w:p>
        </w:tc>
        <w:tc>
          <w:tcPr>
            <w:tcW w:w="0" w:type="auto"/>
            <w:shd w:val="clear" w:color="auto" w:fill="FFFFFF"/>
            <w:vAlign w:val="center"/>
            <w:hideMark/>
          </w:tcPr>
          <w:p w14:paraId="7AE5BE2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13.63</w:t>
            </w:r>
          </w:p>
        </w:tc>
        <w:tc>
          <w:tcPr>
            <w:tcW w:w="0" w:type="auto"/>
            <w:shd w:val="clear" w:color="auto" w:fill="FFFFFF"/>
            <w:vAlign w:val="center"/>
            <w:hideMark/>
          </w:tcPr>
          <w:p w14:paraId="5ABC312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9.75</w:t>
            </w:r>
          </w:p>
        </w:tc>
      </w:tr>
      <w:tr w:rsidR="00E678E0" w:rsidRPr="00E678E0" w14:paraId="75E59992" w14:textId="77777777" w:rsidTr="00E678E0">
        <w:trPr>
          <w:tblCellSpacing w:w="0" w:type="dxa"/>
        </w:trPr>
        <w:tc>
          <w:tcPr>
            <w:tcW w:w="3399" w:type="dxa"/>
            <w:shd w:val="clear" w:color="auto" w:fill="FFFFFF"/>
            <w:noWrap/>
            <w:vAlign w:val="center"/>
            <w:hideMark/>
          </w:tcPr>
          <w:p w14:paraId="5C42D51F"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Total capital\risk-weighted assets-NA 2020</w:t>
            </w:r>
          </w:p>
        </w:tc>
        <w:tc>
          <w:tcPr>
            <w:tcW w:w="0" w:type="auto"/>
            <w:shd w:val="clear" w:color="auto" w:fill="FFFFFF"/>
            <w:vAlign w:val="center"/>
            <w:hideMark/>
          </w:tcPr>
          <w:p w14:paraId="0AF6E08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3C1161C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01E1FAD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 </w:t>
            </w:r>
          </w:p>
        </w:tc>
        <w:tc>
          <w:tcPr>
            <w:tcW w:w="0" w:type="auto"/>
            <w:shd w:val="clear" w:color="auto" w:fill="FFFFFF"/>
            <w:vAlign w:val="center"/>
            <w:hideMark/>
          </w:tcPr>
          <w:p w14:paraId="5561169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14.67</w:t>
            </w:r>
          </w:p>
        </w:tc>
        <w:tc>
          <w:tcPr>
            <w:tcW w:w="0" w:type="auto"/>
            <w:shd w:val="clear" w:color="auto" w:fill="FFFFFF"/>
            <w:vAlign w:val="center"/>
            <w:hideMark/>
          </w:tcPr>
          <w:p w14:paraId="08ACB52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23.70</w:t>
            </w:r>
          </w:p>
        </w:tc>
        <w:tc>
          <w:tcPr>
            <w:tcW w:w="0" w:type="auto"/>
            <w:shd w:val="clear" w:color="auto" w:fill="FFFFFF"/>
            <w:vAlign w:val="center"/>
            <w:hideMark/>
          </w:tcPr>
          <w:p w14:paraId="64AEE4F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14.64</w:t>
            </w:r>
          </w:p>
        </w:tc>
        <w:tc>
          <w:tcPr>
            <w:tcW w:w="0" w:type="auto"/>
            <w:shd w:val="clear" w:color="auto" w:fill="FFFFFF"/>
            <w:vAlign w:val="center"/>
            <w:hideMark/>
          </w:tcPr>
          <w:p w14:paraId="249300B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14.62</w:t>
            </w:r>
          </w:p>
        </w:tc>
        <w:tc>
          <w:tcPr>
            <w:tcW w:w="0" w:type="auto"/>
            <w:shd w:val="clear" w:color="auto" w:fill="FFFFFF"/>
            <w:vAlign w:val="center"/>
            <w:hideMark/>
          </w:tcPr>
          <w:p w14:paraId="368E772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22.57</w:t>
            </w:r>
          </w:p>
        </w:tc>
        <w:tc>
          <w:tcPr>
            <w:tcW w:w="0" w:type="auto"/>
            <w:shd w:val="clear" w:color="auto" w:fill="FFFFFF"/>
            <w:vAlign w:val="center"/>
            <w:hideMark/>
          </w:tcPr>
          <w:p w14:paraId="127D8F0D"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14.58</w:t>
            </w:r>
          </w:p>
        </w:tc>
      </w:tr>
      <w:tr w:rsidR="00E678E0" w:rsidRPr="00E678E0" w14:paraId="061B33CA" w14:textId="77777777" w:rsidTr="00E678E0">
        <w:trPr>
          <w:tblCellSpacing w:w="0" w:type="dxa"/>
        </w:trPr>
        <w:tc>
          <w:tcPr>
            <w:tcW w:w="3399" w:type="dxa"/>
            <w:shd w:val="clear" w:color="auto" w:fill="FFFFFF"/>
            <w:noWrap/>
            <w:vAlign w:val="center"/>
            <w:hideMark/>
          </w:tcPr>
          <w:p w14:paraId="04416A8E"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Gross 1-4 family mortgages to gross assets</w:t>
            </w:r>
          </w:p>
        </w:tc>
        <w:tc>
          <w:tcPr>
            <w:tcW w:w="0" w:type="auto"/>
            <w:shd w:val="clear" w:color="auto" w:fill="FFFFFF"/>
            <w:vAlign w:val="center"/>
            <w:hideMark/>
          </w:tcPr>
          <w:p w14:paraId="5CA18E7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11.89</w:t>
            </w:r>
          </w:p>
        </w:tc>
        <w:tc>
          <w:tcPr>
            <w:tcW w:w="0" w:type="auto"/>
            <w:shd w:val="clear" w:color="auto" w:fill="FFFFFF"/>
            <w:vAlign w:val="center"/>
            <w:hideMark/>
          </w:tcPr>
          <w:p w14:paraId="3CE2827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18.45</w:t>
            </w:r>
          </w:p>
        </w:tc>
        <w:tc>
          <w:tcPr>
            <w:tcW w:w="0" w:type="auto"/>
            <w:shd w:val="clear" w:color="auto" w:fill="FFFFFF"/>
            <w:vAlign w:val="center"/>
            <w:hideMark/>
          </w:tcPr>
          <w:p w14:paraId="58B48512"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11.88</w:t>
            </w:r>
          </w:p>
        </w:tc>
        <w:tc>
          <w:tcPr>
            <w:tcW w:w="0" w:type="auto"/>
            <w:shd w:val="clear" w:color="auto" w:fill="FFFFFF"/>
            <w:vAlign w:val="center"/>
            <w:hideMark/>
          </w:tcPr>
          <w:p w14:paraId="2061DBF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13.61</w:t>
            </w:r>
          </w:p>
        </w:tc>
        <w:tc>
          <w:tcPr>
            <w:tcW w:w="0" w:type="auto"/>
            <w:shd w:val="clear" w:color="auto" w:fill="FFFFFF"/>
            <w:vAlign w:val="center"/>
            <w:hideMark/>
          </w:tcPr>
          <w:p w14:paraId="6540065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19.75</w:t>
            </w:r>
          </w:p>
        </w:tc>
        <w:tc>
          <w:tcPr>
            <w:tcW w:w="0" w:type="auto"/>
            <w:shd w:val="clear" w:color="auto" w:fill="FFFFFF"/>
            <w:vAlign w:val="center"/>
            <w:hideMark/>
          </w:tcPr>
          <w:p w14:paraId="64411F1C"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13.58</w:t>
            </w:r>
          </w:p>
        </w:tc>
        <w:tc>
          <w:tcPr>
            <w:tcW w:w="0" w:type="auto"/>
            <w:shd w:val="clear" w:color="auto" w:fill="FFFFFF"/>
            <w:vAlign w:val="center"/>
            <w:hideMark/>
          </w:tcPr>
          <w:p w14:paraId="315362A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14.01</w:t>
            </w:r>
          </w:p>
        </w:tc>
        <w:tc>
          <w:tcPr>
            <w:tcW w:w="0" w:type="auto"/>
            <w:shd w:val="clear" w:color="auto" w:fill="FFFFFF"/>
            <w:vAlign w:val="center"/>
            <w:hideMark/>
          </w:tcPr>
          <w:p w14:paraId="66FC15E0"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19.60</w:t>
            </w:r>
          </w:p>
        </w:tc>
        <w:tc>
          <w:tcPr>
            <w:tcW w:w="0" w:type="auto"/>
            <w:shd w:val="clear" w:color="auto" w:fill="FFFFFF"/>
            <w:vAlign w:val="center"/>
            <w:hideMark/>
          </w:tcPr>
          <w:p w14:paraId="6FE02C9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13.99</w:t>
            </w:r>
          </w:p>
        </w:tc>
      </w:tr>
      <w:tr w:rsidR="00E678E0" w:rsidRPr="00E678E0" w14:paraId="4D841DAD" w14:textId="77777777" w:rsidTr="00E678E0">
        <w:trPr>
          <w:tblCellSpacing w:w="0" w:type="dxa"/>
        </w:trPr>
        <w:tc>
          <w:tcPr>
            <w:tcW w:w="3399" w:type="dxa"/>
            <w:shd w:val="clear" w:color="auto" w:fill="FFFFFF"/>
            <w:noWrap/>
            <w:vAlign w:val="center"/>
            <w:hideMark/>
          </w:tcPr>
          <w:p w14:paraId="5C9E6FF9" w14:textId="77777777" w:rsidR="00E678E0" w:rsidRPr="00E678E0" w:rsidRDefault="00E678E0" w:rsidP="00E678E0">
            <w:pPr>
              <w:spacing w:after="0" w:line="240" w:lineRule="auto"/>
              <w:rPr>
                <w:rFonts w:ascii="Arial" w:eastAsia="Times New Roman" w:hAnsi="Arial" w:cs="Arial"/>
                <w:sz w:val="20"/>
                <w:szCs w:val="20"/>
              </w:rPr>
            </w:pPr>
            <w:r w:rsidRPr="00E678E0">
              <w:rPr>
                <w:rFonts w:ascii="Arial" w:eastAsia="Times New Roman" w:hAnsi="Arial" w:cs="Arial"/>
                <w:sz w:val="15"/>
                <w:szCs w:val="15"/>
              </w:rPr>
              <w:t>Gross real estate assets to gross assets</w:t>
            </w:r>
          </w:p>
        </w:tc>
        <w:tc>
          <w:tcPr>
            <w:tcW w:w="0" w:type="auto"/>
            <w:shd w:val="clear" w:color="auto" w:fill="FFFFFF"/>
            <w:vAlign w:val="center"/>
            <w:hideMark/>
          </w:tcPr>
          <w:p w14:paraId="453A8803"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37.02</w:t>
            </w:r>
          </w:p>
        </w:tc>
        <w:tc>
          <w:tcPr>
            <w:tcW w:w="0" w:type="auto"/>
            <w:shd w:val="clear" w:color="auto" w:fill="FFFFFF"/>
            <w:vAlign w:val="center"/>
            <w:hideMark/>
          </w:tcPr>
          <w:p w14:paraId="7180ABC9"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43.06</w:t>
            </w:r>
          </w:p>
        </w:tc>
        <w:tc>
          <w:tcPr>
            <w:tcW w:w="0" w:type="auto"/>
            <w:shd w:val="clear" w:color="auto" w:fill="FFFFFF"/>
            <w:vAlign w:val="center"/>
            <w:hideMark/>
          </w:tcPr>
          <w:p w14:paraId="704B2FE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37.01</w:t>
            </w:r>
          </w:p>
        </w:tc>
        <w:tc>
          <w:tcPr>
            <w:tcW w:w="0" w:type="auto"/>
            <w:shd w:val="clear" w:color="auto" w:fill="FFFFFF"/>
            <w:vAlign w:val="center"/>
            <w:hideMark/>
          </w:tcPr>
          <w:p w14:paraId="0F79DB1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39.65</w:t>
            </w:r>
          </w:p>
        </w:tc>
        <w:tc>
          <w:tcPr>
            <w:tcW w:w="0" w:type="auto"/>
            <w:shd w:val="clear" w:color="auto" w:fill="FFFFFF"/>
            <w:vAlign w:val="center"/>
            <w:hideMark/>
          </w:tcPr>
          <w:p w14:paraId="50D67B96"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46.66</w:t>
            </w:r>
          </w:p>
        </w:tc>
        <w:tc>
          <w:tcPr>
            <w:tcW w:w="0" w:type="auto"/>
            <w:shd w:val="clear" w:color="auto" w:fill="FFFFFF"/>
            <w:vAlign w:val="center"/>
            <w:hideMark/>
          </w:tcPr>
          <w:p w14:paraId="4F5003DB"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39.62</w:t>
            </w:r>
          </w:p>
        </w:tc>
        <w:tc>
          <w:tcPr>
            <w:tcW w:w="0" w:type="auto"/>
            <w:shd w:val="clear" w:color="auto" w:fill="FFFFFF"/>
            <w:vAlign w:val="center"/>
            <w:hideMark/>
          </w:tcPr>
          <w:p w14:paraId="4BB0C4A5"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39.48</w:t>
            </w:r>
          </w:p>
        </w:tc>
        <w:tc>
          <w:tcPr>
            <w:tcW w:w="0" w:type="auto"/>
            <w:shd w:val="clear" w:color="auto" w:fill="FFFFFF"/>
            <w:vAlign w:val="center"/>
            <w:hideMark/>
          </w:tcPr>
          <w:p w14:paraId="5774D0D8"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47.52</w:t>
            </w:r>
          </w:p>
        </w:tc>
        <w:tc>
          <w:tcPr>
            <w:tcW w:w="0" w:type="auto"/>
            <w:shd w:val="clear" w:color="auto" w:fill="FFFFFF"/>
            <w:vAlign w:val="center"/>
            <w:hideMark/>
          </w:tcPr>
          <w:p w14:paraId="377CE5AE" w14:textId="77777777" w:rsidR="00E678E0" w:rsidRPr="00E678E0" w:rsidRDefault="00E678E0" w:rsidP="00E678E0">
            <w:pPr>
              <w:spacing w:after="0" w:line="240" w:lineRule="auto"/>
              <w:jc w:val="right"/>
              <w:rPr>
                <w:rFonts w:ascii="Arial" w:eastAsia="Times New Roman" w:hAnsi="Arial" w:cs="Arial"/>
                <w:sz w:val="20"/>
                <w:szCs w:val="20"/>
              </w:rPr>
            </w:pPr>
            <w:r w:rsidRPr="00E678E0">
              <w:rPr>
                <w:rFonts w:ascii="Arial" w:eastAsia="Times New Roman" w:hAnsi="Arial" w:cs="Arial"/>
                <w:sz w:val="15"/>
                <w:szCs w:val="15"/>
              </w:rPr>
              <w:t>39.45</w:t>
            </w:r>
          </w:p>
        </w:tc>
      </w:tr>
      <w:tr w:rsidR="00E678E0" w:rsidRPr="00E678E0" w14:paraId="51AA9611" w14:textId="77777777" w:rsidTr="00E678E0">
        <w:trPr>
          <w:trHeight w:val="50"/>
          <w:tblCellSpacing w:w="0" w:type="dxa"/>
        </w:trPr>
        <w:tc>
          <w:tcPr>
            <w:tcW w:w="3399" w:type="dxa"/>
            <w:shd w:val="clear" w:color="auto" w:fill="FFFFFF"/>
            <w:vAlign w:val="center"/>
            <w:hideMark/>
          </w:tcPr>
          <w:p w14:paraId="60734B0A" w14:textId="77777777" w:rsidR="00E678E0" w:rsidRPr="00E678E0" w:rsidRDefault="00E678E0" w:rsidP="00E678E0">
            <w:pPr>
              <w:spacing w:after="0" w:line="240" w:lineRule="auto"/>
              <w:jc w:val="right"/>
              <w:rPr>
                <w:rFonts w:ascii="Arial" w:eastAsia="Times New Roman" w:hAnsi="Arial" w:cs="Arial"/>
                <w:sz w:val="20"/>
                <w:szCs w:val="20"/>
              </w:rPr>
            </w:pPr>
          </w:p>
        </w:tc>
        <w:tc>
          <w:tcPr>
            <w:tcW w:w="0" w:type="auto"/>
            <w:shd w:val="clear" w:color="auto" w:fill="FFFFFF"/>
            <w:vAlign w:val="center"/>
            <w:hideMark/>
          </w:tcPr>
          <w:p w14:paraId="4212ACA1"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617568D7"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7043DD77"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76940481"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277DC6D2"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1F4126CE"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217A6F60"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710F74BD" w14:textId="77777777" w:rsidR="00E678E0" w:rsidRPr="00E678E0" w:rsidRDefault="00E678E0" w:rsidP="00E678E0">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78FE5FB5" w14:textId="77777777" w:rsidR="00E678E0" w:rsidRPr="00E678E0" w:rsidRDefault="00E678E0" w:rsidP="00E678E0">
            <w:pPr>
              <w:spacing w:after="0" w:line="240" w:lineRule="auto"/>
              <w:rPr>
                <w:rFonts w:ascii="Times New Roman" w:eastAsia="Times New Roman" w:hAnsi="Times New Roman" w:cs="Times New Roman"/>
                <w:sz w:val="20"/>
                <w:szCs w:val="20"/>
              </w:rPr>
            </w:pPr>
          </w:p>
        </w:tc>
      </w:tr>
      <w:tr w:rsidR="00E678E0" w:rsidRPr="00E678E0" w14:paraId="359C1AEA" w14:textId="77777777" w:rsidTr="00E678E0">
        <w:trPr>
          <w:tblCellSpacing w:w="0" w:type="dxa"/>
        </w:trPr>
        <w:tc>
          <w:tcPr>
            <w:tcW w:w="11325" w:type="dxa"/>
            <w:gridSpan w:val="10"/>
            <w:shd w:val="clear" w:color="auto" w:fill="FFFFFF"/>
            <w:vAlign w:val="bottom"/>
            <w:hideMark/>
          </w:tcPr>
          <w:p w14:paraId="184BF8FF" w14:textId="77777777" w:rsidR="00E678E0" w:rsidRPr="00E678E0" w:rsidRDefault="00E678E0" w:rsidP="00E678E0">
            <w:pPr>
              <w:spacing w:after="0" w:line="240" w:lineRule="auto"/>
              <w:rPr>
                <w:rFonts w:ascii="Times New Roman" w:eastAsia="Times New Roman" w:hAnsi="Times New Roman" w:cs="Times New Roman"/>
                <w:sz w:val="20"/>
                <w:szCs w:val="20"/>
              </w:rPr>
            </w:pPr>
          </w:p>
        </w:tc>
      </w:tr>
    </w:tbl>
    <w:p w14:paraId="40C15967" w14:textId="77777777" w:rsidR="00E678E0" w:rsidRPr="00E678E0" w:rsidRDefault="00E678E0" w:rsidP="00E678E0">
      <w:pPr>
        <w:spacing w:after="0" w:line="240" w:lineRule="auto"/>
        <w:rPr>
          <w:rFonts w:ascii="Times New Roman" w:eastAsia="Times New Roman" w:hAnsi="Times New Roman" w:cs="Times New Roman"/>
          <w:vanish/>
          <w:sz w:val="24"/>
          <w:szCs w:val="24"/>
        </w:rPr>
      </w:pPr>
    </w:p>
    <w:tbl>
      <w:tblPr>
        <w:tblW w:w="10440" w:type="dxa"/>
        <w:tblCellSpacing w:w="0" w:type="dxa"/>
        <w:shd w:val="clear" w:color="auto" w:fill="FFFFFF"/>
        <w:tblCellMar>
          <w:top w:w="15" w:type="dxa"/>
          <w:left w:w="15" w:type="dxa"/>
          <w:bottom w:w="15" w:type="dxa"/>
          <w:right w:w="15" w:type="dxa"/>
        </w:tblCellMar>
        <w:tblLook w:val="04A0" w:firstRow="1" w:lastRow="0" w:firstColumn="1" w:lastColumn="0" w:noHBand="0" w:noVBand="1"/>
        <w:tblDescription w:val="The State Banking Performance Table consists of three main sections which can be populated with different options.  The Type of Bank charter, the geographic level, and the quarter of data to be displayed are user options.  Each three main choices display the data broken down by the size of the banks selected."/>
      </w:tblPr>
      <w:tblGrid>
        <w:gridCol w:w="10440"/>
      </w:tblGrid>
      <w:tr w:rsidR="00E678E0" w:rsidRPr="00E678E0" w14:paraId="2172A149" w14:textId="77777777" w:rsidTr="003A2796">
        <w:trPr>
          <w:tblCellSpacing w:w="0" w:type="dxa"/>
        </w:trPr>
        <w:tc>
          <w:tcPr>
            <w:tcW w:w="10440" w:type="dxa"/>
            <w:shd w:val="clear" w:color="auto" w:fill="FFFFFF"/>
            <w:vAlign w:val="bottom"/>
            <w:hideMark/>
          </w:tcPr>
          <w:p w14:paraId="548F8874" w14:textId="77777777" w:rsidR="00E678E0" w:rsidRPr="00E678E0" w:rsidRDefault="00E678E0" w:rsidP="00E678E0">
            <w:pPr>
              <w:spacing w:after="0" w:line="240" w:lineRule="auto"/>
              <w:rPr>
                <w:rFonts w:ascii="Times New Roman" w:eastAsia="Times New Roman" w:hAnsi="Times New Roman" w:cs="Times New Roman"/>
                <w:sz w:val="24"/>
                <w:szCs w:val="24"/>
              </w:rPr>
            </w:pPr>
          </w:p>
        </w:tc>
      </w:tr>
      <w:tr w:rsidR="00E678E0" w:rsidRPr="00E678E0" w14:paraId="7945B7E2" w14:textId="77777777" w:rsidTr="003A2796">
        <w:trPr>
          <w:tblCellSpacing w:w="0" w:type="dxa"/>
        </w:trPr>
        <w:tc>
          <w:tcPr>
            <w:tcW w:w="10440" w:type="dxa"/>
            <w:shd w:val="clear" w:color="auto" w:fill="FFFFFF"/>
            <w:vAlign w:val="bottom"/>
            <w:hideMark/>
          </w:tcPr>
          <w:p w14:paraId="45A22A83" w14:textId="77777777" w:rsidR="00E678E0" w:rsidRPr="00E678E0" w:rsidRDefault="00E678E0" w:rsidP="00E678E0">
            <w:pPr>
              <w:spacing w:after="0" w:line="240" w:lineRule="auto"/>
              <w:jc w:val="center"/>
              <w:rPr>
                <w:rFonts w:ascii="Arial" w:eastAsia="Times New Roman" w:hAnsi="Arial" w:cs="Arial"/>
                <w:sz w:val="20"/>
                <w:szCs w:val="20"/>
              </w:rPr>
            </w:pPr>
            <w:r w:rsidRPr="00E678E0">
              <w:rPr>
                <w:rFonts w:ascii="Arial" w:eastAsia="Times New Roman" w:hAnsi="Arial" w:cs="Arial"/>
                <w:sz w:val="15"/>
                <w:szCs w:val="15"/>
              </w:rPr>
              <w:t>Source: Call Report and Thrift Financial Report</w:t>
            </w:r>
            <w:r w:rsidRPr="00E678E0">
              <w:rPr>
                <w:rFonts w:ascii="Arial" w:eastAsia="Times New Roman" w:hAnsi="Arial" w:cs="Arial"/>
                <w:sz w:val="15"/>
                <w:szCs w:val="15"/>
              </w:rPr>
              <w:br/>
              <w:t>Prepared by the FDIC-Division of Insurance and Research</w:t>
            </w:r>
          </w:p>
        </w:tc>
      </w:tr>
    </w:tbl>
    <w:p w14:paraId="5CDD00D9" w14:textId="77777777" w:rsidR="00C64A49" w:rsidRDefault="00E678E0">
      <w:r>
        <w:br w:type="page"/>
      </w:r>
    </w:p>
    <w:tbl>
      <w:tblPr>
        <w:tblW w:w="11325" w:type="dxa"/>
        <w:tblCellSpacing w:w="0" w:type="dxa"/>
        <w:tblInd w:w="-540" w:type="dxa"/>
        <w:shd w:val="clear" w:color="auto" w:fill="FFFFFF"/>
        <w:tblCellMar>
          <w:left w:w="0" w:type="dxa"/>
          <w:right w:w="0" w:type="dxa"/>
        </w:tblCellMar>
        <w:tblLook w:val="04A0" w:firstRow="1" w:lastRow="0" w:firstColumn="1" w:lastColumn="0" w:noHBand="0" w:noVBand="1"/>
      </w:tblPr>
      <w:tblGrid>
        <w:gridCol w:w="11325"/>
      </w:tblGrid>
      <w:tr w:rsidR="00C64A49" w:rsidRPr="00C64A49" w14:paraId="492BA15E" w14:textId="77777777" w:rsidTr="00C64A49">
        <w:trPr>
          <w:tblCellSpacing w:w="0" w:type="dxa"/>
        </w:trPr>
        <w:tc>
          <w:tcPr>
            <w:tcW w:w="0" w:type="auto"/>
            <w:shd w:val="clear" w:color="auto" w:fill="FFFFFF"/>
            <w:vAlign w:val="bottom"/>
            <w:hideMark/>
          </w:tcPr>
          <w:p w14:paraId="25765F1D" w14:textId="77777777" w:rsidR="00C64A49" w:rsidRPr="00C64A49" w:rsidRDefault="00C64A49" w:rsidP="00C64A49">
            <w:pPr>
              <w:spacing w:after="0" w:line="240" w:lineRule="auto"/>
              <w:jc w:val="center"/>
              <w:rPr>
                <w:rFonts w:ascii="Arial" w:eastAsia="Times New Roman" w:hAnsi="Arial" w:cs="Arial"/>
                <w:sz w:val="20"/>
                <w:szCs w:val="20"/>
              </w:rPr>
            </w:pPr>
            <w:r w:rsidRPr="00C64A49">
              <w:rPr>
                <w:rFonts w:ascii="Arial" w:eastAsia="Times New Roman" w:hAnsi="Arial" w:cs="Arial"/>
                <w:b/>
                <w:bCs/>
                <w:sz w:val="27"/>
                <w:szCs w:val="27"/>
              </w:rPr>
              <w:t>State Banking Performance Summary</w:t>
            </w:r>
          </w:p>
        </w:tc>
      </w:tr>
      <w:tr w:rsidR="00C64A49" w:rsidRPr="00C64A49" w14:paraId="3D3D6471" w14:textId="77777777" w:rsidTr="00C64A49">
        <w:trPr>
          <w:tblCellSpacing w:w="0" w:type="dxa"/>
        </w:trPr>
        <w:tc>
          <w:tcPr>
            <w:tcW w:w="0" w:type="auto"/>
            <w:shd w:val="clear" w:color="auto" w:fill="FFFFFF"/>
            <w:vAlign w:val="center"/>
            <w:hideMark/>
          </w:tcPr>
          <w:p w14:paraId="29DA7814" w14:textId="77777777" w:rsidR="00C64A49" w:rsidRPr="00C64A49" w:rsidRDefault="00C64A49" w:rsidP="00C64A49">
            <w:pPr>
              <w:spacing w:after="0" w:line="240" w:lineRule="auto"/>
              <w:jc w:val="center"/>
              <w:rPr>
                <w:rFonts w:ascii="Arial" w:eastAsia="Times New Roman" w:hAnsi="Arial" w:cs="Arial"/>
                <w:sz w:val="20"/>
                <w:szCs w:val="20"/>
              </w:rPr>
            </w:pPr>
          </w:p>
        </w:tc>
      </w:tr>
      <w:tr w:rsidR="00C64A49" w:rsidRPr="00C64A49" w14:paraId="653C628D" w14:textId="77777777" w:rsidTr="00C64A49">
        <w:trPr>
          <w:tblCellSpacing w:w="0" w:type="dxa"/>
        </w:trPr>
        <w:tc>
          <w:tcPr>
            <w:tcW w:w="0" w:type="auto"/>
            <w:shd w:val="clear" w:color="auto" w:fill="FFFFFF"/>
            <w:vAlign w:val="bottom"/>
            <w:hideMark/>
          </w:tcPr>
          <w:p w14:paraId="77432055" w14:textId="77777777" w:rsidR="00C64A49" w:rsidRPr="00C64A49" w:rsidRDefault="00C64A49" w:rsidP="00C64A49">
            <w:pPr>
              <w:spacing w:after="0" w:line="240" w:lineRule="auto"/>
              <w:jc w:val="center"/>
              <w:rPr>
                <w:rFonts w:ascii="Arial" w:eastAsia="Times New Roman" w:hAnsi="Arial" w:cs="Arial"/>
                <w:sz w:val="20"/>
                <w:szCs w:val="20"/>
              </w:rPr>
            </w:pPr>
            <w:r w:rsidRPr="00C64A49">
              <w:rPr>
                <w:rFonts w:ascii="Arial" w:eastAsia="Times New Roman" w:hAnsi="Arial" w:cs="Arial"/>
                <w:sz w:val="27"/>
                <w:szCs w:val="27"/>
              </w:rPr>
              <w:t>FDIC-Insured Institutions</w:t>
            </w:r>
            <w:r w:rsidRPr="00C64A49">
              <w:rPr>
                <w:rFonts w:ascii="Arial" w:eastAsia="Times New Roman" w:hAnsi="Arial" w:cs="Arial"/>
                <w:sz w:val="20"/>
                <w:szCs w:val="20"/>
              </w:rPr>
              <w:br/>
            </w:r>
          </w:p>
        </w:tc>
      </w:tr>
    </w:tbl>
    <w:p w14:paraId="589D96DC" w14:textId="77777777" w:rsidR="00C64A49" w:rsidRPr="00C64A49" w:rsidRDefault="00C64A49" w:rsidP="00C64A49">
      <w:pPr>
        <w:spacing w:after="0" w:line="240" w:lineRule="auto"/>
        <w:rPr>
          <w:rFonts w:ascii="Times New Roman" w:eastAsia="Times New Roman" w:hAnsi="Times New Roman" w:cs="Times New Roman"/>
          <w:vanish/>
          <w:sz w:val="24"/>
          <w:szCs w:val="24"/>
        </w:rPr>
      </w:pPr>
    </w:p>
    <w:tbl>
      <w:tblPr>
        <w:tblW w:w="11325" w:type="dxa"/>
        <w:tblCellSpacing w:w="0" w:type="dxa"/>
        <w:tblInd w:w="-540" w:type="dxa"/>
        <w:shd w:val="clear" w:color="auto" w:fill="FFFFFF"/>
        <w:tblCellMar>
          <w:top w:w="15" w:type="dxa"/>
          <w:left w:w="15" w:type="dxa"/>
          <w:bottom w:w="15" w:type="dxa"/>
          <w:right w:w="15" w:type="dxa"/>
        </w:tblCellMar>
        <w:tblLook w:val="04A0" w:firstRow="1" w:lastRow="0" w:firstColumn="1" w:lastColumn="0" w:noHBand="0" w:noVBand="1"/>
        <w:tblDescription w:val="The State Banking Performance Table consists of three main sections which are populated with different data depending on the choices provided.  The Type of Bank charter, the geographic level, and the quarter of data to be displayed are user options.  Each three main choices display the data broken down by the size of the banks selected."/>
      </w:tblPr>
      <w:tblGrid>
        <w:gridCol w:w="3378"/>
        <w:gridCol w:w="847"/>
        <w:gridCol w:w="897"/>
        <w:gridCol w:w="905"/>
        <w:gridCol w:w="847"/>
        <w:gridCol w:w="897"/>
        <w:gridCol w:w="905"/>
        <w:gridCol w:w="847"/>
        <w:gridCol w:w="897"/>
        <w:gridCol w:w="905"/>
      </w:tblGrid>
      <w:tr w:rsidR="00C64A49" w:rsidRPr="00C64A49" w14:paraId="4B2CFA92" w14:textId="77777777" w:rsidTr="00C64A49">
        <w:trPr>
          <w:tblHeader/>
          <w:tblCellSpacing w:w="0" w:type="dxa"/>
        </w:trPr>
        <w:tc>
          <w:tcPr>
            <w:tcW w:w="0" w:type="auto"/>
            <w:shd w:val="clear" w:color="auto" w:fill="FFFFFF"/>
            <w:vAlign w:val="center"/>
            <w:hideMark/>
          </w:tcPr>
          <w:p w14:paraId="30B15562" w14:textId="77777777" w:rsidR="00C64A49" w:rsidRPr="00C64A49" w:rsidRDefault="00C64A49" w:rsidP="00C64A49">
            <w:pPr>
              <w:spacing w:after="0" w:line="240" w:lineRule="auto"/>
              <w:rPr>
                <w:rFonts w:ascii="Times New Roman" w:eastAsia="Times New Roman" w:hAnsi="Times New Roman" w:cs="Times New Roman"/>
                <w:sz w:val="24"/>
                <w:szCs w:val="24"/>
              </w:rPr>
            </w:pPr>
          </w:p>
        </w:tc>
        <w:tc>
          <w:tcPr>
            <w:tcW w:w="0" w:type="auto"/>
            <w:gridSpan w:val="3"/>
            <w:shd w:val="clear" w:color="auto" w:fill="FFFFFF"/>
            <w:vAlign w:val="bottom"/>
            <w:hideMark/>
          </w:tcPr>
          <w:p w14:paraId="1E2553D1"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20"/>
                <w:szCs w:val="20"/>
              </w:rPr>
              <w:t>All Insured Institutions</w:t>
            </w:r>
            <w:r w:rsidRPr="00C64A49">
              <w:rPr>
                <w:rFonts w:ascii="Arial" w:eastAsia="Times New Roman" w:hAnsi="Arial" w:cs="Arial"/>
                <w:b/>
                <w:bCs/>
                <w:sz w:val="20"/>
                <w:szCs w:val="20"/>
              </w:rPr>
              <w:br/>
              <w:t>District of Columbia</w:t>
            </w:r>
            <w:r w:rsidRPr="00C64A49">
              <w:rPr>
                <w:rFonts w:ascii="Arial" w:eastAsia="Times New Roman" w:hAnsi="Arial" w:cs="Arial"/>
                <w:b/>
                <w:bCs/>
                <w:sz w:val="20"/>
                <w:szCs w:val="20"/>
              </w:rPr>
              <w:br/>
              <w:t>September 30, 2020</w:t>
            </w:r>
          </w:p>
        </w:tc>
        <w:tc>
          <w:tcPr>
            <w:tcW w:w="0" w:type="auto"/>
            <w:gridSpan w:val="3"/>
            <w:shd w:val="clear" w:color="auto" w:fill="FFFFFF"/>
            <w:vAlign w:val="bottom"/>
            <w:hideMark/>
          </w:tcPr>
          <w:p w14:paraId="190D29C8"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20"/>
                <w:szCs w:val="20"/>
              </w:rPr>
              <w:t>All Insured Institutions</w:t>
            </w:r>
            <w:r w:rsidRPr="00C64A49">
              <w:rPr>
                <w:rFonts w:ascii="Arial" w:eastAsia="Times New Roman" w:hAnsi="Arial" w:cs="Arial"/>
                <w:b/>
                <w:bCs/>
                <w:sz w:val="20"/>
                <w:szCs w:val="20"/>
              </w:rPr>
              <w:br/>
              <w:t>District of Columbia</w:t>
            </w:r>
            <w:r w:rsidRPr="00C64A49">
              <w:rPr>
                <w:rFonts w:ascii="Arial" w:eastAsia="Times New Roman" w:hAnsi="Arial" w:cs="Arial"/>
                <w:b/>
                <w:bCs/>
                <w:sz w:val="20"/>
                <w:szCs w:val="20"/>
              </w:rPr>
              <w:br/>
              <w:t>September 30, 2019</w:t>
            </w:r>
          </w:p>
        </w:tc>
        <w:tc>
          <w:tcPr>
            <w:tcW w:w="0" w:type="auto"/>
            <w:gridSpan w:val="3"/>
            <w:shd w:val="clear" w:color="auto" w:fill="FFFFFF"/>
            <w:vAlign w:val="bottom"/>
            <w:hideMark/>
          </w:tcPr>
          <w:p w14:paraId="2908A19E"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20"/>
                <w:szCs w:val="20"/>
              </w:rPr>
              <w:t>All Insured Institutions</w:t>
            </w:r>
            <w:r w:rsidRPr="00C64A49">
              <w:rPr>
                <w:rFonts w:ascii="Arial" w:eastAsia="Times New Roman" w:hAnsi="Arial" w:cs="Arial"/>
                <w:b/>
                <w:bCs/>
                <w:sz w:val="20"/>
                <w:szCs w:val="20"/>
              </w:rPr>
              <w:br/>
              <w:t>District of Columbia</w:t>
            </w:r>
            <w:r w:rsidRPr="00C64A49">
              <w:rPr>
                <w:rFonts w:ascii="Arial" w:eastAsia="Times New Roman" w:hAnsi="Arial" w:cs="Arial"/>
                <w:b/>
                <w:bCs/>
                <w:sz w:val="20"/>
                <w:szCs w:val="20"/>
              </w:rPr>
              <w:br/>
              <w:t>September 30, 2018</w:t>
            </w:r>
          </w:p>
        </w:tc>
      </w:tr>
      <w:tr w:rsidR="00C64A49" w:rsidRPr="00C64A49" w14:paraId="3559C12C" w14:textId="77777777" w:rsidTr="00C64A49">
        <w:trPr>
          <w:tblHeader/>
          <w:tblCellSpacing w:w="0" w:type="dxa"/>
        </w:trPr>
        <w:tc>
          <w:tcPr>
            <w:tcW w:w="0" w:type="auto"/>
            <w:shd w:val="clear" w:color="auto" w:fill="FFFFFF"/>
            <w:vAlign w:val="bottom"/>
            <w:hideMark/>
          </w:tcPr>
          <w:p w14:paraId="17959A85"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      </w:t>
            </w:r>
            <w:r w:rsidRPr="00C64A49">
              <w:rPr>
                <w:rFonts w:ascii="Arial" w:eastAsia="Times New Roman" w:hAnsi="Arial" w:cs="Arial"/>
                <w:i/>
                <w:iCs/>
                <w:color w:val="FFFFFF"/>
                <w:sz w:val="15"/>
                <w:szCs w:val="15"/>
              </w:rPr>
              <w:t>(dollar figures in millions)</w:t>
            </w:r>
          </w:p>
        </w:tc>
        <w:tc>
          <w:tcPr>
            <w:tcW w:w="0" w:type="auto"/>
            <w:shd w:val="clear" w:color="auto" w:fill="FFFFFF"/>
            <w:vAlign w:val="bottom"/>
            <w:hideMark/>
          </w:tcPr>
          <w:p w14:paraId="61558DDF"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All</w:t>
            </w:r>
            <w:r w:rsidRPr="00C64A49">
              <w:rPr>
                <w:rFonts w:ascii="Arial" w:eastAsia="Times New Roman" w:hAnsi="Arial" w:cs="Arial"/>
                <w:b/>
                <w:bCs/>
                <w:sz w:val="15"/>
                <w:szCs w:val="15"/>
              </w:rPr>
              <w:br/>
              <w:t>Institutions</w:t>
            </w:r>
          </w:p>
        </w:tc>
        <w:tc>
          <w:tcPr>
            <w:tcW w:w="0" w:type="auto"/>
            <w:shd w:val="clear" w:color="auto" w:fill="FFFFFF"/>
            <w:vAlign w:val="bottom"/>
            <w:hideMark/>
          </w:tcPr>
          <w:p w14:paraId="2A308EA3"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Assets</w:t>
            </w:r>
            <w:r w:rsidRPr="00C64A49">
              <w:rPr>
                <w:rFonts w:ascii="Arial" w:eastAsia="Times New Roman" w:hAnsi="Arial" w:cs="Arial"/>
                <w:b/>
                <w:bCs/>
                <w:sz w:val="15"/>
                <w:szCs w:val="15"/>
              </w:rPr>
              <w:br/>
              <w:t>less than</w:t>
            </w:r>
            <w:r w:rsidRPr="00C64A49">
              <w:rPr>
                <w:rFonts w:ascii="Arial" w:eastAsia="Times New Roman" w:hAnsi="Arial" w:cs="Arial"/>
                <w:b/>
                <w:bCs/>
                <w:sz w:val="15"/>
                <w:szCs w:val="15"/>
              </w:rPr>
              <w:br/>
              <w:t>$100 million</w:t>
            </w:r>
          </w:p>
        </w:tc>
        <w:tc>
          <w:tcPr>
            <w:tcW w:w="0" w:type="auto"/>
            <w:shd w:val="clear" w:color="auto" w:fill="FFFFFF"/>
            <w:vAlign w:val="bottom"/>
            <w:hideMark/>
          </w:tcPr>
          <w:p w14:paraId="23DCC8E6"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Assets</w:t>
            </w:r>
            <w:r w:rsidRPr="00C64A49">
              <w:rPr>
                <w:rFonts w:ascii="Arial" w:eastAsia="Times New Roman" w:hAnsi="Arial" w:cs="Arial"/>
                <w:b/>
                <w:bCs/>
                <w:sz w:val="15"/>
                <w:szCs w:val="15"/>
              </w:rPr>
              <w:br/>
              <w:t>greater than</w:t>
            </w:r>
            <w:r w:rsidRPr="00C64A49">
              <w:rPr>
                <w:rFonts w:ascii="Arial" w:eastAsia="Times New Roman" w:hAnsi="Arial" w:cs="Arial"/>
                <w:b/>
                <w:bCs/>
                <w:sz w:val="15"/>
                <w:szCs w:val="15"/>
              </w:rPr>
              <w:br/>
              <w:t>$100 million</w:t>
            </w:r>
          </w:p>
        </w:tc>
        <w:tc>
          <w:tcPr>
            <w:tcW w:w="0" w:type="auto"/>
            <w:shd w:val="clear" w:color="auto" w:fill="FFFFFF"/>
            <w:vAlign w:val="bottom"/>
            <w:hideMark/>
          </w:tcPr>
          <w:p w14:paraId="6813F68B"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All</w:t>
            </w:r>
            <w:r w:rsidRPr="00C64A49">
              <w:rPr>
                <w:rFonts w:ascii="Arial" w:eastAsia="Times New Roman" w:hAnsi="Arial" w:cs="Arial"/>
                <w:b/>
                <w:bCs/>
                <w:sz w:val="15"/>
                <w:szCs w:val="15"/>
              </w:rPr>
              <w:br/>
              <w:t>Institutions</w:t>
            </w:r>
          </w:p>
        </w:tc>
        <w:tc>
          <w:tcPr>
            <w:tcW w:w="0" w:type="auto"/>
            <w:shd w:val="clear" w:color="auto" w:fill="FFFFFF"/>
            <w:vAlign w:val="bottom"/>
            <w:hideMark/>
          </w:tcPr>
          <w:p w14:paraId="60E62E47"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Assets</w:t>
            </w:r>
            <w:r w:rsidRPr="00C64A49">
              <w:rPr>
                <w:rFonts w:ascii="Arial" w:eastAsia="Times New Roman" w:hAnsi="Arial" w:cs="Arial"/>
                <w:b/>
                <w:bCs/>
                <w:sz w:val="15"/>
                <w:szCs w:val="15"/>
              </w:rPr>
              <w:br/>
              <w:t>less than</w:t>
            </w:r>
            <w:r w:rsidRPr="00C64A49">
              <w:rPr>
                <w:rFonts w:ascii="Arial" w:eastAsia="Times New Roman" w:hAnsi="Arial" w:cs="Arial"/>
                <w:b/>
                <w:bCs/>
                <w:sz w:val="15"/>
                <w:szCs w:val="15"/>
              </w:rPr>
              <w:br/>
              <w:t>$100 million</w:t>
            </w:r>
          </w:p>
        </w:tc>
        <w:tc>
          <w:tcPr>
            <w:tcW w:w="0" w:type="auto"/>
            <w:shd w:val="clear" w:color="auto" w:fill="FFFFFF"/>
            <w:vAlign w:val="bottom"/>
            <w:hideMark/>
          </w:tcPr>
          <w:p w14:paraId="798A3654"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Assets</w:t>
            </w:r>
            <w:r w:rsidRPr="00C64A49">
              <w:rPr>
                <w:rFonts w:ascii="Arial" w:eastAsia="Times New Roman" w:hAnsi="Arial" w:cs="Arial"/>
                <w:b/>
                <w:bCs/>
                <w:sz w:val="15"/>
                <w:szCs w:val="15"/>
              </w:rPr>
              <w:br/>
              <w:t>greater than</w:t>
            </w:r>
            <w:r w:rsidRPr="00C64A49">
              <w:rPr>
                <w:rFonts w:ascii="Arial" w:eastAsia="Times New Roman" w:hAnsi="Arial" w:cs="Arial"/>
                <w:b/>
                <w:bCs/>
                <w:sz w:val="15"/>
                <w:szCs w:val="15"/>
              </w:rPr>
              <w:br/>
              <w:t>$100 million</w:t>
            </w:r>
          </w:p>
        </w:tc>
        <w:tc>
          <w:tcPr>
            <w:tcW w:w="0" w:type="auto"/>
            <w:shd w:val="clear" w:color="auto" w:fill="FFFFFF"/>
            <w:vAlign w:val="bottom"/>
            <w:hideMark/>
          </w:tcPr>
          <w:p w14:paraId="46531ADE"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All</w:t>
            </w:r>
            <w:r w:rsidRPr="00C64A49">
              <w:rPr>
                <w:rFonts w:ascii="Arial" w:eastAsia="Times New Roman" w:hAnsi="Arial" w:cs="Arial"/>
                <w:b/>
                <w:bCs/>
                <w:sz w:val="15"/>
                <w:szCs w:val="15"/>
              </w:rPr>
              <w:br/>
              <w:t>Institutions</w:t>
            </w:r>
          </w:p>
        </w:tc>
        <w:tc>
          <w:tcPr>
            <w:tcW w:w="0" w:type="auto"/>
            <w:shd w:val="clear" w:color="auto" w:fill="FFFFFF"/>
            <w:vAlign w:val="bottom"/>
            <w:hideMark/>
          </w:tcPr>
          <w:p w14:paraId="7D3A9548"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Assets</w:t>
            </w:r>
            <w:r w:rsidRPr="00C64A49">
              <w:rPr>
                <w:rFonts w:ascii="Arial" w:eastAsia="Times New Roman" w:hAnsi="Arial" w:cs="Arial"/>
                <w:b/>
                <w:bCs/>
                <w:sz w:val="15"/>
                <w:szCs w:val="15"/>
              </w:rPr>
              <w:br/>
              <w:t>less than</w:t>
            </w:r>
            <w:r w:rsidRPr="00C64A49">
              <w:rPr>
                <w:rFonts w:ascii="Arial" w:eastAsia="Times New Roman" w:hAnsi="Arial" w:cs="Arial"/>
                <w:b/>
                <w:bCs/>
                <w:sz w:val="15"/>
                <w:szCs w:val="15"/>
              </w:rPr>
              <w:br/>
              <w:t>$100 million</w:t>
            </w:r>
          </w:p>
        </w:tc>
        <w:tc>
          <w:tcPr>
            <w:tcW w:w="0" w:type="auto"/>
            <w:shd w:val="clear" w:color="auto" w:fill="FFFFFF"/>
            <w:vAlign w:val="bottom"/>
            <w:hideMark/>
          </w:tcPr>
          <w:p w14:paraId="4B7DD4CE" w14:textId="77777777" w:rsidR="00C64A49" w:rsidRPr="00C64A49" w:rsidRDefault="00C64A49" w:rsidP="00C64A49">
            <w:pPr>
              <w:spacing w:after="0" w:line="240" w:lineRule="auto"/>
              <w:jc w:val="center"/>
              <w:rPr>
                <w:rFonts w:ascii="Arial" w:eastAsia="Times New Roman" w:hAnsi="Arial" w:cs="Arial"/>
                <w:b/>
                <w:bCs/>
                <w:sz w:val="20"/>
                <w:szCs w:val="20"/>
              </w:rPr>
            </w:pPr>
            <w:r w:rsidRPr="00C64A49">
              <w:rPr>
                <w:rFonts w:ascii="Arial" w:eastAsia="Times New Roman" w:hAnsi="Arial" w:cs="Arial"/>
                <w:b/>
                <w:bCs/>
                <w:sz w:val="15"/>
                <w:szCs w:val="15"/>
              </w:rPr>
              <w:t>Assets</w:t>
            </w:r>
            <w:r w:rsidRPr="00C64A49">
              <w:rPr>
                <w:rFonts w:ascii="Arial" w:eastAsia="Times New Roman" w:hAnsi="Arial" w:cs="Arial"/>
                <w:b/>
                <w:bCs/>
                <w:sz w:val="15"/>
                <w:szCs w:val="15"/>
              </w:rPr>
              <w:br/>
              <w:t>greater than</w:t>
            </w:r>
            <w:r w:rsidRPr="00C64A49">
              <w:rPr>
                <w:rFonts w:ascii="Arial" w:eastAsia="Times New Roman" w:hAnsi="Arial" w:cs="Arial"/>
                <w:b/>
                <w:bCs/>
                <w:sz w:val="15"/>
                <w:szCs w:val="15"/>
              </w:rPr>
              <w:br/>
              <w:t>$100 million</w:t>
            </w:r>
          </w:p>
        </w:tc>
      </w:tr>
      <w:tr w:rsidR="00C64A49" w:rsidRPr="00C64A49" w14:paraId="35ADB434" w14:textId="77777777" w:rsidTr="00C64A49">
        <w:trPr>
          <w:tblCellSpacing w:w="0" w:type="dxa"/>
        </w:trPr>
        <w:tc>
          <w:tcPr>
            <w:tcW w:w="0" w:type="auto"/>
            <w:shd w:val="clear" w:color="auto" w:fill="FFFFFF"/>
            <w:noWrap/>
            <w:vAlign w:val="center"/>
            <w:hideMark/>
          </w:tcPr>
          <w:p w14:paraId="4F5482C2"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Number of institutions reporting</w:t>
            </w:r>
          </w:p>
        </w:tc>
        <w:tc>
          <w:tcPr>
            <w:tcW w:w="0" w:type="auto"/>
            <w:shd w:val="clear" w:color="auto" w:fill="FFFFFF"/>
            <w:vAlign w:val="center"/>
            <w:hideMark/>
          </w:tcPr>
          <w:p w14:paraId="78293B2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w:t>
            </w:r>
          </w:p>
        </w:tc>
        <w:tc>
          <w:tcPr>
            <w:tcW w:w="0" w:type="auto"/>
            <w:shd w:val="clear" w:color="auto" w:fill="FFFFFF"/>
            <w:vAlign w:val="center"/>
            <w:hideMark/>
          </w:tcPr>
          <w:p w14:paraId="60CEDF2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w:t>
            </w:r>
          </w:p>
        </w:tc>
        <w:tc>
          <w:tcPr>
            <w:tcW w:w="0" w:type="auto"/>
            <w:shd w:val="clear" w:color="auto" w:fill="FFFFFF"/>
            <w:vAlign w:val="center"/>
            <w:hideMark/>
          </w:tcPr>
          <w:p w14:paraId="7B536D1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c>
          <w:tcPr>
            <w:tcW w:w="0" w:type="auto"/>
            <w:shd w:val="clear" w:color="auto" w:fill="FFFFFF"/>
            <w:vAlign w:val="center"/>
            <w:hideMark/>
          </w:tcPr>
          <w:p w14:paraId="4A8C5B8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c>
          <w:tcPr>
            <w:tcW w:w="0" w:type="auto"/>
            <w:shd w:val="clear" w:color="auto" w:fill="FFFFFF"/>
            <w:vAlign w:val="center"/>
            <w:hideMark/>
          </w:tcPr>
          <w:p w14:paraId="05A10E9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EB851B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c>
          <w:tcPr>
            <w:tcW w:w="0" w:type="auto"/>
            <w:shd w:val="clear" w:color="auto" w:fill="FFFFFF"/>
            <w:vAlign w:val="center"/>
            <w:hideMark/>
          </w:tcPr>
          <w:p w14:paraId="502414E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c>
          <w:tcPr>
            <w:tcW w:w="0" w:type="auto"/>
            <w:shd w:val="clear" w:color="auto" w:fill="FFFFFF"/>
            <w:vAlign w:val="center"/>
            <w:hideMark/>
          </w:tcPr>
          <w:p w14:paraId="1341BA1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B8C6FE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r>
      <w:tr w:rsidR="00C64A49" w:rsidRPr="00C64A49" w14:paraId="0E2FB800" w14:textId="77777777" w:rsidTr="00C64A49">
        <w:trPr>
          <w:tblCellSpacing w:w="0" w:type="dxa"/>
        </w:trPr>
        <w:tc>
          <w:tcPr>
            <w:tcW w:w="0" w:type="auto"/>
            <w:shd w:val="clear" w:color="auto" w:fill="FFFFFF"/>
            <w:noWrap/>
            <w:vAlign w:val="center"/>
            <w:hideMark/>
          </w:tcPr>
          <w:p w14:paraId="63E70D13"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Total employees (full-time equivalent)</w:t>
            </w:r>
          </w:p>
        </w:tc>
        <w:tc>
          <w:tcPr>
            <w:tcW w:w="0" w:type="auto"/>
            <w:shd w:val="clear" w:color="auto" w:fill="FFFFFF"/>
            <w:vAlign w:val="center"/>
            <w:hideMark/>
          </w:tcPr>
          <w:p w14:paraId="31ED781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263</w:t>
            </w:r>
          </w:p>
        </w:tc>
        <w:tc>
          <w:tcPr>
            <w:tcW w:w="0" w:type="auto"/>
            <w:shd w:val="clear" w:color="auto" w:fill="FFFFFF"/>
            <w:vAlign w:val="center"/>
            <w:hideMark/>
          </w:tcPr>
          <w:p w14:paraId="7E25745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17</w:t>
            </w:r>
          </w:p>
        </w:tc>
        <w:tc>
          <w:tcPr>
            <w:tcW w:w="0" w:type="auto"/>
            <w:shd w:val="clear" w:color="auto" w:fill="FFFFFF"/>
            <w:vAlign w:val="center"/>
            <w:hideMark/>
          </w:tcPr>
          <w:p w14:paraId="7DEDAB0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246</w:t>
            </w:r>
          </w:p>
        </w:tc>
        <w:tc>
          <w:tcPr>
            <w:tcW w:w="0" w:type="auto"/>
            <w:shd w:val="clear" w:color="auto" w:fill="FFFFFF"/>
            <w:vAlign w:val="center"/>
            <w:hideMark/>
          </w:tcPr>
          <w:p w14:paraId="21C677E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224</w:t>
            </w:r>
          </w:p>
        </w:tc>
        <w:tc>
          <w:tcPr>
            <w:tcW w:w="0" w:type="auto"/>
            <w:shd w:val="clear" w:color="auto" w:fill="FFFFFF"/>
            <w:vAlign w:val="center"/>
            <w:hideMark/>
          </w:tcPr>
          <w:p w14:paraId="55F3468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0E50F1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224</w:t>
            </w:r>
          </w:p>
        </w:tc>
        <w:tc>
          <w:tcPr>
            <w:tcW w:w="0" w:type="auto"/>
            <w:shd w:val="clear" w:color="auto" w:fill="FFFFFF"/>
            <w:vAlign w:val="center"/>
            <w:hideMark/>
          </w:tcPr>
          <w:p w14:paraId="1E81D19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218</w:t>
            </w:r>
          </w:p>
        </w:tc>
        <w:tc>
          <w:tcPr>
            <w:tcW w:w="0" w:type="auto"/>
            <w:shd w:val="clear" w:color="auto" w:fill="FFFFFF"/>
            <w:vAlign w:val="center"/>
            <w:hideMark/>
          </w:tcPr>
          <w:p w14:paraId="7552195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9A2309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218</w:t>
            </w:r>
          </w:p>
        </w:tc>
      </w:tr>
      <w:tr w:rsidR="00C64A49" w:rsidRPr="00C64A49" w14:paraId="283E2E65" w14:textId="77777777" w:rsidTr="00C64A49">
        <w:trPr>
          <w:tblCellSpacing w:w="0" w:type="dxa"/>
        </w:trPr>
        <w:tc>
          <w:tcPr>
            <w:tcW w:w="0" w:type="auto"/>
            <w:shd w:val="clear" w:color="auto" w:fill="FFFFFF"/>
            <w:noWrap/>
            <w:vAlign w:val="center"/>
            <w:hideMark/>
          </w:tcPr>
          <w:p w14:paraId="57B29DFB"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b/>
                <w:bCs/>
                <w:sz w:val="15"/>
                <w:szCs w:val="15"/>
              </w:rPr>
              <w:t>AGGREGATE CONDITION AND INCOME DATA</w:t>
            </w:r>
          </w:p>
        </w:tc>
        <w:tc>
          <w:tcPr>
            <w:tcW w:w="0" w:type="auto"/>
            <w:shd w:val="clear" w:color="auto" w:fill="FFFFFF"/>
            <w:vAlign w:val="center"/>
            <w:hideMark/>
          </w:tcPr>
          <w:p w14:paraId="7A63990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9F34CA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5D0A71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0A60F7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DAB3AD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CFD2D5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7C01C6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00F243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FED28A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32518F16" w14:textId="77777777" w:rsidTr="00C64A49">
        <w:trPr>
          <w:tblCellSpacing w:w="0" w:type="dxa"/>
        </w:trPr>
        <w:tc>
          <w:tcPr>
            <w:tcW w:w="0" w:type="auto"/>
            <w:shd w:val="clear" w:color="auto" w:fill="FFFFFF"/>
            <w:noWrap/>
            <w:vAlign w:val="center"/>
            <w:hideMark/>
          </w:tcPr>
          <w:p w14:paraId="7486ACFC"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Net income (year-to-date)</w:t>
            </w:r>
          </w:p>
        </w:tc>
        <w:tc>
          <w:tcPr>
            <w:tcW w:w="0" w:type="auto"/>
            <w:shd w:val="clear" w:color="auto" w:fill="FFFFFF"/>
            <w:vAlign w:val="center"/>
            <w:hideMark/>
          </w:tcPr>
          <w:p w14:paraId="6DA726A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w:t>
            </w:r>
          </w:p>
        </w:tc>
        <w:tc>
          <w:tcPr>
            <w:tcW w:w="0" w:type="auto"/>
            <w:shd w:val="clear" w:color="auto" w:fill="FFFFFF"/>
            <w:vAlign w:val="center"/>
            <w:hideMark/>
          </w:tcPr>
          <w:p w14:paraId="408285B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w:t>
            </w:r>
          </w:p>
        </w:tc>
        <w:tc>
          <w:tcPr>
            <w:tcW w:w="0" w:type="auto"/>
            <w:shd w:val="clear" w:color="auto" w:fill="FFFFFF"/>
            <w:vAlign w:val="center"/>
            <w:hideMark/>
          </w:tcPr>
          <w:p w14:paraId="6A51C95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c>
          <w:tcPr>
            <w:tcW w:w="0" w:type="auto"/>
            <w:shd w:val="clear" w:color="auto" w:fill="FFFFFF"/>
            <w:vAlign w:val="center"/>
            <w:hideMark/>
          </w:tcPr>
          <w:p w14:paraId="5EA5664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w:t>
            </w:r>
          </w:p>
        </w:tc>
        <w:tc>
          <w:tcPr>
            <w:tcW w:w="0" w:type="auto"/>
            <w:shd w:val="clear" w:color="auto" w:fill="FFFFFF"/>
            <w:vAlign w:val="center"/>
            <w:hideMark/>
          </w:tcPr>
          <w:p w14:paraId="0A522FB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DFDBC4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w:t>
            </w:r>
          </w:p>
        </w:tc>
        <w:tc>
          <w:tcPr>
            <w:tcW w:w="0" w:type="auto"/>
            <w:shd w:val="clear" w:color="auto" w:fill="FFFFFF"/>
            <w:vAlign w:val="center"/>
            <w:hideMark/>
          </w:tcPr>
          <w:p w14:paraId="5A2DA59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c>
          <w:tcPr>
            <w:tcW w:w="0" w:type="auto"/>
            <w:shd w:val="clear" w:color="auto" w:fill="FFFFFF"/>
            <w:vAlign w:val="center"/>
            <w:hideMark/>
          </w:tcPr>
          <w:p w14:paraId="2437A1D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547E60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w:t>
            </w:r>
          </w:p>
        </w:tc>
      </w:tr>
      <w:tr w:rsidR="00C64A49" w:rsidRPr="00C64A49" w14:paraId="0CE0310A" w14:textId="77777777" w:rsidTr="00C64A49">
        <w:trPr>
          <w:tblCellSpacing w:w="0" w:type="dxa"/>
        </w:trPr>
        <w:tc>
          <w:tcPr>
            <w:tcW w:w="0" w:type="auto"/>
            <w:shd w:val="clear" w:color="auto" w:fill="FFFFFF"/>
            <w:noWrap/>
            <w:vAlign w:val="center"/>
            <w:hideMark/>
          </w:tcPr>
          <w:p w14:paraId="7DEB1D53"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Total assets</w:t>
            </w:r>
          </w:p>
        </w:tc>
        <w:tc>
          <w:tcPr>
            <w:tcW w:w="0" w:type="auto"/>
            <w:shd w:val="clear" w:color="auto" w:fill="FFFFFF"/>
            <w:vAlign w:val="center"/>
            <w:hideMark/>
          </w:tcPr>
          <w:p w14:paraId="3FD0ED4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1,602</w:t>
            </w:r>
          </w:p>
        </w:tc>
        <w:tc>
          <w:tcPr>
            <w:tcW w:w="0" w:type="auto"/>
            <w:shd w:val="clear" w:color="auto" w:fill="FFFFFF"/>
            <w:vAlign w:val="center"/>
            <w:hideMark/>
          </w:tcPr>
          <w:p w14:paraId="4D2C1EB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62</w:t>
            </w:r>
          </w:p>
        </w:tc>
        <w:tc>
          <w:tcPr>
            <w:tcW w:w="0" w:type="auto"/>
            <w:shd w:val="clear" w:color="auto" w:fill="FFFFFF"/>
            <w:vAlign w:val="center"/>
            <w:hideMark/>
          </w:tcPr>
          <w:p w14:paraId="30A2ABA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1,541</w:t>
            </w:r>
          </w:p>
        </w:tc>
        <w:tc>
          <w:tcPr>
            <w:tcW w:w="0" w:type="auto"/>
            <w:shd w:val="clear" w:color="auto" w:fill="FFFFFF"/>
            <w:vAlign w:val="center"/>
            <w:hideMark/>
          </w:tcPr>
          <w:p w14:paraId="6BA0958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1,288</w:t>
            </w:r>
          </w:p>
        </w:tc>
        <w:tc>
          <w:tcPr>
            <w:tcW w:w="0" w:type="auto"/>
            <w:shd w:val="clear" w:color="auto" w:fill="FFFFFF"/>
            <w:vAlign w:val="center"/>
            <w:hideMark/>
          </w:tcPr>
          <w:p w14:paraId="0A94ACF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4BD3D0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1,288</w:t>
            </w:r>
          </w:p>
        </w:tc>
        <w:tc>
          <w:tcPr>
            <w:tcW w:w="0" w:type="auto"/>
            <w:shd w:val="clear" w:color="auto" w:fill="FFFFFF"/>
            <w:vAlign w:val="center"/>
            <w:hideMark/>
          </w:tcPr>
          <w:p w14:paraId="6ADBFF1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1,185</w:t>
            </w:r>
          </w:p>
        </w:tc>
        <w:tc>
          <w:tcPr>
            <w:tcW w:w="0" w:type="auto"/>
            <w:shd w:val="clear" w:color="auto" w:fill="FFFFFF"/>
            <w:vAlign w:val="center"/>
            <w:hideMark/>
          </w:tcPr>
          <w:p w14:paraId="14D5769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C32332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1,185</w:t>
            </w:r>
          </w:p>
        </w:tc>
      </w:tr>
      <w:tr w:rsidR="00C64A49" w:rsidRPr="00C64A49" w14:paraId="71F045E7" w14:textId="77777777" w:rsidTr="00C64A49">
        <w:trPr>
          <w:tblCellSpacing w:w="0" w:type="dxa"/>
        </w:trPr>
        <w:tc>
          <w:tcPr>
            <w:tcW w:w="0" w:type="auto"/>
            <w:shd w:val="clear" w:color="auto" w:fill="FFFFFF"/>
            <w:noWrap/>
            <w:vAlign w:val="center"/>
            <w:hideMark/>
          </w:tcPr>
          <w:p w14:paraId="0FC5FB04"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Earning assets</w:t>
            </w:r>
          </w:p>
        </w:tc>
        <w:tc>
          <w:tcPr>
            <w:tcW w:w="0" w:type="auto"/>
            <w:shd w:val="clear" w:color="auto" w:fill="FFFFFF"/>
            <w:vAlign w:val="center"/>
            <w:hideMark/>
          </w:tcPr>
          <w:p w14:paraId="393B8CA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1,522</w:t>
            </w:r>
          </w:p>
        </w:tc>
        <w:tc>
          <w:tcPr>
            <w:tcW w:w="0" w:type="auto"/>
            <w:shd w:val="clear" w:color="auto" w:fill="FFFFFF"/>
            <w:vAlign w:val="center"/>
            <w:hideMark/>
          </w:tcPr>
          <w:p w14:paraId="3C8F2E4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54</w:t>
            </w:r>
          </w:p>
        </w:tc>
        <w:tc>
          <w:tcPr>
            <w:tcW w:w="0" w:type="auto"/>
            <w:shd w:val="clear" w:color="auto" w:fill="FFFFFF"/>
            <w:vAlign w:val="center"/>
            <w:hideMark/>
          </w:tcPr>
          <w:p w14:paraId="5BEFCE5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1,468</w:t>
            </w:r>
          </w:p>
        </w:tc>
        <w:tc>
          <w:tcPr>
            <w:tcW w:w="0" w:type="auto"/>
            <w:shd w:val="clear" w:color="auto" w:fill="FFFFFF"/>
            <w:vAlign w:val="center"/>
            <w:hideMark/>
          </w:tcPr>
          <w:p w14:paraId="19CC747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1,211</w:t>
            </w:r>
          </w:p>
        </w:tc>
        <w:tc>
          <w:tcPr>
            <w:tcW w:w="0" w:type="auto"/>
            <w:shd w:val="clear" w:color="auto" w:fill="FFFFFF"/>
            <w:vAlign w:val="center"/>
            <w:hideMark/>
          </w:tcPr>
          <w:p w14:paraId="539CD94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348C07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1,211</w:t>
            </w:r>
          </w:p>
        </w:tc>
        <w:tc>
          <w:tcPr>
            <w:tcW w:w="0" w:type="auto"/>
            <w:shd w:val="clear" w:color="auto" w:fill="FFFFFF"/>
            <w:vAlign w:val="center"/>
            <w:hideMark/>
          </w:tcPr>
          <w:p w14:paraId="590CE4E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1,112</w:t>
            </w:r>
          </w:p>
        </w:tc>
        <w:tc>
          <w:tcPr>
            <w:tcW w:w="0" w:type="auto"/>
            <w:shd w:val="clear" w:color="auto" w:fill="FFFFFF"/>
            <w:vAlign w:val="center"/>
            <w:hideMark/>
          </w:tcPr>
          <w:p w14:paraId="5EB76BC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DAEB20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1,112</w:t>
            </w:r>
          </w:p>
        </w:tc>
      </w:tr>
      <w:tr w:rsidR="00C64A49" w:rsidRPr="00C64A49" w14:paraId="2B5F3A8F" w14:textId="77777777" w:rsidTr="00C64A49">
        <w:trPr>
          <w:tblCellSpacing w:w="0" w:type="dxa"/>
        </w:trPr>
        <w:tc>
          <w:tcPr>
            <w:tcW w:w="0" w:type="auto"/>
            <w:shd w:val="clear" w:color="auto" w:fill="FFFFFF"/>
            <w:noWrap/>
            <w:vAlign w:val="center"/>
            <w:hideMark/>
          </w:tcPr>
          <w:p w14:paraId="29B691D3"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Total loans &amp; leases</w:t>
            </w:r>
          </w:p>
        </w:tc>
        <w:tc>
          <w:tcPr>
            <w:tcW w:w="0" w:type="auto"/>
            <w:shd w:val="clear" w:color="auto" w:fill="FFFFFF"/>
            <w:vAlign w:val="center"/>
            <w:hideMark/>
          </w:tcPr>
          <w:p w14:paraId="5C051C8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1,034</w:t>
            </w:r>
          </w:p>
        </w:tc>
        <w:tc>
          <w:tcPr>
            <w:tcW w:w="0" w:type="auto"/>
            <w:shd w:val="clear" w:color="auto" w:fill="FFFFFF"/>
            <w:vAlign w:val="center"/>
            <w:hideMark/>
          </w:tcPr>
          <w:p w14:paraId="4B2333F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w:t>
            </w:r>
          </w:p>
        </w:tc>
        <w:tc>
          <w:tcPr>
            <w:tcW w:w="0" w:type="auto"/>
            <w:shd w:val="clear" w:color="auto" w:fill="FFFFFF"/>
            <w:vAlign w:val="center"/>
            <w:hideMark/>
          </w:tcPr>
          <w:p w14:paraId="208D5FE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1,013</w:t>
            </w:r>
          </w:p>
        </w:tc>
        <w:tc>
          <w:tcPr>
            <w:tcW w:w="0" w:type="auto"/>
            <w:shd w:val="clear" w:color="auto" w:fill="FFFFFF"/>
            <w:vAlign w:val="center"/>
            <w:hideMark/>
          </w:tcPr>
          <w:p w14:paraId="6AA5CEB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807</w:t>
            </w:r>
          </w:p>
        </w:tc>
        <w:tc>
          <w:tcPr>
            <w:tcW w:w="0" w:type="auto"/>
            <w:shd w:val="clear" w:color="auto" w:fill="FFFFFF"/>
            <w:vAlign w:val="center"/>
            <w:hideMark/>
          </w:tcPr>
          <w:p w14:paraId="75F8A84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F5CD5E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807</w:t>
            </w:r>
          </w:p>
        </w:tc>
        <w:tc>
          <w:tcPr>
            <w:tcW w:w="0" w:type="auto"/>
            <w:shd w:val="clear" w:color="auto" w:fill="FFFFFF"/>
            <w:vAlign w:val="center"/>
            <w:hideMark/>
          </w:tcPr>
          <w:p w14:paraId="0785FF2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749</w:t>
            </w:r>
          </w:p>
        </w:tc>
        <w:tc>
          <w:tcPr>
            <w:tcW w:w="0" w:type="auto"/>
            <w:shd w:val="clear" w:color="auto" w:fill="FFFFFF"/>
            <w:vAlign w:val="center"/>
            <w:hideMark/>
          </w:tcPr>
          <w:p w14:paraId="3A9AD3B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0B8C4B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749</w:t>
            </w:r>
          </w:p>
        </w:tc>
      </w:tr>
      <w:tr w:rsidR="00C64A49" w:rsidRPr="00C64A49" w14:paraId="0E13B21D" w14:textId="77777777" w:rsidTr="00C64A49">
        <w:trPr>
          <w:tblCellSpacing w:w="0" w:type="dxa"/>
        </w:trPr>
        <w:tc>
          <w:tcPr>
            <w:tcW w:w="0" w:type="auto"/>
            <w:shd w:val="clear" w:color="auto" w:fill="FFFFFF"/>
            <w:noWrap/>
            <w:vAlign w:val="center"/>
            <w:hideMark/>
          </w:tcPr>
          <w:p w14:paraId="7F563B84"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Other real estate owned</w:t>
            </w:r>
          </w:p>
        </w:tc>
        <w:tc>
          <w:tcPr>
            <w:tcW w:w="0" w:type="auto"/>
            <w:shd w:val="clear" w:color="auto" w:fill="FFFFFF"/>
            <w:vAlign w:val="center"/>
            <w:hideMark/>
          </w:tcPr>
          <w:p w14:paraId="2A36204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w:t>
            </w:r>
          </w:p>
        </w:tc>
        <w:tc>
          <w:tcPr>
            <w:tcW w:w="0" w:type="auto"/>
            <w:shd w:val="clear" w:color="auto" w:fill="FFFFFF"/>
            <w:vAlign w:val="center"/>
            <w:hideMark/>
          </w:tcPr>
          <w:p w14:paraId="798212C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w:t>
            </w:r>
          </w:p>
        </w:tc>
        <w:tc>
          <w:tcPr>
            <w:tcW w:w="0" w:type="auto"/>
            <w:shd w:val="clear" w:color="auto" w:fill="FFFFFF"/>
            <w:vAlign w:val="center"/>
            <w:hideMark/>
          </w:tcPr>
          <w:p w14:paraId="0E17FA5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w:t>
            </w:r>
          </w:p>
        </w:tc>
        <w:tc>
          <w:tcPr>
            <w:tcW w:w="0" w:type="auto"/>
            <w:shd w:val="clear" w:color="auto" w:fill="FFFFFF"/>
            <w:vAlign w:val="center"/>
            <w:hideMark/>
          </w:tcPr>
          <w:p w14:paraId="48ECD57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w:t>
            </w:r>
          </w:p>
        </w:tc>
        <w:tc>
          <w:tcPr>
            <w:tcW w:w="0" w:type="auto"/>
            <w:shd w:val="clear" w:color="auto" w:fill="FFFFFF"/>
            <w:vAlign w:val="center"/>
            <w:hideMark/>
          </w:tcPr>
          <w:p w14:paraId="40C636F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F37311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w:t>
            </w:r>
          </w:p>
        </w:tc>
        <w:tc>
          <w:tcPr>
            <w:tcW w:w="0" w:type="auto"/>
            <w:shd w:val="clear" w:color="auto" w:fill="FFFFFF"/>
            <w:vAlign w:val="center"/>
            <w:hideMark/>
          </w:tcPr>
          <w:p w14:paraId="5363224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w:t>
            </w:r>
          </w:p>
        </w:tc>
        <w:tc>
          <w:tcPr>
            <w:tcW w:w="0" w:type="auto"/>
            <w:shd w:val="clear" w:color="auto" w:fill="FFFFFF"/>
            <w:vAlign w:val="center"/>
            <w:hideMark/>
          </w:tcPr>
          <w:p w14:paraId="1D26353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DD34BE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w:t>
            </w:r>
          </w:p>
        </w:tc>
      </w:tr>
      <w:tr w:rsidR="00C64A49" w:rsidRPr="00C64A49" w14:paraId="1FC811E0" w14:textId="77777777" w:rsidTr="00C64A49">
        <w:trPr>
          <w:tblCellSpacing w:w="0" w:type="dxa"/>
        </w:trPr>
        <w:tc>
          <w:tcPr>
            <w:tcW w:w="0" w:type="auto"/>
            <w:shd w:val="clear" w:color="auto" w:fill="FFFFFF"/>
            <w:noWrap/>
            <w:vAlign w:val="center"/>
            <w:hideMark/>
          </w:tcPr>
          <w:p w14:paraId="24A4CA2B"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Total deposits</w:t>
            </w:r>
          </w:p>
        </w:tc>
        <w:tc>
          <w:tcPr>
            <w:tcW w:w="0" w:type="auto"/>
            <w:shd w:val="clear" w:color="auto" w:fill="FFFFFF"/>
            <w:vAlign w:val="center"/>
            <w:hideMark/>
          </w:tcPr>
          <w:p w14:paraId="60EC9FF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1,340</w:t>
            </w:r>
          </w:p>
        </w:tc>
        <w:tc>
          <w:tcPr>
            <w:tcW w:w="0" w:type="auto"/>
            <w:shd w:val="clear" w:color="auto" w:fill="FFFFFF"/>
            <w:vAlign w:val="center"/>
            <w:hideMark/>
          </w:tcPr>
          <w:p w14:paraId="70C1F0D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29</w:t>
            </w:r>
          </w:p>
        </w:tc>
        <w:tc>
          <w:tcPr>
            <w:tcW w:w="0" w:type="auto"/>
            <w:shd w:val="clear" w:color="auto" w:fill="FFFFFF"/>
            <w:vAlign w:val="center"/>
            <w:hideMark/>
          </w:tcPr>
          <w:p w14:paraId="5B40683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1,311</w:t>
            </w:r>
          </w:p>
        </w:tc>
        <w:tc>
          <w:tcPr>
            <w:tcW w:w="0" w:type="auto"/>
            <w:shd w:val="clear" w:color="auto" w:fill="FFFFFF"/>
            <w:vAlign w:val="center"/>
            <w:hideMark/>
          </w:tcPr>
          <w:p w14:paraId="50EA6A7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1,069</w:t>
            </w:r>
          </w:p>
        </w:tc>
        <w:tc>
          <w:tcPr>
            <w:tcW w:w="0" w:type="auto"/>
            <w:shd w:val="clear" w:color="auto" w:fill="FFFFFF"/>
            <w:vAlign w:val="center"/>
            <w:hideMark/>
          </w:tcPr>
          <w:p w14:paraId="4C03D77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A6E91F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1,069</w:t>
            </w:r>
          </w:p>
        </w:tc>
        <w:tc>
          <w:tcPr>
            <w:tcW w:w="0" w:type="auto"/>
            <w:shd w:val="clear" w:color="auto" w:fill="FFFFFF"/>
            <w:vAlign w:val="center"/>
            <w:hideMark/>
          </w:tcPr>
          <w:p w14:paraId="0EE30D2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973</w:t>
            </w:r>
          </w:p>
        </w:tc>
        <w:tc>
          <w:tcPr>
            <w:tcW w:w="0" w:type="auto"/>
            <w:shd w:val="clear" w:color="auto" w:fill="FFFFFF"/>
            <w:vAlign w:val="center"/>
            <w:hideMark/>
          </w:tcPr>
          <w:p w14:paraId="377D134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45A1AE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973</w:t>
            </w:r>
          </w:p>
        </w:tc>
      </w:tr>
      <w:tr w:rsidR="00C64A49" w:rsidRPr="00C64A49" w14:paraId="5D4F384F" w14:textId="77777777" w:rsidTr="00C64A49">
        <w:trPr>
          <w:tblCellSpacing w:w="0" w:type="dxa"/>
        </w:trPr>
        <w:tc>
          <w:tcPr>
            <w:tcW w:w="0" w:type="auto"/>
            <w:shd w:val="clear" w:color="auto" w:fill="FFFFFF"/>
            <w:noWrap/>
            <w:vAlign w:val="center"/>
            <w:hideMark/>
          </w:tcPr>
          <w:p w14:paraId="59628A0D"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Equity capital</w:t>
            </w:r>
          </w:p>
        </w:tc>
        <w:tc>
          <w:tcPr>
            <w:tcW w:w="0" w:type="auto"/>
            <w:shd w:val="clear" w:color="auto" w:fill="FFFFFF"/>
            <w:vAlign w:val="center"/>
            <w:hideMark/>
          </w:tcPr>
          <w:p w14:paraId="3457001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158</w:t>
            </w:r>
          </w:p>
        </w:tc>
        <w:tc>
          <w:tcPr>
            <w:tcW w:w="0" w:type="auto"/>
            <w:shd w:val="clear" w:color="auto" w:fill="FFFFFF"/>
            <w:vAlign w:val="center"/>
            <w:hideMark/>
          </w:tcPr>
          <w:p w14:paraId="08AB7DB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27</w:t>
            </w:r>
          </w:p>
        </w:tc>
        <w:tc>
          <w:tcPr>
            <w:tcW w:w="0" w:type="auto"/>
            <w:shd w:val="clear" w:color="auto" w:fill="FFFFFF"/>
            <w:vAlign w:val="center"/>
            <w:hideMark/>
          </w:tcPr>
          <w:p w14:paraId="3602F65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131</w:t>
            </w:r>
          </w:p>
        </w:tc>
        <w:tc>
          <w:tcPr>
            <w:tcW w:w="0" w:type="auto"/>
            <w:shd w:val="clear" w:color="auto" w:fill="FFFFFF"/>
            <w:vAlign w:val="center"/>
            <w:hideMark/>
          </w:tcPr>
          <w:p w14:paraId="2AB1B3D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120</w:t>
            </w:r>
          </w:p>
        </w:tc>
        <w:tc>
          <w:tcPr>
            <w:tcW w:w="0" w:type="auto"/>
            <w:shd w:val="clear" w:color="auto" w:fill="FFFFFF"/>
            <w:vAlign w:val="center"/>
            <w:hideMark/>
          </w:tcPr>
          <w:p w14:paraId="7E4DDE9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C61B86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120</w:t>
            </w:r>
          </w:p>
        </w:tc>
        <w:tc>
          <w:tcPr>
            <w:tcW w:w="0" w:type="auto"/>
            <w:shd w:val="clear" w:color="auto" w:fill="FFFFFF"/>
            <w:vAlign w:val="center"/>
            <w:hideMark/>
          </w:tcPr>
          <w:p w14:paraId="1BECF87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106</w:t>
            </w:r>
          </w:p>
        </w:tc>
        <w:tc>
          <w:tcPr>
            <w:tcW w:w="0" w:type="auto"/>
            <w:shd w:val="clear" w:color="auto" w:fill="FFFFFF"/>
            <w:vAlign w:val="center"/>
            <w:hideMark/>
          </w:tcPr>
          <w:p w14:paraId="6D043F3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6FA59A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106</w:t>
            </w:r>
          </w:p>
        </w:tc>
      </w:tr>
      <w:tr w:rsidR="00C64A49" w:rsidRPr="00C64A49" w14:paraId="57507B23" w14:textId="77777777" w:rsidTr="00C64A49">
        <w:trPr>
          <w:tblCellSpacing w:w="0" w:type="dxa"/>
        </w:trPr>
        <w:tc>
          <w:tcPr>
            <w:tcW w:w="0" w:type="auto"/>
            <w:shd w:val="clear" w:color="auto" w:fill="FFFFFF"/>
            <w:noWrap/>
            <w:vAlign w:val="center"/>
            <w:hideMark/>
          </w:tcPr>
          <w:p w14:paraId="43300F35"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b/>
                <w:bCs/>
                <w:sz w:val="15"/>
                <w:szCs w:val="15"/>
              </w:rPr>
              <w:t>PERFORMANCE RATIOS (YTD, %)</w:t>
            </w:r>
          </w:p>
        </w:tc>
        <w:tc>
          <w:tcPr>
            <w:tcW w:w="0" w:type="auto"/>
            <w:shd w:val="clear" w:color="auto" w:fill="FFFFFF"/>
            <w:vAlign w:val="center"/>
            <w:hideMark/>
          </w:tcPr>
          <w:p w14:paraId="25C43C4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449F37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40F185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225AD4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A75574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2A3355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A42E51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35B4E9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0E2C94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33A9FE9C" w14:textId="77777777" w:rsidTr="00C64A49">
        <w:trPr>
          <w:tblCellSpacing w:w="0" w:type="dxa"/>
        </w:trPr>
        <w:tc>
          <w:tcPr>
            <w:tcW w:w="0" w:type="auto"/>
            <w:shd w:val="clear" w:color="auto" w:fill="FFFFFF"/>
            <w:noWrap/>
            <w:vAlign w:val="center"/>
            <w:hideMark/>
          </w:tcPr>
          <w:p w14:paraId="4590DF75"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Yield on earning assets</w:t>
            </w:r>
          </w:p>
        </w:tc>
        <w:tc>
          <w:tcPr>
            <w:tcW w:w="0" w:type="auto"/>
            <w:shd w:val="clear" w:color="auto" w:fill="FFFFFF"/>
            <w:vAlign w:val="center"/>
            <w:hideMark/>
          </w:tcPr>
          <w:p w14:paraId="61D95B0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3.58</w:t>
            </w:r>
          </w:p>
        </w:tc>
        <w:tc>
          <w:tcPr>
            <w:tcW w:w="0" w:type="auto"/>
            <w:shd w:val="clear" w:color="auto" w:fill="FFFFFF"/>
            <w:vAlign w:val="center"/>
            <w:hideMark/>
          </w:tcPr>
          <w:p w14:paraId="6A85047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0.52</w:t>
            </w:r>
          </w:p>
        </w:tc>
        <w:tc>
          <w:tcPr>
            <w:tcW w:w="0" w:type="auto"/>
            <w:shd w:val="clear" w:color="auto" w:fill="FFFFFF"/>
            <w:vAlign w:val="center"/>
            <w:hideMark/>
          </w:tcPr>
          <w:p w14:paraId="0C0A020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3.66</w:t>
            </w:r>
          </w:p>
        </w:tc>
        <w:tc>
          <w:tcPr>
            <w:tcW w:w="0" w:type="auto"/>
            <w:shd w:val="clear" w:color="auto" w:fill="FFFFFF"/>
            <w:vAlign w:val="center"/>
            <w:hideMark/>
          </w:tcPr>
          <w:p w14:paraId="76FDBA5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4.18</w:t>
            </w:r>
          </w:p>
        </w:tc>
        <w:tc>
          <w:tcPr>
            <w:tcW w:w="0" w:type="auto"/>
            <w:shd w:val="clear" w:color="auto" w:fill="FFFFFF"/>
            <w:vAlign w:val="center"/>
            <w:hideMark/>
          </w:tcPr>
          <w:p w14:paraId="7EE25A9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CBB567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4.18</w:t>
            </w:r>
          </w:p>
        </w:tc>
        <w:tc>
          <w:tcPr>
            <w:tcW w:w="0" w:type="auto"/>
            <w:shd w:val="clear" w:color="auto" w:fill="FFFFFF"/>
            <w:vAlign w:val="center"/>
            <w:hideMark/>
          </w:tcPr>
          <w:p w14:paraId="49F0B87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3.98</w:t>
            </w:r>
          </w:p>
        </w:tc>
        <w:tc>
          <w:tcPr>
            <w:tcW w:w="0" w:type="auto"/>
            <w:shd w:val="clear" w:color="auto" w:fill="FFFFFF"/>
            <w:vAlign w:val="center"/>
            <w:hideMark/>
          </w:tcPr>
          <w:p w14:paraId="32E1B80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85C9AC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3.98</w:t>
            </w:r>
          </w:p>
        </w:tc>
      </w:tr>
      <w:tr w:rsidR="00C64A49" w:rsidRPr="00C64A49" w14:paraId="6EF47BF2" w14:textId="77777777" w:rsidTr="00C64A49">
        <w:trPr>
          <w:tblCellSpacing w:w="0" w:type="dxa"/>
        </w:trPr>
        <w:tc>
          <w:tcPr>
            <w:tcW w:w="0" w:type="auto"/>
            <w:shd w:val="clear" w:color="auto" w:fill="FFFFFF"/>
            <w:noWrap/>
            <w:vAlign w:val="center"/>
            <w:hideMark/>
          </w:tcPr>
          <w:p w14:paraId="1B99835C"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Cost of funding earning assets</w:t>
            </w:r>
          </w:p>
        </w:tc>
        <w:tc>
          <w:tcPr>
            <w:tcW w:w="0" w:type="auto"/>
            <w:shd w:val="clear" w:color="auto" w:fill="FFFFFF"/>
            <w:vAlign w:val="center"/>
            <w:hideMark/>
          </w:tcPr>
          <w:p w14:paraId="6B512E5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0.39</w:t>
            </w:r>
          </w:p>
        </w:tc>
        <w:tc>
          <w:tcPr>
            <w:tcW w:w="0" w:type="auto"/>
            <w:shd w:val="clear" w:color="auto" w:fill="FFFFFF"/>
            <w:vAlign w:val="center"/>
            <w:hideMark/>
          </w:tcPr>
          <w:p w14:paraId="246BE29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0.12</w:t>
            </w:r>
          </w:p>
        </w:tc>
        <w:tc>
          <w:tcPr>
            <w:tcW w:w="0" w:type="auto"/>
            <w:shd w:val="clear" w:color="auto" w:fill="FFFFFF"/>
            <w:vAlign w:val="center"/>
            <w:hideMark/>
          </w:tcPr>
          <w:p w14:paraId="59DFFDF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0.40</w:t>
            </w:r>
          </w:p>
        </w:tc>
        <w:tc>
          <w:tcPr>
            <w:tcW w:w="0" w:type="auto"/>
            <w:shd w:val="clear" w:color="auto" w:fill="FFFFFF"/>
            <w:vAlign w:val="center"/>
            <w:hideMark/>
          </w:tcPr>
          <w:p w14:paraId="011DC68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0.57</w:t>
            </w:r>
          </w:p>
        </w:tc>
        <w:tc>
          <w:tcPr>
            <w:tcW w:w="0" w:type="auto"/>
            <w:shd w:val="clear" w:color="auto" w:fill="FFFFFF"/>
            <w:vAlign w:val="center"/>
            <w:hideMark/>
          </w:tcPr>
          <w:p w14:paraId="6E567A9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6AADB1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0.57</w:t>
            </w:r>
          </w:p>
        </w:tc>
        <w:tc>
          <w:tcPr>
            <w:tcW w:w="0" w:type="auto"/>
            <w:shd w:val="clear" w:color="auto" w:fill="FFFFFF"/>
            <w:vAlign w:val="center"/>
            <w:hideMark/>
          </w:tcPr>
          <w:p w14:paraId="63A4B32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0.37</w:t>
            </w:r>
          </w:p>
        </w:tc>
        <w:tc>
          <w:tcPr>
            <w:tcW w:w="0" w:type="auto"/>
            <w:shd w:val="clear" w:color="auto" w:fill="FFFFFF"/>
            <w:vAlign w:val="center"/>
            <w:hideMark/>
          </w:tcPr>
          <w:p w14:paraId="40792A1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351AA0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0.37</w:t>
            </w:r>
          </w:p>
        </w:tc>
      </w:tr>
      <w:tr w:rsidR="00C64A49" w:rsidRPr="00C64A49" w14:paraId="6A4CE866" w14:textId="77777777" w:rsidTr="00C64A49">
        <w:trPr>
          <w:tblCellSpacing w:w="0" w:type="dxa"/>
        </w:trPr>
        <w:tc>
          <w:tcPr>
            <w:tcW w:w="0" w:type="auto"/>
            <w:shd w:val="clear" w:color="auto" w:fill="FFFFFF"/>
            <w:noWrap/>
            <w:vAlign w:val="center"/>
            <w:hideMark/>
          </w:tcPr>
          <w:p w14:paraId="3443F5F8"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Net interest margin</w:t>
            </w:r>
          </w:p>
        </w:tc>
        <w:tc>
          <w:tcPr>
            <w:tcW w:w="0" w:type="auto"/>
            <w:shd w:val="clear" w:color="auto" w:fill="FFFFFF"/>
            <w:vAlign w:val="center"/>
            <w:hideMark/>
          </w:tcPr>
          <w:p w14:paraId="2E3FE9A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3.19</w:t>
            </w:r>
          </w:p>
        </w:tc>
        <w:tc>
          <w:tcPr>
            <w:tcW w:w="0" w:type="auto"/>
            <w:shd w:val="clear" w:color="auto" w:fill="FFFFFF"/>
            <w:vAlign w:val="center"/>
            <w:hideMark/>
          </w:tcPr>
          <w:p w14:paraId="64F3C59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0.40</w:t>
            </w:r>
          </w:p>
        </w:tc>
        <w:tc>
          <w:tcPr>
            <w:tcW w:w="0" w:type="auto"/>
            <w:shd w:val="clear" w:color="auto" w:fill="FFFFFF"/>
            <w:vAlign w:val="center"/>
            <w:hideMark/>
          </w:tcPr>
          <w:p w14:paraId="76EF4F5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3.27</w:t>
            </w:r>
          </w:p>
        </w:tc>
        <w:tc>
          <w:tcPr>
            <w:tcW w:w="0" w:type="auto"/>
            <w:shd w:val="clear" w:color="auto" w:fill="FFFFFF"/>
            <w:vAlign w:val="center"/>
            <w:hideMark/>
          </w:tcPr>
          <w:p w14:paraId="55C3027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3.61</w:t>
            </w:r>
          </w:p>
        </w:tc>
        <w:tc>
          <w:tcPr>
            <w:tcW w:w="0" w:type="auto"/>
            <w:shd w:val="clear" w:color="auto" w:fill="FFFFFF"/>
            <w:vAlign w:val="center"/>
            <w:hideMark/>
          </w:tcPr>
          <w:p w14:paraId="3542448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A4AE85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3.61</w:t>
            </w:r>
          </w:p>
        </w:tc>
        <w:tc>
          <w:tcPr>
            <w:tcW w:w="0" w:type="auto"/>
            <w:shd w:val="clear" w:color="auto" w:fill="FFFFFF"/>
            <w:vAlign w:val="center"/>
            <w:hideMark/>
          </w:tcPr>
          <w:p w14:paraId="36BF7B5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3.61</w:t>
            </w:r>
          </w:p>
        </w:tc>
        <w:tc>
          <w:tcPr>
            <w:tcW w:w="0" w:type="auto"/>
            <w:shd w:val="clear" w:color="auto" w:fill="FFFFFF"/>
            <w:vAlign w:val="center"/>
            <w:hideMark/>
          </w:tcPr>
          <w:p w14:paraId="6AEC760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C77C85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3.61</w:t>
            </w:r>
          </w:p>
        </w:tc>
      </w:tr>
      <w:tr w:rsidR="00C64A49" w:rsidRPr="00C64A49" w14:paraId="39898858" w14:textId="77777777" w:rsidTr="00C64A49">
        <w:trPr>
          <w:tblCellSpacing w:w="0" w:type="dxa"/>
        </w:trPr>
        <w:tc>
          <w:tcPr>
            <w:tcW w:w="0" w:type="auto"/>
            <w:shd w:val="clear" w:color="auto" w:fill="FFFFFF"/>
            <w:noWrap/>
            <w:vAlign w:val="center"/>
            <w:hideMark/>
          </w:tcPr>
          <w:p w14:paraId="237C7F80"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Noninterest income to avg. earning assets</w:t>
            </w:r>
          </w:p>
        </w:tc>
        <w:tc>
          <w:tcPr>
            <w:tcW w:w="0" w:type="auto"/>
            <w:shd w:val="clear" w:color="auto" w:fill="FFFFFF"/>
            <w:vAlign w:val="center"/>
            <w:hideMark/>
          </w:tcPr>
          <w:p w14:paraId="7A34214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0.94</w:t>
            </w:r>
          </w:p>
        </w:tc>
        <w:tc>
          <w:tcPr>
            <w:tcW w:w="0" w:type="auto"/>
            <w:shd w:val="clear" w:color="auto" w:fill="FFFFFF"/>
            <w:vAlign w:val="center"/>
            <w:hideMark/>
          </w:tcPr>
          <w:p w14:paraId="3CEE4B9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0.01</w:t>
            </w:r>
          </w:p>
        </w:tc>
        <w:tc>
          <w:tcPr>
            <w:tcW w:w="0" w:type="auto"/>
            <w:shd w:val="clear" w:color="auto" w:fill="FFFFFF"/>
            <w:vAlign w:val="center"/>
            <w:hideMark/>
          </w:tcPr>
          <w:p w14:paraId="1CD761D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0.97</w:t>
            </w:r>
          </w:p>
        </w:tc>
        <w:tc>
          <w:tcPr>
            <w:tcW w:w="0" w:type="auto"/>
            <w:shd w:val="clear" w:color="auto" w:fill="FFFFFF"/>
            <w:vAlign w:val="center"/>
            <w:hideMark/>
          </w:tcPr>
          <w:p w14:paraId="0DD1112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0.68</w:t>
            </w:r>
          </w:p>
        </w:tc>
        <w:tc>
          <w:tcPr>
            <w:tcW w:w="0" w:type="auto"/>
            <w:shd w:val="clear" w:color="auto" w:fill="FFFFFF"/>
            <w:vAlign w:val="center"/>
            <w:hideMark/>
          </w:tcPr>
          <w:p w14:paraId="288AF64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616F31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0.68</w:t>
            </w:r>
          </w:p>
        </w:tc>
        <w:tc>
          <w:tcPr>
            <w:tcW w:w="0" w:type="auto"/>
            <w:shd w:val="clear" w:color="auto" w:fill="FFFFFF"/>
            <w:vAlign w:val="center"/>
            <w:hideMark/>
          </w:tcPr>
          <w:p w14:paraId="69785F0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0.80</w:t>
            </w:r>
          </w:p>
        </w:tc>
        <w:tc>
          <w:tcPr>
            <w:tcW w:w="0" w:type="auto"/>
            <w:shd w:val="clear" w:color="auto" w:fill="FFFFFF"/>
            <w:vAlign w:val="center"/>
            <w:hideMark/>
          </w:tcPr>
          <w:p w14:paraId="49E310E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70D051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0.80</w:t>
            </w:r>
          </w:p>
        </w:tc>
      </w:tr>
      <w:tr w:rsidR="00C64A49" w:rsidRPr="00C64A49" w14:paraId="457DEFFE" w14:textId="77777777" w:rsidTr="00C64A49">
        <w:trPr>
          <w:tblCellSpacing w:w="0" w:type="dxa"/>
        </w:trPr>
        <w:tc>
          <w:tcPr>
            <w:tcW w:w="0" w:type="auto"/>
            <w:shd w:val="clear" w:color="auto" w:fill="FFFFFF"/>
            <w:noWrap/>
            <w:vAlign w:val="center"/>
            <w:hideMark/>
          </w:tcPr>
          <w:p w14:paraId="6C405FE6"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Noninterest expense to avg. earning assets</w:t>
            </w:r>
          </w:p>
        </w:tc>
        <w:tc>
          <w:tcPr>
            <w:tcW w:w="0" w:type="auto"/>
            <w:shd w:val="clear" w:color="auto" w:fill="FFFFFF"/>
            <w:vAlign w:val="center"/>
            <w:hideMark/>
          </w:tcPr>
          <w:p w14:paraId="7CABE2C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3.67</w:t>
            </w:r>
          </w:p>
        </w:tc>
        <w:tc>
          <w:tcPr>
            <w:tcW w:w="0" w:type="auto"/>
            <w:shd w:val="clear" w:color="auto" w:fill="FFFFFF"/>
            <w:vAlign w:val="center"/>
            <w:hideMark/>
          </w:tcPr>
          <w:p w14:paraId="6927DF9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5.77</w:t>
            </w:r>
          </w:p>
        </w:tc>
        <w:tc>
          <w:tcPr>
            <w:tcW w:w="0" w:type="auto"/>
            <w:shd w:val="clear" w:color="auto" w:fill="FFFFFF"/>
            <w:vAlign w:val="center"/>
            <w:hideMark/>
          </w:tcPr>
          <w:p w14:paraId="39BA2C2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3.61</w:t>
            </w:r>
          </w:p>
        </w:tc>
        <w:tc>
          <w:tcPr>
            <w:tcW w:w="0" w:type="auto"/>
            <w:shd w:val="clear" w:color="auto" w:fill="FFFFFF"/>
            <w:vAlign w:val="center"/>
            <w:hideMark/>
          </w:tcPr>
          <w:p w14:paraId="363BBA4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3.64</w:t>
            </w:r>
          </w:p>
        </w:tc>
        <w:tc>
          <w:tcPr>
            <w:tcW w:w="0" w:type="auto"/>
            <w:shd w:val="clear" w:color="auto" w:fill="FFFFFF"/>
            <w:vAlign w:val="center"/>
            <w:hideMark/>
          </w:tcPr>
          <w:p w14:paraId="2C65991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0AF181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3.64</w:t>
            </w:r>
          </w:p>
        </w:tc>
        <w:tc>
          <w:tcPr>
            <w:tcW w:w="0" w:type="auto"/>
            <w:shd w:val="clear" w:color="auto" w:fill="FFFFFF"/>
            <w:vAlign w:val="center"/>
            <w:hideMark/>
          </w:tcPr>
          <w:p w14:paraId="683D0E0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3.81</w:t>
            </w:r>
          </w:p>
        </w:tc>
        <w:tc>
          <w:tcPr>
            <w:tcW w:w="0" w:type="auto"/>
            <w:shd w:val="clear" w:color="auto" w:fill="FFFFFF"/>
            <w:vAlign w:val="center"/>
            <w:hideMark/>
          </w:tcPr>
          <w:p w14:paraId="095078F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F3E563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3.81</w:t>
            </w:r>
          </w:p>
        </w:tc>
      </w:tr>
      <w:tr w:rsidR="00C64A49" w:rsidRPr="00C64A49" w14:paraId="618C4288" w14:textId="77777777" w:rsidTr="00C64A49">
        <w:trPr>
          <w:tblCellSpacing w:w="0" w:type="dxa"/>
        </w:trPr>
        <w:tc>
          <w:tcPr>
            <w:tcW w:w="0" w:type="auto"/>
            <w:shd w:val="clear" w:color="auto" w:fill="FFFFFF"/>
            <w:noWrap/>
            <w:vAlign w:val="center"/>
            <w:hideMark/>
          </w:tcPr>
          <w:p w14:paraId="0B6CBAB8"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Net charge-offs to loans &amp; leases</w:t>
            </w:r>
          </w:p>
        </w:tc>
        <w:tc>
          <w:tcPr>
            <w:tcW w:w="0" w:type="auto"/>
            <w:shd w:val="clear" w:color="auto" w:fill="FFFFFF"/>
            <w:vAlign w:val="center"/>
            <w:hideMark/>
          </w:tcPr>
          <w:p w14:paraId="6543D75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0.03</w:t>
            </w:r>
          </w:p>
        </w:tc>
        <w:tc>
          <w:tcPr>
            <w:tcW w:w="0" w:type="auto"/>
            <w:shd w:val="clear" w:color="auto" w:fill="FFFFFF"/>
            <w:vAlign w:val="center"/>
            <w:hideMark/>
          </w:tcPr>
          <w:p w14:paraId="76A9352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0.00</w:t>
            </w:r>
          </w:p>
        </w:tc>
        <w:tc>
          <w:tcPr>
            <w:tcW w:w="0" w:type="auto"/>
            <w:shd w:val="clear" w:color="auto" w:fill="FFFFFF"/>
            <w:vAlign w:val="center"/>
            <w:hideMark/>
          </w:tcPr>
          <w:p w14:paraId="54688EA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0.04</w:t>
            </w:r>
          </w:p>
        </w:tc>
        <w:tc>
          <w:tcPr>
            <w:tcW w:w="0" w:type="auto"/>
            <w:shd w:val="clear" w:color="auto" w:fill="FFFFFF"/>
            <w:vAlign w:val="center"/>
            <w:hideMark/>
          </w:tcPr>
          <w:p w14:paraId="4A36729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0.00</w:t>
            </w:r>
          </w:p>
        </w:tc>
        <w:tc>
          <w:tcPr>
            <w:tcW w:w="0" w:type="auto"/>
            <w:shd w:val="clear" w:color="auto" w:fill="FFFFFF"/>
            <w:vAlign w:val="center"/>
            <w:hideMark/>
          </w:tcPr>
          <w:p w14:paraId="25D5F7D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C920B2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0.00</w:t>
            </w:r>
          </w:p>
        </w:tc>
        <w:tc>
          <w:tcPr>
            <w:tcW w:w="0" w:type="auto"/>
            <w:shd w:val="clear" w:color="auto" w:fill="FFFFFF"/>
            <w:vAlign w:val="center"/>
            <w:hideMark/>
          </w:tcPr>
          <w:p w14:paraId="29C2063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0.03</w:t>
            </w:r>
          </w:p>
        </w:tc>
        <w:tc>
          <w:tcPr>
            <w:tcW w:w="0" w:type="auto"/>
            <w:shd w:val="clear" w:color="auto" w:fill="FFFFFF"/>
            <w:vAlign w:val="center"/>
            <w:hideMark/>
          </w:tcPr>
          <w:p w14:paraId="1376722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205549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0.03</w:t>
            </w:r>
          </w:p>
        </w:tc>
      </w:tr>
      <w:tr w:rsidR="00C64A49" w:rsidRPr="00C64A49" w14:paraId="12011650" w14:textId="77777777" w:rsidTr="00C64A49">
        <w:trPr>
          <w:tblCellSpacing w:w="0" w:type="dxa"/>
        </w:trPr>
        <w:tc>
          <w:tcPr>
            <w:tcW w:w="0" w:type="auto"/>
            <w:shd w:val="clear" w:color="auto" w:fill="FFFFFF"/>
            <w:noWrap/>
            <w:vAlign w:val="center"/>
            <w:hideMark/>
          </w:tcPr>
          <w:p w14:paraId="5CE15563"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Credit-loss provision to net charge-offs</w:t>
            </w:r>
          </w:p>
        </w:tc>
        <w:tc>
          <w:tcPr>
            <w:tcW w:w="0" w:type="auto"/>
            <w:shd w:val="clear" w:color="auto" w:fill="FFFFFF"/>
            <w:vAlign w:val="center"/>
            <w:hideMark/>
          </w:tcPr>
          <w:p w14:paraId="4B95AC1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1,731.45</w:t>
            </w:r>
          </w:p>
        </w:tc>
        <w:tc>
          <w:tcPr>
            <w:tcW w:w="0" w:type="auto"/>
            <w:shd w:val="clear" w:color="auto" w:fill="FFFFFF"/>
            <w:vAlign w:val="center"/>
            <w:hideMark/>
          </w:tcPr>
          <w:p w14:paraId="47F7516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5FBE4D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1,630.65</w:t>
            </w:r>
          </w:p>
        </w:tc>
        <w:tc>
          <w:tcPr>
            <w:tcW w:w="0" w:type="auto"/>
            <w:shd w:val="clear" w:color="auto" w:fill="FFFFFF"/>
            <w:vAlign w:val="center"/>
            <w:hideMark/>
          </w:tcPr>
          <w:p w14:paraId="5B86096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-488.89</w:t>
            </w:r>
          </w:p>
        </w:tc>
        <w:tc>
          <w:tcPr>
            <w:tcW w:w="0" w:type="auto"/>
            <w:shd w:val="clear" w:color="auto" w:fill="FFFFFF"/>
            <w:vAlign w:val="center"/>
            <w:hideMark/>
          </w:tcPr>
          <w:p w14:paraId="4024A33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8956DA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-488.89</w:t>
            </w:r>
          </w:p>
        </w:tc>
        <w:tc>
          <w:tcPr>
            <w:tcW w:w="0" w:type="auto"/>
            <w:shd w:val="clear" w:color="auto" w:fill="FFFFFF"/>
            <w:vAlign w:val="center"/>
            <w:hideMark/>
          </w:tcPr>
          <w:p w14:paraId="779CC49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340.27</w:t>
            </w:r>
          </w:p>
        </w:tc>
        <w:tc>
          <w:tcPr>
            <w:tcW w:w="0" w:type="auto"/>
            <w:shd w:val="clear" w:color="auto" w:fill="FFFFFF"/>
            <w:vAlign w:val="center"/>
            <w:hideMark/>
          </w:tcPr>
          <w:p w14:paraId="542E805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6FD646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340.27</w:t>
            </w:r>
          </w:p>
        </w:tc>
      </w:tr>
      <w:tr w:rsidR="00C64A49" w:rsidRPr="00C64A49" w14:paraId="35D64C70" w14:textId="77777777" w:rsidTr="00C64A49">
        <w:trPr>
          <w:tblCellSpacing w:w="0" w:type="dxa"/>
        </w:trPr>
        <w:tc>
          <w:tcPr>
            <w:tcW w:w="0" w:type="auto"/>
            <w:shd w:val="clear" w:color="auto" w:fill="FFFFFF"/>
            <w:noWrap/>
            <w:vAlign w:val="center"/>
            <w:hideMark/>
          </w:tcPr>
          <w:p w14:paraId="4EC1C790"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Net operating income to average assets</w:t>
            </w:r>
          </w:p>
        </w:tc>
        <w:tc>
          <w:tcPr>
            <w:tcW w:w="0" w:type="auto"/>
            <w:shd w:val="clear" w:color="auto" w:fill="FFFFFF"/>
            <w:vAlign w:val="center"/>
            <w:hideMark/>
          </w:tcPr>
          <w:p w14:paraId="7B11CA9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0.00</w:t>
            </w:r>
          </w:p>
        </w:tc>
        <w:tc>
          <w:tcPr>
            <w:tcW w:w="0" w:type="auto"/>
            <w:shd w:val="clear" w:color="auto" w:fill="FFFFFF"/>
            <w:vAlign w:val="center"/>
            <w:hideMark/>
          </w:tcPr>
          <w:p w14:paraId="7496A0B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-5.48</w:t>
            </w:r>
          </w:p>
        </w:tc>
        <w:tc>
          <w:tcPr>
            <w:tcW w:w="0" w:type="auto"/>
            <w:shd w:val="clear" w:color="auto" w:fill="FFFFFF"/>
            <w:vAlign w:val="center"/>
            <w:hideMark/>
          </w:tcPr>
          <w:p w14:paraId="51A0181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0.17</w:t>
            </w:r>
          </w:p>
        </w:tc>
        <w:tc>
          <w:tcPr>
            <w:tcW w:w="0" w:type="auto"/>
            <w:shd w:val="clear" w:color="auto" w:fill="FFFFFF"/>
            <w:vAlign w:val="center"/>
            <w:hideMark/>
          </w:tcPr>
          <w:p w14:paraId="05C9308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0.45</w:t>
            </w:r>
          </w:p>
        </w:tc>
        <w:tc>
          <w:tcPr>
            <w:tcW w:w="0" w:type="auto"/>
            <w:shd w:val="clear" w:color="auto" w:fill="FFFFFF"/>
            <w:vAlign w:val="center"/>
            <w:hideMark/>
          </w:tcPr>
          <w:p w14:paraId="1258774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6E4A16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0.45</w:t>
            </w:r>
          </w:p>
        </w:tc>
        <w:tc>
          <w:tcPr>
            <w:tcW w:w="0" w:type="auto"/>
            <w:shd w:val="clear" w:color="auto" w:fill="FFFFFF"/>
            <w:vAlign w:val="center"/>
            <w:hideMark/>
          </w:tcPr>
          <w:p w14:paraId="6C10D89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0.38</w:t>
            </w:r>
          </w:p>
        </w:tc>
        <w:tc>
          <w:tcPr>
            <w:tcW w:w="0" w:type="auto"/>
            <w:shd w:val="clear" w:color="auto" w:fill="FFFFFF"/>
            <w:vAlign w:val="center"/>
            <w:hideMark/>
          </w:tcPr>
          <w:p w14:paraId="5D52E3F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00047F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0.38</w:t>
            </w:r>
          </w:p>
        </w:tc>
      </w:tr>
      <w:tr w:rsidR="00C64A49" w:rsidRPr="00C64A49" w14:paraId="06046744" w14:textId="77777777" w:rsidTr="00C64A49">
        <w:trPr>
          <w:tblCellSpacing w:w="0" w:type="dxa"/>
        </w:trPr>
        <w:tc>
          <w:tcPr>
            <w:tcW w:w="0" w:type="auto"/>
            <w:shd w:val="clear" w:color="auto" w:fill="FFFFFF"/>
            <w:noWrap/>
            <w:vAlign w:val="center"/>
            <w:hideMark/>
          </w:tcPr>
          <w:p w14:paraId="793F3FDF"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Retained earnings to average equity</w:t>
            </w:r>
          </w:p>
        </w:tc>
        <w:tc>
          <w:tcPr>
            <w:tcW w:w="0" w:type="auto"/>
            <w:shd w:val="clear" w:color="auto" w:fill="FFFFFF"/>
            <w:vAlign w:val="center"/>
            <w:hideMark/>
          </w:tcPr>
          <w:p w14:paraId="0A82506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0.31</w:t>
            </w:r>
          </w:p>
        </w:tc>
        <w:tc>
          <w:tcPr>
            <w:tcW w:w="0" w:type="auto"/>
            <w:shd w:val="clear" w:color="auto" w:fill="FFFFFF"/>
            <w:vAlign w:val="center"/>
            <w:hideMark/>
          </w:tcPr>
          <w:p w14:paraId="4452C1E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-9.00</w:t>
            </w:r>
          </w:p>
        </w:tc>
        <w:tc>
          <w:tcPr>
            <w:tcW w:w="0" w:type="auto"/>
            <w:shd w:val="clear" w:color="auto" w:fill="FFFFFF"/>
            <w:vAlign w:val="center"/>
            <w:hideMark/>
          </w:tcPr>
          <w:p w14:paraId="35E58FE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2.35</w:t>
            </w:r>
          </w:p>
        </w:tc>
        <w:tc>
          <w:tcPr>
            <w:tcW w:w="0" w:type="auto"/>
            <w:shd w:val="clear" w:color="auto" w:fill="FFFFFF"/>
            <w:vAlign w:val="center"/>
            <w:hideMark/>
          </w:tcPr>
          <w:p w14:paraId="42CDD08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4.18</w:t>
            </w:r>
          </w:p>
        </w:tc>
        <w:tc>
          <w:tcPr>
            <w:tcW w:w="0" w:type="auto"/>
            <w:shd w:val="clear" w:color="auto" w:fill="FFFFFF"/>
            <w:vAlign w:val="center"/>
            <w:hideMark/>
          </w:tcPr>
          <w:p w14:paraId="6CC6B04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D66563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4.18</w:t>
            </w:r>
          </w:p>
        </w:tc>
        <w:tc>
          <w:tcPr>
            <w:tcW w:w="0" w:type="auto"/>
            <w:shd w:val="clear" w:color="auto" w:fill="FFFFFF"/>
            <w:vAlign w:val="center"/>
            <w:hideMark/>
          </w:tcPr>
          <w:p w14:paraId="7A06202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2.71</w:t>
            </w:r>
          </w:p>
        </w:tc>
        <w:tc>
          <w:tcPr>
            <w:tcW w:w="0" w:type="auto"/>
            <w:shd w:val="clear" w:color="auto" w:fill="FFFFFF"/>
            <w:vAlign w:val="center"/>
            <w:hideMark/>
          </w:tcPr>
          <w:p w14:paraId="580D078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6E7CF3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2.71</w:t>
            </w:r>
          </w:p>
        </w:tc>
      </w:tr>
      <w:tr w:rsidR="00C64A49" w:rsidRPr="00C64A49" w14:paraId="2E2DEC60" w14:textId="77777777" w:rsidTr="00C64A49">
        <w:trPr>
          <w:tblCellSpacing w:w="0" w:type="dxa"/>
        </w:trPr>
        <w:tc>
          <w:tcPr>
            <w:tcW w:w="0" w:type="auto"/>
            <w:shd w:val="clear" w:color="auto" w:fill="FFFFFF"/>
            <w:noWrap/>
            <w:vAlign w:val="center"/>
            <w:hideMark/>
          </w:tcPr>
          <w:p w14:paraId="71FA54B9" w14:textId="77777777" w:rsidR="00C64A49" w:rsidRPr="00C64A49" w:rsidRDefault="00C64A49" w:rsidP="00C64A49">
            <w:pPr>
              <w:spacing w:after="0" w:line="240" w:lineRule="auto"/>
              <w:rPr>
                <w:rFonts w:ascii="Arial" w:eastAsia="Times New Roman" w:hAnsi="Arial" w:cs="Arial"/>
                <w:sz w:val="20"/>
                <w:szCs w:val="20"/>
              </w:rPr>
            </w:pPr>
            <w:proofErr w:type="spellStart"/>
            <w:r w:rsidRPr="00C64A49">
              <w:rPr>
                <w:rFonts w:ascii="Arial" w:eastAsia="Times New Roman" w:hAnsi="Arial" w:cs="Arial"/>
                <w:sz w:val="15"/>
                <w:szCs w:val="15"/>
              </w:rPr>
              <w:t>Pre tax</w:t>
            </w:r>
            <w:proofErr w:type="spellEnd"/>
            <w:r w:rsidRPr="00C64A49">
              <w:rPr>
                <w:rFonts w:ascii="Arial" w:eastAsia="Times New Roman" w:hAnsi="Arial" w:cs="Arial"/>
                <w:sz w:val="15"/>
                <w:szCs w:val="15"/>
              </w:rPr>
              <w:t xml:space="preserve"> return on assets</w:t>
            </w:r>
          </w:p>
        </w:tc>
        <w:tc>
          <w:tcPr>
            <w:tcW w:w="0" w:type="auto"/>
            <w:shd w:val="clear" w:color="auto" w:fill="FFFFFF"/>
            <w:vAlign w:val="center"/>
            <w:hideMark/>
          </w:tcPr>
          <w:p w14:paraId="2B911FD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0.17</w:t>
            </w:r>
          </w:p>
        </w:tc>
        <w:tc>
          <w:tcPr>
            <w:tcW w:w="0" w:type="auto"/>
            <w:shd w:val="clear" w:color="auto" w:fill="FFFFFF"/>
            <w:vAlign w:val="center"/>
            <w:hideMark/>
          </w:tcPr>
          <w:p w14:paraId="797E49E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-5.48</w:t>
            </w:r>
          </w:p>
        </w:tc>
        <w:tc>
          <w:tcPr>
            <w:tcW w:w="0" w:type="auto"/>
            <w:shd w:val="clear" w:color="auto" w:fill="FFFFFF"/>
            <w:vAlign w:val="center"/>
            <w:hideMark/>
          </w:tcPr>
          <w:p w14:paraId="7CE5E68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0.34</w:t>
            </w:r>
          </w:p>
        </w:tc>
        <w:tc>
          <w:tcPr>
            <w:tcW w:w="0" w:type="auto"/>
            <w:shd w:val="clear" w:color="auto" w:fill="FFFFFF"/>
            <w:vAlign w:val="center"/>
            <w:hideMark/>
          </w:tcPr>
          <w:p w14:paraId="1AC8B6B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0.58</w:t>
            </w:r>
          </w:p>
        </w:tc>
        <w:tc>
          <w:tcPr>
            <w:tcW w:w="0" w:type="auto"/>
            <w:shd w:val="clear" w:color="auto" w:fill="FFFFFF"/>
            <w:vAlign w:val="center"/>
            <w:hideMark/>
          </w:tcPr>
          <w:p w14:paraId="2116217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90F62D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0.58</w:t>
            </w:r>
          </w:p>
        </w:tc>
        <w:tc>
          <w:tcPr>
            <w:tcW w:w="0" w:type="auto"/>
            <w:shd w:val="clear" w:color="auto" w:fill="FFFFFF"/>
            <w:vAlign w:val="center"/>
            <w:hideMark/>
          </w:tcPr>
          <w:p w14:paraId="0E4EE4C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0.43</w:t>
            </w:r>
          </w:p>
        </w:tc>
        <w:tc>
          <w:tcPr>
            <w:tcW w:w="0" w:type="auto"/>
            <w:shd w:val="clear" w:color="auto" w:fill="FFFFFF"/>
            <w:vAlign w:val="center"/>
            <w:hideMark/>
          </w:tcPr>
          <w:p w14:paraId="03ABCC5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0CAC67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0.43</w:t>
            </w:r>
          </w:p>
        </w:tc>
      </w:tr>
      <w:tr w:rsidR="00C64A49" w:rsidRPr="00C64A49" w14:paraId="3B16F5F2" w14:textId="77777777" w:rsidTr="00C64A49">
        <w:trPr>
          <w:tblCellSpacing w:w="0" w:type="dxa"/>
        </w:trPr>
        <w:tc>
          <w:tcPr>
            <w:tcW w:w="0" w:type="auto"/>
            <w:shd w:val="clear" w:color="auto" w:fill="FFFFFF"/>
            <w:noWrap/>
            <w:vAlign w:val="center"/>
            <w:hideMark/>
          </w:tcPr>
          <w:p w14:paraId="32D1EAA1"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Return on assets</w:t>
            </w:r>
          </w:p>
        </w:tc>
        <w:tc>
          <w:tcPr>
            <w:tcW w:w="0" w:type="auto"/>
            <w:shd w:val="clear" w:color="auto" w:fill="FFFFFF"/>
            <w:vAlign w:val="center"/>
            <w:hideMark/>
          </w:tcPr>
          <w:p w14:paraId="3A22EE7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0.08</w:t>
            </w:r>
          </w:p>
        </w:tc>
        <w:tc>
          <w:tcPr>
            <w:tcW w:w="0" w:type="auto"/>
            <w:shd w:val="clear" w:color="auto" w:fill="FFFFFF"/>
            <w:vAlign w:val="center"/>
            <w:hideMark/>
          </w:tcPr>
          <w:p w14:paraId="69232C1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-5.48</w:t>
            </w:r>
          </w:p>
        </w:tc>
        <w:tc>
          <w:tcPr>
            <w:tcW w:w="0" w:type="auto"/>
            <w:shd w:val="clear" w:color="auto" w:fill="FFFFFF"/>
            <w:vAlign w:val="center"/>
            <w:hideMark/>
          </w:tcPr>
          <w:p w14:paraId="0560290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0.25</w:t>
            </w:r>
          </w:p>
        </w:tc>
        <w:tc>
          <w:tcPr>
            <w:tcW w:w="0" w:type="auto"/>
            <w:shd w:val="clear" w:color="auto" w:fill="FFFFFF"/>
            <w:vAlign w:val="center"/>
            <w:hideMark/>
          </w:tcPr>
          <w:p w14:paraId="5513D3B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0.43</w:t>
            </w:r>
          </w:p>
        </w:tc>
        <w:tc>
          <w:tcPr>
            <w:tcW w:w="0" w:type="auto"/>
            <w:shd w:val="clear" w:color="auto" w:fill="FFFFFF"/>
            <w:vAlign w:val="center"/>
            <w:hideMark/>
          </w:tcPr>
          <w:p w14:paraId="74AE780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43EE51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0.43</w:t>
            </w:r>
          </w:p>
        </w:tc>
        <w:tc>
          <w:tcPr>
            <w:tcW w:w="0" w:type="auto"/>
            <w:shd w:val="clear" w:color="auto" w:fill="FFFFFF"/>
            <w:vAlign w:val="center"/>
            <w:hideMark/>
          </w:tcPr>
          <w:p w14:paraId="5BE70FF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0.31</w:t>
            </w:r>
          </w:p>
        </w:tc>
        <w:tc>
          <w:tcPr>
            <w:tcW w:w="0" w:type="auto"/>
            <w:shd w:val="clear" w:color="auto" w:fill="FFFFFF"/>
            <w:vAlign w:val="center"/>
            <w:hideMark/>
          </w:tcPr>
          <w:p w14:paraId="4A5BB56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B4AAE8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0.31</w:t>
            </w:r>
          </w:p>
        </w:tc>
      </w:tr>
      <w:tr w:rsidR="00C64A49" w:rsidRPr="00C64A49" w14:paraId="5E133DFC" w14:textId="77777777" w:rsidTr="00C64A49">
        <w:trPr>
          <w:tblCellSpacing w:w="0" w:type="dxa"/>
        </w:trPr>
        <w:tc>
          <w:tcPr>
            <w:tcW w:w="0" w:type="auto"/>
            <w:shd w:val="clear" w:color="auto" w:fill="FFFFFF"/>
            <w:noWrap/>
            <w:vAlign w:val="center"/>
            <w:hideMark/>
          </w:tcPr>
          <w:p w14:paraId="7AE60A85"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Return on equity</w:t>
            </w:r>
          </w:p>
        </w:tc>
        <w:tc>
          <w:tcPr>
            <w:tcW w:w="0" w:type="auto"/>
            <w:shd w:val="clear" w:color="auto" w:fill="FFFFFF"/>
            <w:vAlign w:val="center"/>
            <w:hideMark/>
          </w:tcPr>
          <w:p w14:paraId="662E86B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0.79</w:t>
            </w:r>
          </w:p>
        </w:tc>
        <w:tc>
          <w:tcPr>
            <w:tcW w:w="0" w:type="auto"/>
            <w:shd w:val="clear" w:color="auto" w:fill="FFFFFF"/>
            <w:vAlign w:val="center"/>
            <w:hideMark/>
          </w:tcPr>
          <w:p w14:paraId="21F280E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-9.00</w:t>
            </w:r>
          </w:p>
        </w:tc>
        <w:tc>
          <w:tcPr>
            <w:tcW w:w="0" w:type="auto"/>
            <w:shd w:val="clear" w:color="auto" w:fill="FFFFFF"/>
            <w:vAlign w:val="center"/>
            <w:hideMark/>
          </w:tcPr>
          <w:p w14:paraId="6F49069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2.94</w:t>
            </w:r>
          </w:p>
        </w:tc>
        <w:tc>
          <w:tcPr>
            <w:tcW w:w="0" w:type="auto"/>
            <w:shd w:val="clear" w:color="auto" w:fill="FFFFFF"/>
            <w:vAlign w:val="center"/>
            <w:hideMark/>
          </w:tcPr>
          <w:p w14:paraId="5F8FEBA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4.82</w:t>
            </w:r>
          </w:p>
        </w:tc>
        <w:tc>
          <w:tcPr>
            <w:tcW w:w="0" w:type="auto"/>
            <w:shd w:val="clear" w:color="auto" w:fill="FFFFFF"/>
            <w:vAlign w:val="center"/>
            <w:hideMark/>
          </w:tcPr>
          <w:p w14:paraId="2F4F990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BAE0F4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4.82</w:t>
            </w:r>
          </w:p>
        </w:tc>
        <w:tc>
          <w:tcPr>
            <w:tcW w:w="0" w:type="auto"/>
            <w:shd w:val="clear" w:color="auto" w:fill="FFFFFF"/>
            <w:vAlign w:val="center"/>
            <w:hideMark/>
          </w:tcPr>
          <w:p w14:paraId="7F8C4AE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3.35</w:t>
            </w:r>
          </w:p>
        </w:tc>
        <w:tc>
          <w:tcPr>
            <w:tcW w:w="0" w:type="auto"/>
            <w:shd w:val="clear" w:color="auto" w:fill="FFFFFF"/>
            <w:vAlign w:val="center"/>
            <w:hideMark/>
          </w:tcPr>
          <w:p w14:paraId="4421E69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398201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3.35</w:t>
            </w:r>
          </w:p>
        </w:tc>
      </w:tr>
      <w:tr w:rsidR="00C64A49" w:rsidRPr="00C64A49" w14:paraId="129BC5EE" w14:textId="77777777" w:rsidTr="00C64A49">
        <w:trPr>
          <w:tblCellSpacing w:w="0" w:type="dxa"/>
        </w:trPr>
        <w:tc>
          <w:tcPr>
            <w:tcW w:w="0" w:type="auto"/>
            <w:shd w:val="clear" w:color="auto" w:fill="FFFFFF"/>
            <w:noWrap/>
            <w:vAlign w:val="center"/>
            <w:hideMark/>
          </w:tcPr>
          <w:p w14:paraId="233DD885"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Percent of unprofitable institutions</w:t>
            </w:r>
          </w:p>
        </w:tc>
        <w:tc>
          <w:tcPr>
            <w:tcW w:w="0" w:type="auto"/>
            <w:shd w:val="clear" w:color="auto" w:fill="FFFFFF"/>
            <w:vAlign w:val="center"/>
            <w:hideMark/>
          </w:tcPr>
          <w:p w14:paraId="16A8365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25.00</w:t>
            </w:r>
          </w:p>
        </w:tc>
        <w:tc>
          <w:tcPr>
            <w:tcW w:w="0" w:type="auto"/>
            <w:shd w:val="clear" w:color="auto" w:fill="FFFFFF"/>
            <w:vAlign w:val="center"/>
            <w:hideMark/>
          </w:tcPr>
          <w:p w14:paraId="4E39812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100.00</w:t>
            </w:r>
          </w:p>
        </w:tc>
        <w:tc>
          <w:tcPr>
            <w:tcW w:w="0" w:type="auto"/>
            <w:shd w:val="clear" w:color="auto" w:fill="FFFFFF"/>
            <w:vAlign w:val="center"/>
            <w:hideMark/>
          </w:tcPr>
          <w:p w14:paraId="0F1C449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A80B1D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632920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D187D4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F8B77E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4844BC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25B461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6BEAB23A" w14:textId="77777777" w:rsidTr="00C64A49">
        <w:trPr>
          <w:tblCellSpacing w:w="0" w:type="dxa"/>
        </w:trPr>
        <w:tc>
          <w:tcPr>
            <w:tcW w:w="0" w:type="auto"/>
            <w:shd w:val="clear" w:color="auto" w:fill="FFFFFF"/>
            <w:noWrap/>
            <w:vAlign w:val="center"/>
            <w:hideMark/>
          </w:tcPr>
          <w:p w14:paraId="7D05076F"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Percent of institutions with earning gains</w:t>
            </w:r>
          </w:p>
        </w:tc>
        <w:tc>
          <w:tcPr>
            <w:tcW w:w="0" w:type="auto"/>
            <w:shd w:val="clear" w:color="auto" w:fill="FFFFFF"/>
            <w:vAlign w:val="center"/>
            <w:hideMark/>
          </w:tcPr>
          <w:p w14:paraId="44FB349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41C99A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83EB87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937742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100.00</w:t>
            </w:r>
          </w:p>
        </w:tc>
        <w:tc>
          <w:tcPr>
            <w:tcW w:w="0" w:type="auto"/>
            <w:shd w:val="clear" w:color="auto" w:fill="FFFFFF"/>
            <w:vAlign w:val="center"/>
            <w:hideMark/>
          </w:tcPr>
          <w:p w14:paraId="0F712FC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443A79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100.00</w:t>
            </w:r>
          </w:p>
        </w:tc>
        <w:tc>
          <w:tcPr>
            <w:tcW w:w="0" w:type="auto"/>
            <w:shd w:val="clear" w:color="auto" w:fill="FFFFFF"/>
            <w:vAlign w:val="center"/>
            <w:hideMark/>
          </w:tcPr>
          <w:p w14:paraId="327FFBD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2EDD16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8875C3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1BC84DFF" w14:textId="77777777" w:rsidTr="00C64A49">
        <w:trPr>
          <w:tblCellSpacing w:w="0" w:type="dxa"/>
        </w:trPr>
        <w:tc>
          <w:tcPr>
            <w:tcW w:w="0" w:type="auto"/>
            <w:shd w:val="clear" w:color="auto" w:fill="FFFFFF"/>
            <w:noWrap/>
            <w:vAlign w:val="center"/>
            <w:hideMark/>
          </w:tcPr>
          <w:p w14:paraId="25C45701"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b/>
                <w:bCs/>
                <w:sz w:val="15"/>
                <w:szCs w:val="15"/>
              </w:rPr>
              <w:t>CONDITION RATIOS (%)</w:t>
            </w:r>
          </w:p>
        </w:tc>
        <w:tc>
          <w:tcPr>
            <w:tcW w:w="0" w:type="auto"/>
            <w:shd w:val="clear" w:color="auto" w:fill="FFFFFF"/>
            <w:vAlign w:val="center"/>
            <w:hideMark/>
          </w:tcPr>
          <w:p w14:paraId="784A859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DF510C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D92AC5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EEA68F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1C979A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94D2F7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123F29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B1DF0A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6A53AA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54B1E415" w14:textId="77777777" w:rsidTr="00C64A49">
        <w:trPr>
          <w:tblCellSpacing w:w="0" w:type="dxa"/>
        </w:trPr>
        <w:tc>
          <w:tcPr>
            <w:tcW w:w="0" w:type="auto"/>
            <w:shd w:val="clear" w:color="auto" w:fill="FFFFFF"/>
            <w:noWrap/>
            <w:vAlign w:val="center"/>
            <w:hideMark/>
          </w:tcPr>
          <w:p w14:paraId="6E64F8FD"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Net loans and leases to assets</w:t>
            </w:r>
          </w:p>
        </w:tc>
        <w:tc>
          <w:tcPr>
            <w:tcW w:w="0" w:type="auto"/>
            <w:shd w:val="clear" w:color="auto" w:fill="FFFFFF"/>
            <w:vAlign w:val="center"/>
            <w:hideMark/>
          </w:tcPr>
          <w:p w14:paraId="32B0FB7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63.66</w:t>
            </w:r>
          </w:p>
        </w:tc>
        <w:tc>
          <w:tcPr>
            <w:tcW w:w="0" w:type="auto"/>
            <w:shd w:val="clear" w:color="auto" w:fill="FFFFFF"/>
            <w:vAlign w:val="center"/>
            <w:hideMark/>
          </w:tcPr>
          <w:p w14:paraId="4AAB0FD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34.09</w:t>
            </w:r>
          </w:p>
        </w:tc>
        <w:tc>
          <w:tcPr>
            <w:tcW w:w="0" w:type="auto"/>
            <w:shd w:val="clear" w:color="auto" w:fill="FFFFFF"/>
            <w:vAlign w:val="center"/>
            <w:hideMark/>
          </w:tcPr>
          <w:p w14:paraId="1F8C8E1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64.84</w:t>
            </w:r>
          </w:p>
        </w:tc>
        <w:tc>
          <w:tcPr>
            <w:tcW w:w="0" w:type="auto"/>
            <w:shd w:val="clear" w:color="auto" w:fill="FFFFFF"/>
            <w:vAlign w:val="center"/>
            <w:hideMark/>
          </w:tcPr>
          <w:p w14:paraId="6E34DFE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61.82</w:t>
            </w:r>
          </w:p>
        </w:tc>
        <w:tc>
          <w:tcPr>
            <w:tcW w:w="0" w:type="auto"/>
            <w:shd w:val="clear" w:color="auto" w:fill="FFFFFF"/>
            <w:vAlign w:val="center"/>
            <w:hideMark/>
          </w:tcPr>
          <w:p w14:paraId="7D7E73E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732A1E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61.82</w:t>
            </w:r>
          </w:p>
        </w:tc>
        <w:tc>
          <w:tcPr>
            <w:tcW w:w="0" w:type="auto"/>
            <w:shd w:val="clear" w:color="auto" w:fill="FFFFFF"/>
            <w:vAlign w:val="center"/>
            <w:hideMark/>
          </w:tcPr>
          <w:p w14:paraId="6C7A853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62.45</w:t>
            </w:r>
          </w:p>
        </w:tc>
        <w:tc>
          <w:tcPr>
            <w:tcW w:w="0" w:type="auto"/>
            <w:shd w:val="clear" w:color="auto" w:fill="FFFFFF"/>
            <w:vAlign w:val="center"/>
            <w:hideMark/>
          </w:tcPr>
          <w:p w14:paraId="33558EE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457505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62.45</w:t>
            </w:r>
          </w:p>
        </w:tc>
      </w:tr>
      <w:tr w:rsidR="00C64A49" w:rsidRPr="00C64A49" w14:paraId="4451C713" w14:textId="77777777" w:rsidTr="00C64A49">
        <w:trPr>
          <w:tblCellSpacing w:w="0" w:type="dxa"/>
        </w:trPr>
        <w:tc>
          <w:tcPr>
            <w:tcW w:w="0" w:type="auto"/>
            <w:shd w:val="clear" w:color="auto" w:fill="FFFFFF"/>
            <w:noWrap/>
            <w:vAlign w:val="center"/>
            <w:hideMark/>
          </w:tcPr>
          <w:p w14:paraId="4787E8BF"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Loss allowance to:</w:t>
            </w:r>
          </w:p>
        </w:tc>
        <w:tc>
          <w:tcPr>
            <w:tcW w:w="0" w:type="auto"/>
            <w:shd w:val="clear" w:color="auto" w:fill="FFFFFF"/>
            <w:vAlign w:val="center"/>
            <w:hideMark/>
          </w:tcPr>
          <w:p w14:paraId="43F8CF8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B3EA70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D9B168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1BC287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A69149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C483AC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A03AE2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A3DAB9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AEBD4D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35F6185B" w14:textId="77777777" w:rsidTr="00C64A49">
        <w:trPr>
          <w:tblCellSpacing w:w="0" w:type="dxa"/>
        </w:trPr>
        <w:tc>
          <w:tcPr>
            <w:tcW w:w="0" w:type="auto"/>
            <w:shd w:val="clear" w:color="auto" w:fill="FFFFFF"/>
            <w:noWrap/>
            <w:vAlign w:val="center"/>
            <w:hideMark/>
          </w:tcPr>
          <w:p w14:paraId="104F04F0"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    Loans and leases</w:t>
            </w:r>
          </w:p>
        </w:tc>
        <w:tc>
          <w:tcPr>
            <w:tcW w:w="0" w:type="auto"/>
            <w:shd w:val="clear" w:color="auto" w:fill="FFFFFF"/>
            <w:vAlign w:val="center"/>
            <w:hideMark/>
          </w:tcPr>
          <w:p w14:paraId="427D274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1.35</w:t>
            </w:r>
          </w:p>
        </w:tc>
        <w:tc>
          <w:tcPr>
            <w:tcW w:w="0" w:type="auto"/>
            <w:shd w:val="clear" w:color="auto" w:fill="FFFFFF"/>
            <w:vAlign w:val="center"/>
            <w:hideMark/>
          </w:tcPr>
          <w:p w14:paraId="5658C28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1.18</w:t>
            </w:r>
          </w:p>
        </w:tc>
        <w:tc>
          <w:tcPr>
            <w:tcW w:w="0" w:type="auto"/>
            <w:shd w:val="clear" w:color="auto" w:fill="FFFFFF"/>
            <w:vAlign w:val="center"/>
            <w:hideMark/>
          </w:tcPr>
          <w:p w14:paraId="262CB3C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1.35</w:t>
            </w:r>
          </w:p>
        </w:tc>
        <w:tc>
          <w:tcPr>
            <w:tcW w:w="0" w:type="auto"/>
            <w:shd w:val="clear" w:color="auto" w:fill="FFFFFF"/>
            <w:vAlign w:val="center"/>
            <w:hideMark/>
          </w:tcPr>
          <w:p w14:paraId="1BF9AC3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1.28</w:t>
            </w:r>
          </w:p>
        </w:tc>
        <w:tc>
          <w:tcPr>
            <w:tcW w:w="0" w:type="auto"/>
            <w:shd w:val="clear" w:color="auto" w:fill="FFFFFF"/>
            <w:vAlign w:val="center"/>
            <w:hideMark/>
          </w:tcPr>
          <w:p w14:paraId="54517CE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5323EA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1.28</w:t>
            </w:r>
          </w:p>
        </w:tc>
        <w:tc>
          <w:tcPr>
            <w:tcW w:w="0" w:type="auto"/>
            <w:shd w:val="clear" w:color="auto" w:fill="FFFFFF"/>
            <w:vAlign w:val="center"/>
            <w:hideMark/>
          </w:tcPr>
          <w:p w14:paraId="0399789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1.22</w:t>
            </w:r>
          </w:p>
        </w:tc>
        <w:tc>
          <w:tcPr>
            <w:tcW w:w="0" w:type="auto"/>
            <w:shd w:val="clear" w:color="auto" w:fill="FFFFFF"/>
            <w:vAlign w:val="center"/>
            <w:hideMark/>
          </w:tcPr>
          <w:p w14:paraId="31B4D58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16FB81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1.22</w:t>
            </w:r>
          </w:p>
        </w:tc>
      </w:tr>
      <w:tr w:rsidR="00C64A49" w:rsidRPr="00C64A49" w14:paraId="62DC292F" w14:textId="77777777" w:rsidTr="00C64A49">
        <w:trPr>
          <w:tblCellSpacing w:w="0" w:type="dxa"/>
        </w:trPr>
        <w:tc>
          <w:tcPr>
            <w:tcW w:w="0" w:type="auto"/>
            <w:shd w:val="clear" w:color="auto" w:fill="FFFFFF"/>
            <w:noWrap/>
            <w:vAlign w:val="center"/>
            <w:hideMark/>
          </w:tcPr>
          <w:p w14:paraId="3D113845"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    Noncurrent loans a</w:t>
            </w:r>
          </w:p>
        </w:tc>
        <w:tc>
          <w:tcPr>
            <w:tcW w:w="0" w:type="auto"/>
            <w:shd w:val="clear" w:color="auto" w:fill="FFFFFF"/>
            <w:vAlign w:val="center"/>
            <w:hideMark/>
          </w:tcPr>
          <w:p w14:paraId="58A892D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63.65</w:t>
            </w:r>
          </w:p>
        </w:tc>
        <w:tc>
          <w:tcPr>
            <w:tcW w:w="0" w:type="auto"/>
            <w:shd w:val="clear" w:color="auto" w:fill="FFFFFF"/>
            <w:vAlign w:val="center"/>
            <w:hideMark/>
          </w:tcPr>
          <w:p w14:paraId="56174CC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6E8567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62.51</w:t>
            </w:r>
          </w:p>
        </w:tc>
        <w:tc>
          <w:tcPr>
            <w:tcW w:w="0" w:type="auto"/>
            <w:shd w:val="clear" w:color="auto" w:fill="FFFFFF"/>
            <w:vAlign w:val="center"/>
            <w:hideMark/>
          </w:tcPr>
          <w:p w14:paraId="2A4AD31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85.50</w:t>
            </w:r>
          </w:p>
        </w:tc>
        <w:tc>
          <w:tcPr>
            <w:tcW w:w="0" w:type="auto"/>
            <w:shd w:val="clear" w:color="auto" w:fill="FFFFFF"/>
            <w:vAlign w:val="center"/>
            <w:hideMark/>
          </w:tcPr>
          <w:p w14:paraId="1391502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8BDD65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85.50</w:t>
            </w:r>
          </w:p>
        </w:tc>
        <w:tc>
          <w:tcPr>
            <w:tcW w:w="0" w:type="auto"/>
            <w:shd w:val="clear" w:color="auto" w:fill="FFFFFF"/>
            <w:vAlign w:val="center"/>
            <w:hideMark/>
          </w:tcPr>
          <w:p w14:paraId="35D4BB7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58.22</w:t>
            </w:r>
          </w:p>
        </w:tc>
        <w:tc>
          <w:tcPr>
            <w:tcW w:w="0" w:type="auto"/>
            <w:shd w:val="clear" w:color="auto" w:fill="FFFFFF"/>
            <w:vAlign w:val="center"/>
            <w:hideMark/>
          </w:tcPr>
          <w:p w14:paraId="3D27D73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C78017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58.22</w:t>
            </w:r>
          </w:p>
        </w:tc>
      </w:tr>
      <w:tr w:rsidR="00C64A49" w:rsidRPr="00C64A49" w14:paraId="045AF345" w14:textId="77777777" w:rsidTr="00C64A49">
        <w:trPr>
          <w:tblCellSpacing w:w="0" w:type="dxa"/>
        </w:trPr>
        <w:tc>
          <w:tcPr>
            <w:tcW w:w="0" w:type="auto"/>
            <w:shd w:val="clear" w:color="auto" w:fill="FFFFFF"/>
            <w:noWrap/>
            <w:vAlign w:val="center"/>
            <w:hideMark/>
          </w:tcPr>
          <w:p w14:paraId="3324E7D0"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Noncurrent loans &amp; leases to</w:t>
            </w:r>
          </w:p>
        </w:tc>
        <w:tc>
          <w:tcPr>
            <w:tcW w:w="0" w:type="auto"/>
            <w:shd w:val="clear" w:color="auto" w:fill="FFFFFF"/>
            <w:vAlign w:val="center"/>
            <w:hideMark/>
          </w:tcPr>
          <w:p w14:paraId="29DDD41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E1DE1F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B72FE1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589F8F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921024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2625DB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2B277E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3AF59E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9198DA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r>
      <w:tr w:rsidR="00C64A49" w:rsidRPr="00C64A49" w14:paraId="32AAE43A" w14:textId="77777777" w:rsidTr="00C64A49">
        <w:trPr>
          <w:tblCellSpacing w:w="0" w:type="dxa"/>
        </w:trPr>
        <w:tc>
          <w:tcPr>
            <w:tcW w:w="0" w:type="auto"/>
            <w:shd w:val="clear" w:color="auto" w:fill="FFFFFF"/>
            <w:noWrap/>
            <w:vAlign w:val="center"/>
            <w:hideMark/>
          </w:tcPr>
          <w:p w14:paraId="30333DC3"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    total loans &amp; leas</w:t>
            </w:r>
          </w:p>
        </w:tc>
        <w:tc>
          <w:tcPr>
            <w:tcW w:w="0" w:type="auto"/>
            <w:shd w:val="clear" w:color="auto" w:fill="FFFFFF"/>
            <w:vAlign w:val="center"/>
            <w:hideMark/>
          </w:tcPr>
          <w:p w14:paraId="38D5355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2.12</w:t>
            </w:r>
          </w:p>
        </w:tc>
        <w:tc>
          <w:tcPr>
            <w:tcW w:w="0" w:type="auto"/>
            <w:shd w:val="clear" w:color="auto" w:fill="FFFFFF"/>
            <w:vAlign w:val="center"/>
            <w:hideMark/>
          </w:tcPr>
          <w:p w14:paraId="666AFEE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0.00</w:t>
            </w:r>
          </w:p>
        </w:tc>
        <w:tc>
          <w:tcPr>
            <w:tcW w:w="0" w:type="auto"/>
            <w:shd w:val="clear" w:color="auto" w:fill="FFFFFF"/>
            <w:vAlign w:val="center"/>
            <w:hideMark/>
          </w:tcPr>
          <w:p w14:paraId="31C0B5C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2.16</w:t>
            </w:r>
          </w:p>
        </w:tc>
        <w:tc>
          <w:tcPr>
            <w:tcW w:w="0" w:type="auto"/>
            <w:shd w:val="clear" w:color="auto" w:fill="FFFFFF"/>
            <w:vAlign w:val="center"/>
            <w:hideMark/>
          </w:tcPr>
          <w:p w14:paraId="490AB4C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1.49</w:t>
            </w:r>
          </w:p>
        </w:tc>
        <w:tc>
          <w:tcPr>
            <w:tcW w:w="0" w:type="auto"/>
            <w:shd w:val="clear" w:color="auto" w:fill="FFFFFF"/>
            <w:vAlign w:val="center"/>
            <w:hideMark/>
          </w:tcPr>
          <w:p w14:paraId="3AC5876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6E7C60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1.49</w:t>
            </w:r>
          </w:p>
        </w:tc>
        <w:tc>
          <w:tcPr>
            <w:tcW w:w="0" w:type="auto"/>
            <w:shd w:val="clear" w:color="auto" w:fill="FFFFFF"/>
            <w:vAlign w:val="center"/>
            <w:hideMark/>
          </w:tcPr>
          <w:p w14:paraId="44A56F1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2.09</w:t>
            </w:r>
          </w:p>
        </w:tc>
        <w:tc>
          <w:tcPr>
            <w:tcW w:w="0" w:type="auto"/>
            <w:shd w:val="clear" w:color="auto" w:fill="FFFFFF"/>
            <w:vAlign w:val="center"/>
            <w:hideMark/>
          </w:tcPr>
          <w:p w14:paraId="19A45A3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125D00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2.09</w:t>
            </w:r>
          </w:p>
        </w:tc>
      </w:tr>
      <w:tr w:rsidR="00C64A49" w:rsidRPr="00C64A49" w14:paraId="7A7740A0" w14:textId="77777777" w:rsidTr="00C64A49">
        <w:trPr>
          <w:tblCellSpacing w:w="0" w:type="dxa"/>
        </w:trPr>
        <w:tc>
          <w:tcPr>
            <w:tcW w:w="0" w:type="auto"/>
            <w:shd w:val="clear" w:color="auto" w:fill="FFFFFF"/>
            <w:noWrap/>
            <w:vAlign w:val="center"/>
            <w:hideMark/>
          </w:tcPr>
          <w:p w14:paraId="610261AE"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Nonperforming assets to assets</w:t>
            </w:r>
          </w:p>
        </w:tc>
        <w:tc>
          <w:tcPr>
            <w:tcW w:w="0" w:type="auto"/>
            <w:shd w:val="clear" w:color="auto" w:fill="FFFFFF"/>
            <w:vAlign w:val="center"/>
            <w:hideMark/>
          </w:tcPr>
          <w:p w14:paraId="336A3D8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1.38</w:t>
            </w:r>
          </w:p>
        </w:tc>
        <w:tc>
          <w:tcPr>
            <w:tcW w:w="0" w:type="auto"/>
            <w:shd w:val="clear" w:color="auto" w:fill="FFFFFF"/>
            <w:vAlign w:val="center"/>
            <w:hideMark/>
          </w:tcPr>
          <w:p w14:paraId="0DC764C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0.00</w:t>
            </w:r>
          </w:p>
        </w:tc>
        <w:tc>
          <w:tcPr>
            <w:tcW w:w="0" w:type="auto"/>
            <w:shd w:val="clear" w:color="auto" w:fill="FFFFFF"/>
            <w:vAlign w:val="center"/>
            <w:hideMark/>
          </w:tcPr>
          <w:p w14:paraId="3571B5A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1.44</w:t>
            </w:r>
          </w:p>
        </w:tc>
        <w:tc>
          <w:tcPr>
            <w:tcW w:w="0" w:type="auto"/>
            <w:shd w:val="clear" w:color="auto" w:fill="FFFFFF"/>
            <w:vAlign w:val="center"/>
            <w:hideMark/>
          </w:tcPr>
          <w:p w14:paraId="6652AA9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1.07</w:t>
            </w:r>
          </w:p>
        </w:tc>
        <w:tc>
          <w:tcPr>
            <w:tcW w:w="0" w:type="auto"/>
            <w:shd w:val="clear" w:color="auto" w:fill="FFFFFF"/>
            <w:vAlign w:val="center"/>
            <w:hideMark/>
          </w:tcPr>
          <w:p w14:paraId="0C669A4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73862B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1.07</w:t>
            </w:r>
          </w:p>
        </w:tc>
        <w:tc>
          <w:tcPr>
            <w:tcW w:w="0" w:type="auto"/>
            <w:shd w:val="clear" w:color="auto" w:fill="FFFFFF"/>
            <w:vAlign w:val="center"/>
            <w:hideMark/>
          </w:tcPr>
          <w:p w14:paraId="292FDBA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1.73</w:t>
            </w:r>
          </w:p>
        </w:tc>
        <w:tc>
          <w:tcPr>
            <w:tcW w:w="0" w:type="auto"/>
            <w:shd w:val="clear" w:color="auto" w:fill="FFFFFF"/>
            <w:vAlign w:val="center"/>
            <w:hideMark/>
          </w:tcPr>
          <w:p w14:paraId="2C0B437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728920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1.73</w:t>
            </w:r>
          </w:p>
        </w:tc>
      </w:tr>
      <w:tr w:rsidR="00C64A49" w:rsidRPr="00C64A49" w14:paraId="6E6F76C8" w14:textId="77777777" w:rsidTr="00C64A49">
        <w:trPr>
          <w:tblCellSpacing w:w="0" w:type="dxa"/>
        </w:trPr>
        <w:tc>
          <w:tcPr>
            <w:tcW w:w="0" w:type="auto"/>
            <w:shd w:val="clear" w:color="auto" w:fill="FFFFFF"/>
            <w:noWrap/>
            <w:vAlign w:val="center"/>
            <w:hideMark/>
          </w:tcPr>
          <w:p w14:paraId="4BF746C4"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Core deposits to total liabilities</w:t>
            </w:r>
          </w:p>
        </w:tc>
        <w:tc>
          <w:tcPr>
            <w:tcW w:w="0" w:type="auto"/>
            <w:shd w:val="clear" w:color="auto" w:fill="FFFFFF"/>
            <w:vAlign w:val="center"/>
            <w:hideMark/>
          </w:tcPr>
          <w:p w14:paraId="6862A4C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80.70</w:t>
            </w:r>
          </w:p>
        </w:tc>
        <w:tc>
          <w:tcPr>
            <w:tcW w:w="0" w:type="auto"/>
            <w:shd w:val="clear" w:color="auto" w:fill="FFFFFF"/>
            <w:vAlign w:val="center"/>
            <w:hideMark/>
          </w:tcPr>
          <w:p w14:paraId="2B58E68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77.26</w:t>
            </w:r>
          </w:p>
        </w:tc>
        <w:tc>
          <w:tcPr>
            <w:tcW w:w="0" w:type="auto"/>
            <w:shd w:val="clear" w:color="auto" w:fill="FFFFFF"/>
            <w:vAlign w:val="center"/>
            <w:hideMark/>
          </w:tcPr>
          <w:p w14:paraId="0C916AC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80.78</w:t>
            </w:r>
          </w:p>
        </w:tc>
        <w:tc>
          <w:tcPr>
            <w:tcW w:w="0" w:type="auto"/>
            <w:shd w:val="clear" w:color="auto" w:fill="FFFFFF"/>
            <w:vAlign w:val="center"/>
            <w:hideMark/>
          </w:tcPr>
          <w:p w14:paraId="41BAB0B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73.19</w:t>
            </w:r>
          </w:p>
        </w:tc>
        <w:tc>
          <w:tcPr>
            <w:tcW w:w="0" w:type="auto"/>
            <w:shd w:val="clear" w:color="auto" w:fill="FFFFFF"/>
            <w:vAlign w:val="center"/>
            <w:hideMark/>
          </w:tcPr>
          <w:p w14:paraId="321ADE9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4BDAD6F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73.19</w:t>
            </w:r>
          </w:p>
        </w:tc>
        <w:tc>
          <w:tcPr>
            <w:tcW w:w="0" w:type="auto"/>
            <w:shd w:val="clear" w:color="auto" w:fill="FFFFFF"/>
            <w:vAlign w:val="center"/>
            <w:hideMark/>
          </w:tcPr>
          <w:p w14:paraId="2576C3B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72.83</w:t>
            </w:r>
          </w:p>
        </w:tc>
        <w:tc>
          <w:tcPr>
            <w:tcW w:w="0" w:type="auto"/>
            <w:shd w:val="clear" w:color="auto" w:fill="FFFFFF"/>
            <w:vAlign w:val="center"/>
            <w:hideMark/>
          </w:tcPr>
          <w:p w14:paraId="583E029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DF72C6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72.83</w:t>
            </w:r>
          </w:p>
        </w:tc>
      </w:tr>
      <w:tr w:rsidR="00C64A49" w:rsidRPr="00C64A49" w14:paraId="23379F15" w14:textId="77777777" w:rsidTr="00C64A49">
        <w:trPr>
          <w:tblCellSpacing w:w="0" w:type="dxa"/>
        </w:trPr>
        <w:tc>
          <w:tcPr>
            <w:tcW w:w="0" w:type="auto"/>
            <w:shd w:val="clear" w:color="auto" w:fill="FFFFFF"/>
            <w:noWrap/>
            <w:vAlign w:val="center"/>
            <w:hideMark/>
          </w:tcPr>
          <w:p w14:paraId="452CD12A"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Equity capital to total assets</w:t>
            </w:r>
          </w:p>
        </w:tc>
        <w:tc>
          <w:tcPr>
            <w:tcW w:w="0" w:type="auto"/>
            <w:shd w:val="clear" w:color="auto" w:fill="FFFFFF"/>
            <w:vAlign w:val="center"/>
            <w:hideMark/>
          </w:tcPr>
          <w:p w14:paraId="6361117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9.86</w:t>
            </w:r>
          </w:p>
        </w:tc>
        <w:tc>
          <w:tcPr>
            <w:tcW w:w="0" w:type="auto"/>
            <w:shd w:val="clear" w:color="auto" w:fill="FFFFFF"/>
            <w:vAlign w:val="center"/>
            <w:hideMark/>
          </w:tcPr>
          <w:p w14:paraId="1DE91BCA"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43.94</w:t>
            </w:r>
          </w:p>
        </w:tc>
        <w:tc>
          <w:tcPr>
            <w:tcW w:w="0" w:type="auto"/>
            <w:shd w:val="clear" w:color="auto" w:fill="FFFFFF"/>
            <w:vAlign w:val="center"/>
            <w:hideMark/>
          </w:tcPr>
          <w:p w14:paraId="12DBE86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8.50</w:t>
            </w:r>
          </w:p>
        </w:tc>
        <w:tc>
          <w:tcPr>
            <w:tcW w:w="0" w:type="auto"/>
            <w:shd w:val="clear" w:color="auto" w:fill="FFFFFF"/>
            <w:vAlign w:val="center"/>
            <w:hideMark/>
          </w:tcPr>
          <w:p w14:paraId="196E9C7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9.32</w:t>
            </w:r>
          </w:p>
        </w:tc>
        <w:tc>
          <w:tcPr>
            <w:tcW w:w="0" w:type="auto"/>
            <w:shd w:val="clear" w:color="auto" w:fill="FFFFFF"/>
            <w:vAlign w:val="center"/>
            <w:hideMark/>
          </w:tcPr>
          <w:p w14:paraId="4375692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A4FFAE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9.32</w:t>
            </w:r>
          </w:p>
        </w:tc>
        <w:tc>
          <w:tcPr>
            <w:tcW w:w="0" w:type="auto"/>
            <w:shd w:val="clear" w:color="auto" w:fill="FFFFFF"/>
            <w:vAlign w:val="center"/>
            <w:hideMark/>
          </w:tcPr>
          <w:p w14:paraId="39591B7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8.96</w:t>
            </w:r>
          </w:p>
        </w:tc>
        <w:tc>
          <w:tcPr>
            <w:tcW w:w="0" w:type="auto"/>
            <w:shd w:val="clear" w:color="auto" w:fill="FFFFFF"/>
            <w:vAlign w:val="center"/>
            <w:hideMark/>
          </w:tcPr>
          <w:p w14:paraId="2A7EF91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4260FC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8.96</w:t>
            </w:r>
          </w:p>
        </w:tc>
      </w:tr>
      <w:tr w:rsidR="00C64A49" w:rsidRPr="00C64A49" w14:paraId="5A0271D5" w14:textId="77777777" w:rsidTr="00C64A49">
        <w:trPr>
          <w:tblCellSpacing w:w="0" w:type="dxa"/>
        </w:trPr>
        <w:tc>
          <w:tcPr>
            <w:tcW w:w="0" w:type="auto"/>
            <w:shd w:val="clear" w:color="auto" w:fill="FFFFFF"/>
            <w:noWrap/>
            <w:vAlign w:val="center"/>
            <w:hideMark/>
          </w:tcPr>
          <w:p w14:paraId="27DEAA0B"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Leverage (Core capital) ratio</w:t>
            </w:r>
          </w:p>
        </w:tc>
        <w:tc>
          <w:tcPr>
            <w:tcW w:w="0" w:type="auto"/>
            <w:shd w:val="clear" w:color="auto" w:fill="FFFFFF"/>
            <w:vAlign w:val="center"/>
            <w:hideMark/>
          </w:tcPr>
          <w:p w14:paraId="242E316E"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9.48</w:t>
            </w:r>
          </w:p>
        </w:tc>
        <w:tc>
          <w:tcPr>
            <w:tcW w:w="0" w:type="auto"/>
            <w:shd w:val="clear" w:color="auto" w:fill="FFFFFF"/>
            <w:vAlign w:val="center"/>
            <w:hideMark/>
          </w:tcPr>
          <w:p w14:paraId="1B2AFCBD"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48.43</w:t>
            </w:r>
          </w:p>
        </w:tc>
        <w:tc>
          <w:tcPr>
            <w:tcW w:w="0" w:type="auto"/>
            <w:shd w:val="clear" w:color="auto" w:fill="FFFFFF"/>
            <w:vAlign w:val="center"/>
            <w:hideMark/>
          </w:tcPr>
          <w:p w14:paraId="5B2EA5D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8.07</w:t>
            </w:r>
          </w:p>
        </w:tc>
        <w:tc>
          <w:tcPr>
            <w:tcW w:w="0" w:type="auto"/>
            <w:shd w:val="clear" w:color="auto" w:fill="FFFFFF"/>
            <w:vAlign w:val="center"/>
            <w:hideMark/>
          </w:tcPr>
          <w:p w14:paraId="279D186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9.29</w:t>
            </w:r>
          </w:p>
        </w:tc>
        <w:tc>
          <w:tcPr>
            <w:tcW w:w="0" w:type="auto"/>
            <w:shd w:val="clear" w:color="auto" w:fill="FFFFFF"/>
            <w:vAlign w:val="center"/>
            <w:hideMark/>
          </w:tcPr>
          <w:p w14:paraId="50BCEA9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A80D39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9.29</w:t>
            </w:r>
          </w:p>
        </w:tc>
        <w:tc>
          <w:tcPr>
            <w:tcW w:w="0" w:type="auto"/>
            <w:shd w:val="clear" w:color="auto" w:fill="FFFFFF"/>
            <w:vAlign w:val="center"/>
            <w:hideMark/>
          </w:tcPr>
          <w:p w14:paraId="3B42F45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9.64</w:t>
            </w:r>
          </w:p>
        </w:tc>
        <w:tc>
          <w:tcPr>
            <w:tcW w:w="0" w:type="auto"/>
            <w:shd w:val="clear" w:color="auto" w:fill="FFFFFF"/>
            <w:vAlign w:val="center"/>
            <w:hideMark/>
          </w:tcPr>
          <w:p w14:paraId="12A3AFF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CA1E60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9.64</w:t>
            </w:r>
          </w:p>
        </w:tc>
      </w:tr>
      <w:tr w:rsidR="00C64A49" w:rsidRPr="00C64A49" w14:paraId="304F429E" w14:textId="77777777" w:rsidTr="00C64A49">
        <w:trPr>
          <w:tblCellSpacing w:w="0" w:type="dxa"/>
        </w:trPr>
        <w:tc>
          <w:tcPr>
            <w:tcW w:w="0" w:type="auto"/>
            <w:shd w:val="clear" w:color="auto" w:fill="FFFFFF"/>
            <w:noWrap/>
            <w:vAlign w:val="center"/>
            <w:hideMark/>
          </w:tcPr>
          <w:p w14:paraId="2AD5E9AC"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Total capital\risk-weighted assets-NA 2020</w:t>
            </w:r>
          </w:p>
        </w:tc>
        <w:tc>
          <w:tcPr>
            <w:tcW w:w="0" w:type="auto"/>
            <w:shd w:val="clear" w:color="auto" w:fill="FFFFFF"/>
            <w:vAlign w:val="center"/>
            <w:hideMark/>
          </w:tcPr>
          <w:p w14:paraId="6B72378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17C96A9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250C265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E2688A7"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15.68</w:t>
            </w:r>
          </w:p>
        </w:tc>
        <w:tc>
          <w:tcPr>
            <w:tcW w:w="0" w:type="auto"/>
            <w:shd w:val="clear" w:color="auto" w:fill="FFFFFF"/>
            <w:vAlign w:val="center"/>
            <w:hideMark/>
          </w:tcPr>
          <w:p w14:paraId="0755545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F91A07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15.68</w:t>
            </w:r>
          </w:p>
        </w:tc>
        <w:tc>
          <w:tcPr>
            <w:tcW w:w="0" w:type="auto"/>
            <w:shd w:val="clear" w:color="auto" w:fill="FFFFFF"/>
            <w:vAlign w:val="center"/>
            <w:hideMark/>
          </w:tcPr>
          <w:p w14:paraId="40C5CFA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15.88</w:t>
            </w:r>
          </w:p>
        </w:tc>
        <w:tc>
          <w:tcPr>
            <w:tcW w:w="0" w:type="auto"/>
            <w:shd w:val="clear" w:color="auto" w:fill="FFFFFF"/>
            <w:vAlign w:val="center"/>
            <w:hideMark/>
          </w:tcPr>
          <w:p w14:paraId="7FBCB63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05A89B02"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15.88</w:t>
            </w:r>
          </w:p>
        </w:tc>
      </w:tr>
      <w:tr w:rsidR="00C64A49" w:rsidRPr="00C64A49" w14:paraId="3E638BB6" w14:textId="77777777" w:rsidTr="00C64A49">
        <w:trPr>
          <w:tblCellSpacing w:w="0" w:type="dxa"/>
        </w:trPr>
        <w:tc>
          <w:tcPr>
            <w:tcW w:w="0" w:type="auto"/>
            <w:shd w:val="clear" w:color="auto" w:fill="FFFFFF"/>
            <w:noWrap/>
            <w:vAlign w:val="center"/>
            <w:hideMark/>
          </w:tcPr>
          <w:p w14:paraId="6BBB6549"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Gross 1-4 family mortgages to gross assets</w:t>
            </w:r>
          </w:p>
        </w:tc>
        <w:tc>
          <w:tcPr>
            <w:tcW w:w="0" w:type="auto"/>
            <w:shd w:val="clear" w:color="auto" w:fill="FFFFFF"/>
            <w:vAlign w:val="center"/>
            <w:hideMark/>
          </w:tcPr>
          <w:p w14:paraId="0F29A31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18.41</w:t>
            </w:r>
          </w:p>
        </w:tc>
        <w:tc>
          <w:tcPr>
            <w:tcW w:w="0" w:type="auto"/>
            <w:shd w:val="clear" w:color="auto" w:fill="FFFFFF"/>
            <w:vAlign w:val="center"/>
            <w:hideMark/>
          </w:tcPr>
          <w:p w14:paraId="4B61C5A0"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20.39</w:t>
            </w:r>
          </w:p>
        </w:tc>
        <w:tc>
          <w:tcPr>
            <w:tcW w:w="0" w:type="auto"/>
            <w:shd w:val="clear" w:color="auto" w:fill="FFFFFF"/>
            <w:vAlign w:val="center"/>
            <w:hideMark/>
          </w:tcPr>
          <w:p w14:paraId="00E76E0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18.33</w:t>
            </w:r>
          </w:p>
        </w:tc>
        <w:tc>
          <w:tcPr>
            <w:tcW w:w="0" w:type="auto"/>
            <w:shd w:val="clear" w:color="auto" w:fill="FFFFFF"/>
            <w:vAlign w:val="center"/>
            <w:hideMark/>
          </w:tcPr>
          <w:p w14:paraId="4974F9C1"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21.67</w:t>
            </w:r>
          </w:p>
        </w:tc>
        <w:tc>
          <w:tcPr>
            <w:tcW w:w="0" w:type="auto"/>
            <w:shd w:val="clear" w:color="auto" w:fill="FFFFFF"/>
            <w:vAlign w:val="center"/>
            <w:hideMark/>
          </w:tcPr>
          <w:p w14:paraId="279E3A95"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7C3A206B"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21.67</w:t>
            </w:r>
          </w:p>
        </w:tc>
        <w:tc>
          <w:tcPr>
            <w:tcW w:w="0" w:type="auto"/>
            <w:shd w:val="clear" w:color="auto" w:fill="FFFFFF"/>
            <w:vAlign w:val="center"/>
            <w:hideMark/>
          </w:tcPr>
          <w:p w14:paraId="5CFAB536"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21.59</w:t>
            </w:r>
          </w:p>
        </w:tc>
        <w:tc>
          <w:tcPr>
            <w:tcW w:w="0" w:type="auto"/>
            <w:shd w:val="clear" w:color="auto" w:fill="FFFFFF"/>
            <w:vAlign w:val="center"/>
            <w:hideMark/>
          </w:tcPr>
          <w:p w14:paraId="1906BAB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323535F3"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21.59</w:t>
            </w:r>
          </w:p>
        </w:tc>
      </w:tr>
      <w:tr w:rsidR="00C64A49" w:rsidRPr="00C64A49" w14:paraId="1D781E5A" w14:textId="77777777" w:rsidTr="00C64A49">
        <w:trPr>
          <w:tblCellSpacing w:w="0" w:type="dxa"/>
        </w:trPr>
        <w:tc>
          <w:tcPr>
            <w:tcW w:w="0" w:type="auto"/>
            <w:shd w:val="clear" w:color="auto" w:fill="FFFFFF"/>
            <w:noWrap/>
            <w:vAlign w:val="center"/>
            <w:hideMark/>
          </w:tcPr>
          <w:p w14:paraId="0BF39631" w14:textId="77777777" w:rsidR="00C64A49" w:rsidRPr="00C64A49" w:rsidRDefault="00C64A49" w:rsidP="00C64A49">
            <w:pPr>
              <w:spacing w:after="0" w:line="240" w:lineRule="auto"/>
              <w:rPr>
                <w:rFonts w:ascii="Arial" w:eastAsia="Times New Roman" w:hAnsi="Arial" w:cs="Arial"/>
                <w:sz w:val="20"/>
                <w:szCs w:val="20"/>
              </w:rPr>
            </w:pPr>
            <w:r w:rsidRPr="00C64A49">
              <w:rPr>
                <w:rFonts w:ascii="Arial" w:eastAsia="Times New Roman" w:hAnsi="Arial" w:cs="Arial"/>
                <w:sz w:val="15"/>
                <w:szCs w:val="15"/>
              </w:rPr>
              <w:t>Gross real estate assets to gross assets</w:t>
            </w:r>
          </w:p>
        </w:tc>
        <w:tc>
          <w:tcPr>
            <w:tcW w:w="0" w:type="auto"/>
            <w:shd w:val="clear" w:color="auto" w:fill="FFFFFF"/>
            <w:vAlign w:val="center"/>
            <w:hideMark/>
          </w:tcPr>
          <w:p w14:paraId="1AD59DC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64.78</w:t>
            </w:r>
          </w:p>
        </w:tc>
        <w:tc>
          <w:tcPr>
            <w:tcW w:w="0" w:type="auto"/>
            <w:shd w:val="clear" w:color="auto" w:fill="FFFFFF"/>
            <w:vAlign w:val="center"/>
            <w:hideMark/>
          </w:tcPr>
          <w:p w14:paraId="1013D708"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41.73</w:t>
            </w:r>
          </w:p>
        </w:tc>
        <w:tc>
          <w:tcPr>
            <w:tcW w:w="0" w:type="auto"/>
            <w:shd w:val="clear" w:color="auto" w:fill="FFFFFF"/>
            <w:vAlign w:val="center"/>
            <w:hideMark/>
          </w:tcPr>
          <w:p w14:paraId="642D16A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65.70</w:t>
            </w:r>
          </w:p>
        </w:tc>
        <w:tc>
          <w:tcPr>
            <w:tcW w:w="0" w:type="auto"/>
            <w:shd w:val="clear" w:color="auto" w:fill="FFFFFF"/>
            <w:vAlign w:val="center"/>
            <w:hideMark/>
          </w:tcPr>
          <w:p w14:paraId="30CB398C"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67.72</w:t>
            </w:r>
          </w:p>
        </w:tc>
        <w:tc>
          <w:tcPr>
            <w:tcW w:w="0" w:type="auto"/>
            <w:shd w:val="clear" w:color="auto" w:fill="FFFFFF"/>
            <w:vAlign w:val="center"/>
            <w:hideMark/>
          </w:tcPr>
          <w:p w14:paraId="7F6B75C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5891CC1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67.72</w:t>
            </w:r>
          </w:p>
        </w:tc>
        <w:tc>
          <w:tcPr>
            <w:tcW w:w="0" w:type="auto"/>
            <w:shd w:val="clear" w:color="auto" w:fill="FFFFFF"/>
            <w:vAlign w:val="center"/>
            <w:hideMark/>
          </w:tcPr>
          <w:p w14:paraId="6C4FCA7F"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70.76</w:t>
            </w:r>
          </w:p>
        </w:tc>
        <w:tc>
          <w:tcPr>
            <w:tcW w:w="0" w:type="auto"/>
            <w:shd w:val="clear" w:color="auto" w:fill="FFFFFF"/>
            <w:vAlign w:val="center"/>
            <w:hideMark/>
          </w:tcPr>
          <w:p w14:paraId="4C186E29"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 </w:t>
            </w:r>
          </w:p>
        </w:tc>
        <w:tc>
          <w:tcPr>
            <w:tcW w:w="0" w:type="auto"/>
            <w:shd w:val="clear" w:color="auto" w:fill="FFFFFF"/>
            <w:vAlign w:val="center"/>
            <w:hideMark/>
          </w:tcPr>
          <w:p w14:paraId="6046F6D4" w14:textId="77777777" w:rsidR="00C64A49" w:rsidRPr="00C64A49" w:rsidRDefault="00C64A49" w:rsidP="00C64A49">
            <w:pPr>
              <w:spacing w:after="0" w:line="240" w:lineRule="auto"/>
              <w:jc w:val="right"/>
              <w:rPr>
                <w:rFonts w:ascii="Arial" w:eastAsia="Times New Roman" w:hAnsi="Arial" w:cs="Arial"/>
                <w:sz w:val="20"/>
                <w:szCs w:val="20"/>
              </w:rPr>
            </w:pPr>
            <w:r w:rsidRPr="00C64A49">
              <w:rPr>
                <w:rFonts w:ascii="Arial" w:eastAsia="Times New Roman" w:hAnsi="Arial" w:cs="Arial"/>
                <w:sz w:val="15"/>
                <w:szCs w:val="15"/>
              </w:rPr>
              <w:t>70.76</w:t>
            </w:r>
          </w:p>
        </w:tc>
      </w:tr>
      <w:tr w:rsidR="00C64A49" w:rsidRPr="00C64A49" w14:paraId="62EFACD2" w14:textId="77777777" w:rsidTr="00C64A49">
        <w:trPr>
          <w:trHeight w:val="50"/>
          <w:tblCellSpacing w:w="0" w:type="dxa"/>
        </w:trPr>
        <w:tc>
          <w:tcPr>
            <w:tcW w:w="0" w:type="auto"/>
            <w:shd w:val="clear" w:color="auto" w:fill="FFFFFF"/>
            <w:vAlign w:val="center"/>
            <w:hideMark/>
          </w:tcPr>
          <w:p w14:paraId="2431156C" w14:textId="77777777" w:rsidR="00C64A49" w:rsidRPr="00C64A49" w:rsidRDefault="00C64A49" w:rsidP="00C64A49">
            <w:pPr>
              <w:spacing w:after="0" w:line="240" w:lineRule="auto"/>
              <w:jc w:val="right"/>
              <w:rPr>
                <w:rFonts w:ascii="Arial" w:eastAsia="Times New Roman" w:hAnsi="Arial" w:cs="Arial"/>
                <w:sz w:val="20"/>
                <w:szCs w:val="20"/>
              </w:rPr>
            </w:pPr>
          </w:p>
        </w:tc>
        <w:tc>
          <w:tcPr>
            <w:tcW w:w="0" w:type="auto"/>
            <w:shd w:val="clear" w:color="auto" w:fill="FFFFFF"/>
            <w:vAlign w:val="center"/>
            <w:hideMark/>
          </w:tcPr>
          <w:p w14:paraId="0A0FA8F4"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15D14E84"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19BDE86F"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258AB2EF"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54FF2EAC"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5CAE70FF"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2B31D1C9"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3149DC1E" w14:textId="77777777" w:rsidR="00C64A49" w:rsidRPr="00C64A49" w:rsidRDefault="00C64A49" w:rsidP="00C64A4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798E4B67" w14:textId="77777777" w:rsidR="00C64A49" w:rsidRPr="00C64A49" w:rsidRDefault="00C64A49" w:rsidP="00C64A49">
            <w:pPr>
              <w:spacing w:after="0" w:line="240" w:lineRule="auto"/>
              <w:rPr>
                <w:rFonts w:ascii="Times New Roman" w:eastAsia="Times New Roman" w:hAnsi="Times New Roman" w:cs="Times New Roman"/>
                <w:sz w:val="20"/>
                <w:szCs w:val="20"/>
              </w:rPr>
            </w:pPr>
          </w:p>
        </w:tc>
      </w:tr>
      <w:tr w:rsidR="00C64A49" w:rsidRPr="00C64A49" w14:paraId="04F9FD36" w14:textId="77777777" w:rsidTr="00C64A49">
        <w:trPr>
          <w:tblCellSpacing w:w="0" w:type="dxa"/>
        </w:trPr>
        <w:tc>
          <w:tcPr>
            <w:tcW w:w="0" w:type="auto"/>
            <w:gridSpan w:val="10"/>
            <w:shd w:val="clear" w:color="auto" w:fill="FFFFFF"/>
            <w:vAlign w:val="bottom"/>
            <w:hideMark/>
          </w:tcPr>
          <w:p w14:paraId="1FC5DE9D" w14:textId="77777777" w:rsidR="00C64A49" w:rsidRPr="00C64A49" w:rsidRDefault="00C64A49" w:rsidP="00C64A49">
            <w:pPr>
              <w:spacing w:after="0" w:line="240" w:lineRule="auto"/>
              <w:rPr>
                <w:rFonts w:ascii="Times New Roman" w:eastAsia="Times New Roman" w:hAnsi="Times New Roman" w:cs="Times New Roman"/>
                <w:sz w:val="20"/>
                <w:szCs w:val="20"/>
              </w:rPr>
            </w:pPr>
          </w:p>
        </w:tc>
      </w:tr>
    </w:tbl>
    <w:p w14:paraId="0573C1BC" w14:textId="77777777" w:rsidR="00C64A49" w:rsidRPr="00C64A49" w:rsidRDefault="00C64A49" w:rsidP="00C64A49">
      <w:pPr>
        <w:spacing w:after="0" w:line="240" w:lineRule="auto"/>
        <w:rPr>
          <w:rFonts w:ascii="Times New Roman" w:eastAsia="Times New Roman" w:hAnsi="Times New Roman" w:cs="Times New Roman"/>
          <w:vanish/>
          <w:sz w:val="24"/>
          <w:szCs w:val="24"/>
        </w:rPr>
      </w:pPr>
    </w:p>
    <w:tbl>
      <w:tblPr>
        <w:tblW w:w="10080" w:type="dxa"/>
        <w:tblCellSpacing w:w="0" w:type="dxa"/>
        <w:shd w:val="clear" w:color="auto" w:fill="FFFFFF"/>
        <w:tblCellMar>
          <w:top w:w="15" w:type="dxa"/>
          <w:left w:w="15" w:type="dxa"/>
          <w:bottom w:w="15" w:type="dxa"/>
          <w:right w:w="15" w:type="dxa"/>
        </w:tblCellMar>
        <w:tblLook w:val="04A0" w:firstRow="1" w:lastRow="0" w:firstColumn="1" w:lastColumn="0" w:noHBand="0" w:noVBand="1"/>
        <w:tblDescription w:val="The State Banking Performance Table consists of three main sections which can be populated with different options.  The Type of Bank charter, the geographic level, and the quarter of data to be displayed are user options.  Each three main choices display the data broken down by the size of the banks selected."/>
      </w:tblPr>
      <w:tblGrid>
        <w:gridCol w:w="10080"/>
      </w:tblGrid>
      <w:tr w:rsidR="00C64A49" w:rsidRPr="00C64A49" w14:paraId="4599F3D1" w14:textId="77777777" w:rsidTr="00C64A49">
        <w:trPr>
          <w:tblCellSpacing w:w="0" w:type="dxa"/>
        </w:trPr>
        <w:tc>
          <w:tcPr>
            <w:tcW w:w="10080" w:type="dxa"/>
            <w:shd w:val="clear" w:color="auto" w:fill="FFFFFF"/>
            <w:vAlign w:val="bottom"/>
            <w:hideMark/>
          </w:tcPr>
          <w:p w14:paraId="44DBF6DA" w14:textId="77777777" w:rsidR="00C64A49" w:rsidRPr="00C64A49" w:rsidRDefault="00C64A49" w:rsidP="00C64A49">
            <w:pPr>
              <w:spacing w:after="0" w:line="240" w:lineRule="auto"/>
              <w:rPr>
                <w:rFonts w:ascii="Times New Roman" w:eastAsia="Times New Roman" w:hAnsi="Times New Roman" w:cs="Times New Roman"/>
                <w:sz w:val="24"/>
                <w:szCs w:val="24"/>
              </w:rPr>
            </w:pPr>
          </w:p>
        </w:tc>
      </w:tr>
      <w:tr w:rsidR="00C64A49" w:rsidRPr="00C64A49" w14:paraId="26991B73" w14:textId="77777777" w:rsidTr="00C64A49">
        <w:trPr>
          <w:tblCellSpacing w:w="0" w:type="dxa"/>
        </w:trPr>
        <w:tc>
          <w:tcPr>
            <w:tcW w:w="10080" w:type="dxa"/>
            <w:shd w:val="clear" w:color="auto" w:fill="FFFFFF"/>
            <w:vAlign w:val="bottom"/>
            <w:hideMark/>
          </w:tcPr>
          <w:p w14:paraId="3E2B84F9" w14:textId="77777777" w:rsidR="00C64A49" w:rsidRPr="00C64A49" w:rsidRDefault="00C64A49" w:rsidP="00C64A49">
            <w:pPr>
              <w:spacing w:after="0" w:line="240" w:lineRule="auto"/>
              <w:jc w:val="center"/>
              <w:rPr>
                <w:rFonts w:ascii="Arial" w:eastAsia="Times New Roman" w:hAnsi="Arial" w:cs="Arial"/>
                <w:sz w:val="20"/>
                <w:szCs w:val="20"/>
              </w:rPr>
            </w:pPr>
            <w:r w:rsidRPr="00C64A49">
              <w:rPr>
                <w:rFonts w:ascii="Arial" w:eastAsia="Times New Roman" w:hAnsi="Arial" w:cs="Arial"/>
                <w:sz w:val="15"/>
                <w:szCs w:val="15"/>
              </w:rPr>
              <w:t>Source: Call Report and Thrift Financial Report</w:t>
            </w:r>
            <w:r w:rsidRPr="00C64A49">
              <w:rPr>
                <w:rFonts w:ascii="Arial" w:eastAsia="Times New Roman" w:hAnsi="Arial" w:cs="Arial"/>
                <w:sz w:val="15"/>
                <w:szCs w:val="15"/>
              </w:rPr>
              <w:br/>
              <w:t>Prepared by the FDIC-Division of Insurance and Research</w:t>
            </w:r>
          </w:p>
        </w:tc>
      </w:tr>
    </w:tbl>
    <w:p w14:paraId="40F59A00" w14:textId="0BE1C8B9" w:rsidR="00CE56DF" w:rsidRDefault="00C64A49">
      <w:r>
        <w:br w:type="page"/>
      </w:r>
      <w:r w:rsidR="00CE56DF">
        <w:fldChar w:fldCharType="begin"/>
      </w:r>
      <w:r w:rsidR="00CE56DF">
        <w:instrText xml:space="preserve"> LINK Excel.SheetBinaryMacroEnabled.12 "C:\\Users\\willi\\Downloads\\Industrial_Bank_14679_Institutions_2_13_2021.csv" "Sheet1!R2C2:R54C6" \a \f 4 \h  \* MERGEFORMAT </w:instrText>
      </w:r>
      <w:r w:rsidR="00CE56DF">
        <w:fldChar w:fldCharType="separate"/>
      </w:r>
    </w:p>
    <w:tbl>
      <w:tblPr>
        <w:tblStyle w:val="PlainTable3"/>
        <w:tblW w:w="9830" w:type="dxa"/>
        <w:tblLook w:val="04A0" w:firstRow="1" w:lastRow="0" w:firstColumn="1" w:lastColumn="0" w:noHBand="0" w:noVBand="1"/>
        <w:tblDescription w:val="The State Banking Performance Table consists of three main sections which can be populated with different options.  The Type of Bank charter, the geographic level, and the quarter of data to be displayed are user options.  Each three main choices display the data broken down by the size of the banks selected."/>
      </w:tblPr>
      <w:tblGrid>
        <w:gridCol w:w="4410"/>
        <w:gridCol w:w="1380"/>
        <w:gridCol w:w="1280"/>
        <w:gridCol w:w="1440"/>
        <w:gridCol w:w="1320"/>
      </w:tblGrid>
      <w:tr w:rsidR="00CE56DF" w:rsidRPr="00CE56DF" w14:paraId="726D4562" w14:textId="77777777" w:rsidTr="00DA0A70">
        <w:trPr>
          <w:cnfStyle w:val="100000000000" w:firstRow="1" w:lastRow="0" w:firstColumn="0" w:lastColumn="0" w:oddVBand="0" w:evenVBand="0" w:oddHBand="0" w:evenHBand="0" w:firstRowFirstColumn="0" w:firstRowLastColumn="0" w:lastRowFirstColumn="0" w:lastRowLastColumn="0"/>
          <w:trHeight w:val="295"/>
        </w:trPr>
        <w:tc>
          <w:tcPr>
            <w:cnfStyle w:val="001000000100" w:firstRow="0" w:lastRow="0" w:firstColumn="1" w:lastColumn="0" w:oddVBand="0" w:evenVBand="0" w:oddHBand="0" w:evenHBand="0" w:firstRowFirstColumn="1" w:firstRowLastColumn="0" w:lastRowFirstColumn="0" w:lastRowLastColumn="0"/>
            <w:tcW w:w="4410" w:type="dxa"/>
            <w:noWrap/>
            <w:hideMark/>
          </w:tcPr>
          <w:p w14:paraId="46118ACB" w14:textId="488F6A80" w:rsidR="00CE56DF" w:rsidRPr="00E10F2E" w:rsidRDefault="00CE56DF">
            <w:pPr>
              <w:rPr>
                <w:rFonts w:ascii="Calibri" w:eastAsia="Times New Roman" w:hAnsi="Calibri" w:cs="Calibri"/>
                <w:color w:val="000000"/>
                <w:sz w:val="32"/>
                <w:szCs w:val="32"/>
              </w:rPr>
            </w:pPr>
            <w:r w:rsidRPr="00E10F2E">
              <w:rPr>
                <w:rFonts w:ascii="Calibri" w:eastAsia="Times New Roman" w:hAnsi="Calibri" w:cs="Calibri"/>
                <w:color w:val="000000"/>
                <w:sz w:val="32"/>
                <w:szCs w:val="32"/>
              </w:rPr>
              <w:t>Executive Summary Report</w:t>
            </w:r>
          </w:p>
        </w:tc>
        <w:tc>
          <w:tcPr>
            <w:tcW w:w="1380" w:type="dxa"/>
            <w:noWrap/>
            <w:hideMark/>
          </w:tcPr>
          <w:p w14:paraId="2A065528" w14:textId="77777777" w:rsidR="00CE56DF" w:rsidRPr="00CE56DF" w:rsidRDefault="00CE56DF" w:rsidP="00CE56D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4FFD96FA" w14:textId="77777777" w:rsidR="00CE56DF" w:rsidRPr="00CE56DF" w:rsidRDefault="00CE56DF" w:rsidP="00CE56D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4E95DE8B" w14:textId="77777777" w:rsidR="00CE56DF" w:rsidRPr="00CE56DF" w:rsidRDefault="00CE56DF" w:rsidP="00CE56D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66875FA6" w14:textId="77777777" w:rsidR="00CE56DF" w:rsidRPr="00CE56DF" w:rsidRDefault="00CE56DF" w:rsidP="00CE56D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0759A780"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50BB7E3"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FDIC Certificate # 14679</w:t>
            </w:r>
          </w:p>
        </w:tc>
        <w:tc>
          <w:tcPr>
            <w:tcW w:w="1380" w:type="dxa"/>
            <w:noWrap/>
            <w:hideMark/>
          </w:tcPr>
          <w:p w14:paraId="0D9A5FE7"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040" w:type="dxa"/>
            <w:gridSpan w:val="3"/>
            <w:noWrap/>
            <w:hideMark/>
          </w:tcPr>
          <w:p w14:paraId="765DCBA0"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INDUSTRIAL BANK; WASHINGTON, DC</w:t>
            </w:r>
          </w:p>
        </w:tc>
      </w:tr>
      <w:tr w:rsidR="00CE56DF" w:rsidRPr="00CE56DF" w14:paraId="5DE9FF98"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57B7C0B"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OCC Charter # 0</w:t>
            </w:r>
          </w:p>
        </w:tc>
        <w:tc>
          <w:tcPr>
            <w:tcW w:w="1380" w:type="dxa"/>
            <w:noWrap/>
            <w:hideMark/>
          </w:tcPr>
          <w:p w14:paraId="3D5281B8"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214753E0"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48697EA8"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122CDB69"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3B8A2445"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4FF49C0"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FRB District/ID_RSSD 5 / 536527</w:t>
            </w:r>
          </w:p>
        </w:tc>
        <w:tc>
          <w:tcPr>
            <w:tcW w:w="1380" w:type="dxa"/>
            <w:noWrap/>
            <w:hideMark/>
          </w:tcPr>
          <w:p w14:paraId="00BD3B4C"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80" w:type="dxa"/>
            <w:noWrap/>
            <w:hideMark/>
          </w:tcPr>
          <w:p w14:paraId="76987F7D"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535FD70C"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1EC9B74F"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21CD03C8"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3D9E4B5A" w14:textId="77777777" w:rsidR="00CE56DF" w:rsidRPr="00CE56DF" w:rsidRDefault="00CE56DF" w:rsidP="00CE56DF">
            <w:pPr>
              <w:rPr>
                <w:rFonts w:ascii="Times New Roman" w:eastAsia="Times New Roman" w:hAnsi="Times New Roman" w:cs="Times New Roman"/>
                <w:sz w:val="20"/>
                <w:szCs w:val="20"/>
              </w:rPr>
            </w:pPr>
          </w:p>
        </w:tc>
        <w:tc>
          <w:tcPr>
            <w:tcW w:w="1380" w:type="dxa"/>
            <w:noWrap/>
            <w:hideMark/>
          </w:tcPr>
          <w:p w14:paraId="7CBD7ED4"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12/31/2020</w:t>
            </w:r>
          </w:p>
        </w:tc>
        <w:tc>
          <w:tcPr>
            <w:tcW w:w="1280" w:type="dxa"/>
            <w:noWrap/>
            <w:hideMark/>
          </w:tcPr>
          <w:p w14:paraId="0CB781A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12/31/2019</w:t>
            </w:r>
          </w:p>
        </w:tc>
        <w:tc>
          <w:tcPr>
            <w:tcW w:w="1440" w:type="dxa"/>
            <w:noWrap/>
            <w:hideMark/>
          </w:tcPr>
          <w:p w14:paraId="76F4C5A4"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12/31/2020</w:t>
            </w:r>
          </w:p>
        </w:tc>
        <w:tc>
          <w:tcPr>
            <w:tcW w:w="1320" w:type="dxa"/>
            <w:noWrap/>
            <w:hideMark/>
          </w:tcPr>
          <w:p w14:paraId="274F21B6"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12/31/2002</w:t>
            </w:r>
          </w:p>
        </w:tc>
      </w:tr>
      <w:tr w:rsidR="00CE56DF" w:rsidRPr="00CE56DF" w14:paraId="5C6EB846"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5116E021"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Income Statement $:</w:t>
            </w:r>
          </w:p>
        </w:tc>
        <w:tc>
          <w:tcPr>
            <w:tcW w:w="1380" w:type="dxa"/>
            <w:noWrap/>
            <w:hideMark/>
          </w:tcPr>
          <w:p w14:paraId="75A12EF9"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QTR</w:t>
            </w:r>
          </w:p>
        </w:tc>
        <w:tc>
          <w:tcPr>
            <w:tcW w:w="1280" w:type="dxa"/>
            <w:noWrap/>
            <w:hideMark/>
          </w:tcPr>
          <w:p w14:paraId="4393F042"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QTR</w:t>
            </w:r>
          </w:p>
        </w:tc>
        <w:tc>
          <w:tcPr>
            <w:tcW w:w="1440" w:type="dxa"/>
            <w:noWrap/>
            <w:hideMark/>
          </w:tcPr>
          <w:p w14:paraId="1D74D9BD"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YTD</w:t>
            </w:r>
          </w:p>
        </w:tc>
        <w:tc>
          <w:tcPr>
            <w:tcW w:w="1320" w:type="dxa"/>
            <w:noWrap/>
            <w:hideMark/>
          </w:tcPr>
          <w:p w14:paraId="26D1DF42"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QTR</w:t>
            </w:r>
          </w:p>
        </w:tc>
      </w:tr>
      <w:tr w:rsidR="00CE56DF" w:rsidRPr="00CE56DF" w14:paraId="1C179359"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EA03258"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Interest Income</w:t>
            </w:r>
          </w:p>
        </w:tc>
        <w:tc>
          <w:tcPr>
            <w:tcW w:w="1380" w:type="dxa"/>
            <w:noWrap/>
            <w:hideMark/>
          </w:tcPr>
          <w:p w14:paraId="02B8167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4,814</w:t>
            </w:r>
          </w:p>
        </w:tc>
        <w:tc>
          <w:tcPr>
            <w:tcW w:w="1280" w:type="dxa"/>
            <w:noWrap/>
            <w:hideMark/>
          </w:tcPr>
          <w:p w14:paraId="6B41909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5,475</w:t>
            </w:r>
          </w:p>
        </w:tc>
        <w:tc>
          <w:tcPr>
            <w:tcW w:w="1440" w:type="dxa"/>
            <w:noWrap/>
            <w:hideMark/>
          </w:tcPr>
          <w:p w14:paraId="4D53E843"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19,226</w:t>
            </w:r>
          </w:p>
        </w:tc>
        <w:tc>
          <w:tcPr>
            <w:tcW w:w="1320" w:type="dxa"/>
            <w:noWrap/>
            <w:hideMark/>
          </w:tcPr>
          <w:p w14:paraId="27023E2A"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3,504</w:t>
            </w:r>
          </w:p>
        </w:tc>
      </w:tr>
      <w:tr w:rsidR="00CE56DF" w:rsidRPr="00CE56DF" w14:paraId="7ABB667B"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4F7C78C0"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Noninterest Income</w:t>
            </w:r>
          </w:p>
        </w:tc>
        <w:tc>
          <w:tcPr>
            <w:tcW w:w="1380" w:type="dxa"/>
            <w:noWrap/>
            <w:hideMark/>
          </w:tcPr>
          <w:p w14:paraId="7531392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8,594</w:t>
            </w:r>
          </w:p>
        </w:tc>
        <w:tc>
          <w:tcPr>
            <w:tcW w:w="1280" w:type="dxa"/>
            <w:noWrap/>
            <w:hideMark/>
          </w:tcPr>
          <w:p w14:paraId="7C6ACACF"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5,973</w:t>
            </w:r>
          </w:p>
        </w:tc>
        <w:tc>
          <w:tcPr>
            <w:tcW w:w="1440" w:type="dxa"/>
            <w:noWrap/>
            <w:hideMark/>
          </w:tcPr>
          <w:p w14:paraId="27F35D37"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16,659</w:t>
            </w:r>
          </w:p>
        </w:tc>
        <w:tc>
          <w:tcPr>
            <w:tcW w:w="1320" w:type="dxa"/>
            <w:noWrap/>
            <w:hideMark/>
          </w:tcPr>
          <w:p w14:paraId="3E4BBDC1"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942</w:t>
            </w:r>
          </w:p>
        </w:tc>
      </w:tr>
      <w:tr w:rsidR="00CE56DF" w:rsidRPr="00CE56DF" w14:paraId="663A8A76"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25786EE"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Noninterest Expense</w:t>
            </w:r>
          </w:p>
        </w:tc>
        <w:tc>
          <w:tcPr>
            <w:tcW w:w="1380" w:type="dxa"/>
            <w:noWrap/>
            <w:hideMark/>
          </w:tcPr>
          <w:p w14:paraId="72E010E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6,748</w:t>
            </w:r>
          </w:p>
        </w:tc>
        <w:tc>
          <w:tcPr>
            <w:tcW w:w="1280" w:type="dxa"/>
            <w:noWrap/>
            <w:hideMark/>
          </w:tcPr>
          <w:p w14:paraId="18F47F54"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6,415</w:t>
            </w:r>
          </w:p>
        </w:tc>
        <w:tc>
          <w:tcPr>
            <w:tcW w:w="1440" w:type="dxa"/>
            <w:noWrap/>
            <w:hideMark/>
          </w:tcPr>
          <w:p w14:paraId="76C5802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26,268</w:t>
            </w:r>
          </w:p>
        </w:tc>
        <w:tc>
          <w:tcPr>
            <w:tcW w:w="1320" w:type="dxa"/>
            <w:noWrap/>
            <w:hideMark/>
          </w:tcPr>
          <w:p w14:paraId="11D2FCD7"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4,340</w:t>
            </w:r>
          </w:p>
        </w:tc>
      </w:tr>
      <w:tr w:rsidR="00CE56DF" w:rsidRPr="00CE56DF" w14:paraId="1F1AA6D1"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EDEC035"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Provision: Loan &amp; Lease Losses</w:t>
            </w:r>
          </w:p>
        </w:tc>
        <w:tc>
          <w:tcPr>
            <w:tcW w:w="1380" w:type="dxa"/>
            <w:noWrap/>
            <w:hideMark/>
          </w:tcPr>
          <w:p w14:paraId="7280AE4E"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167</w:t>
            </w:r>
          </w:p>
        </w:tc>
        <w:tc>
          <w:tcPr>
            <w:tcW w:w="1280" w:type="dxa"/>
            <w:noWrap/>
            <w:hideMark/>
          </w:tcPr>
          <w:p w14:paraId="4DABECAF"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500</w:t>
            </w:r>
          </w:p>
        </w:tc>
        <w:tc>
          <w:tcPr>
            <w:tcW w:w="1440" w:type="dxa"/>
            <w:noWrap/>
            <w:hideMark/>
          </w:tcPr>
          <w:p w14:paraId="57A3C346"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1,869</w:t>
            </w:r>
          </w:p>
        </w:tc>
        <w:tc>
          <w:tcPr>
            <w:tcW w:w="1320" w:type="dxa"/>
            <w:noWrap/>
            <w:hideMark/>
          </w:tcPr>
          <w:p w14:paraId="40873C21"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w:t>
            </w:r>
          </w:p>
        </w:tc>
      </w:tr>
      <w:tr w:rsidR="00CE56DF" w:rsidRPr="00CE56DF" w14:paraId="4A223AD7"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5C7E57D2"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Income</w:t>
            </w:r>
          </w:p>
        </w:tc>
        <w:tc>
          <w:tcPr>
            <w:tcW w:w="1380" w:type="dxa"/>
            <w:noWrap/>
            <w:hideMark/>
          </w:tcPr>
          <w:p w14:paraId="75FC0075"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4,783</w:t>
            </w:r>
          </w:p>
        </w:tc>
        <w:tc>
          <w:tcPr>
            <w:tcW w:w="1280" w:type="dxa"/>
            <w:noWrap/>
            <w:hideMark/>
          </w:tcPr>
          <w:p w14:paraId="5FAA7B4B"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3,223</w:t>
            </w:r>
          </w:p>
        </w:tc>
        <w:tc>
          <w:tcPr>
            <w:tcW w:w="1440" w:type="dxa"/>
            <w:noWrap/>
            <w:hideMark/>
          </w:tcPr>
          <w:p w14:paraId="2A48D094"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5,674</w:t>
            </w:r>
          </w:p>
        </w:tc>
        <w:tc>
          <w:tcPr>
            <w:tcW w:w="1320" w:type="dxa"/>
            <w:noWrap/>
            <w:hideMark/>
          </w:tcPr>
          <w:p w14:paraId="4676798F"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258</w:t>
            </w:r>
          </w:p>
        </w:tc>
      </w:tr>
      <w:tr w:rsidR="00CE56DF" w:rsidRPr="00CE56DF" w14:paraId="23F267BD"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E38266B"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Earnings and Profitability:</w:t>
            </w:r>
          </w:p>
        </w:tc>
        <w:tc>
          <w:tcPr>
            <w:tcW w:w="1380" w:type="dxa"/>
            <w:noWrap/>
            <w:hideMark/>
          </w:tcPr>
          <w:p w14:paraId="6B26A851"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80" w:type="dxa"/>
            <w:noWrap/>
            <w:hideMark/>
          </w:tcPr>
          <w:p w14:paraId="45141646"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2EA7562B"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64A1882F"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19916265"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25829062"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Percent of Average Assets:</w:t>
            </w:r>
          </w:p>
        </w:tc>
        <w:tc>
          <w:tcPr>
            <w:tcW w:w="1380" w:type="dxa"/>
            <w:noWrap/>
            <w:hideMark/>
          </w:tcPr>
          <w:p w14:paraId="1CE9C776"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4F95B4C3"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3D446DD6"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05369226"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57349BE9"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9788512"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Interest Income</w:t>
            </w:r>
          </w:p>
        </w:tc>
        <w:tc>
          <w:tcPr>
            <w:tcW w:w="1380" w:type="dxa"/>
            <w:noWrap/>
            <w:hideMark/>
          </w:tcPr>
          <w:p w14:paraId="1F95EF37"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3.43</w:t>
            </w:r>
          </w:p>
        </w:tc>
        <w:tc>
          <w:tcPr>
            <w:tcW w:w="1280" w:type="dxa"/>
            <w:noWrap/>
            <w:hideMark/>
          </w:tcPr>
          <w:p w14:paraId="5606C534"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4.55</w:t>
            </w:r>
          </w:p>
        </w:tc>
        <w:tc>
          <w:tcPr>
            <w:tcW w:w="1440" w:type="dxa"/>
            <w:noWrap/>
            <w:hideMark/>
          </w:tcPr>
          <w:p w14:paraId="5CC84CE2"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3.39</w:t>
            </w:r>
          </w:p>
        </w:tc>
        <w:tc>
          <w:tcPr>
            <w:tcW w:w="1320" w:type="dxa"/>
            <w:noWrap/>
            <w:hideMark/>
          </w:tcPr>
          <w:p w14:paraId="0B3A50A6"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4.71</w:t>
            </w:r>
          </w:p>
        </w:tc>
      </w:tr>
      <w:tr w:rsidR="00CE56DF" w:rsidRPr="00CE56DF" w14:paraId="706EB68E"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84E2EE9"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Noninterest Income</w:t>
            </w:r>
          </w:p>
        </w:tc>
        <w:tc>
          <w:tcPr>
            <w:tcW w:w="1380" w:type="dxa"/>
            <w:noWrap/>
            <w:hideMark/>
          </w:tcPr>
          <w:p w14:paraId="0A6A5E64"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6.13</w:t>
            </w:r>
          </w:p>
        </w:tc>
        <w:tc>
          <w:tcPr>
            <w:tcW w:w="1280" w:type="dxa"/>
            <w:noWrap/>
            <w:hideMark/>
          </w:tcPr>
          <w:p w14:paraId="2DB3C938"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4.96</w:t>
            </w:r>
          </w:p>
        </w:tc>
        <w:tc>
          <w:tcPr>
            <w:tcW w:w="1440" w:type="dxa"/>
            <w:noWrap/>
            <w:hideMark/>
          </w:tcPr>
          <w:p w14:paraId="653B273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2.94</w:t>
            </w:r>
          </w:p>
        </w:tc>
        <w:tc>
          <w:tcPr>
            <w:tcW w:w="1320" w:type="dxa"/>
            <w:noWrap/>
            <w:hideMark/>
          </w:tcPr>
          <w:p w14:paraId="295D03F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1.27</w:t>
            </w:r>
          </w:p>
        </w:tc>
      </w:tr>
      <w:tr w:rsidR="00CE56DF" w:rsidRPr="00CE56DF" w14:paraId="2C9CB1C3"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25E67E2"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Noninterest Expense</w:t>
            </w:r>
          </w:p>
        </w:tc>
        <w:tc>
          <w:tcPr>
            <w:tcW w:w="1380" w:type="dxa"/>
            <w:noWrap/>
            <w:hideMark/>
          </w:tcPr>
          <w:p w14:paraId="5AC44482"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4.81</w:t>
            </w:r>
          </w:p>
        </w:tc>
        <w:tc>
          <w:tcPr>
            <w:tcW w:w="1280" w:type="dxa"/>
            <w:noWrap/>
            <w:hideMark/>
          </w:tcPr>
          <w:p w14:paraId="36850F4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5.33</w:t>
            </w:r>
          </w:p>
        </w:tc>
        <w:tc>
          <w:tcPr>
            <w:tcW w:w="1440" w:type="dxa"/>
            <w:noWrap/>
            <w:hideMark/>
          </w:tcPr>
          <w:p w14:paraId="29A8381E"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4.63</w:t>
            </w:r>
          </w:p>
        </w:tc>
        <w:tc>
          <w:tcPr>
            <w:tcW w:w="1320" w:type="dxa"/>
            <w:noWrap/>
            <w:hideMark/>
          </w:tcPr>
          <w:p w14:paraId="357D8D26"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5.84</w:t>
            </w:r>
          </w:p>
        </w:tc>
      </w:tr>
      <w:tr w:rsidR="00CE56DF" w:rsidRPr="00CE56DF" w14:paraId="64342595"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25C6035"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Provision: Loan &amp; Lease Losses</w:t>
            </w:r>
          </w:p>
        </w:tc>
        <w:tc>
          <w:tcPr>
            <w:tcW w:w="1380" w:type="dxa"/>
            <w:noWrap/>
            <w:hideMark/>
          </w:tcPr>
          <w:p w14:paraId="7CE386F9"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0.12</w:t>
            </w:r>
          </w:p>
        </w:tc>
        <w:tc>
          <w:tcPr>
            <w:tcW w:w="1280" w:type="dxa"/>
            <w:noWrap/>
            <w:hideMark/>
          </w:tcPr>
          <w:p w14:paraId="3FBE07BA"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0.42</w:t>
            </w:r>
          </w:p>
        </w:tc>
        <w:tc>
          <w:tcPr>
            <w:tcW w:w="1440" w:type="dxa"/>
            <w:noWrap/>
            <w:hideMark/>
          </w:tcPr>
          <w:p w14:paraId="783B3B6A"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0.33</w:t>
            </w:r>
          </w:p>
        </w:tc>
        <w:tc>
          <w:tcPr>
            <w:tcW w:w="1320" w:type="dxa"/>
            <w:noWrap/>
            <w:hideMark/>
          </w:tcPr>
          <w:p w14:paraId="13635157"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w:t>
            </w:r>
          </w:p>
        </w:tc>
      </w:tr>
      <w:tr w:rsidR="00CE56DF" w:rsidRPr="00CE56DF" w14:paraId="172B0AE7"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3F92C110"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Income</w:t>
            </w:r>
          </w:p>
        </w:tc>
        <w:tc>
          <w:tcPr>
            <w:tcW w:w="1380" w:type="dxa"/>
            <w:noWrap/>
            <w:hideMark/>
          </w:tcPr>
          <w:p w14:paraId="7C0546EB"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3.41</w:t>
            </w:r>
          </w:p>
        </w:tc>
        <w:tc>
          <w:tcPr>
            <w:tcW w:w="1280" w:type="dxa"/>
            <w:noWrap/>
            <w:hideMark/>
          </w:tcPr>
          <w:p w14:paraId="717EA9D7"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2.68</w:t>
            </w:r>
          </w:p>
        </w:tc>
        <w:tc>
          <w:tcPr>
            <w:tcW w:w="1440" w:type="dxa"/>
            <w:noWrap/>
            <w:hideMark/>
          </w:tcPr>
          <w:p w14:paraId="2346A2B4"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w:t>
            </w:r>
          </w:p>
        </w:tc>
        <w:tc>
          <w:tcPr>
            <w:tcW w:w="1320" w:type="dxa"/>
            <w:noWrap/>
            <w:hideMark/>
          </w:tcPr>
          <w:p w14:paraId="67DCA822"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0.35</w:t>
            </w:r>
          </w:p>
        </w:tc>
      </w:tr>
      <w:tr w:rsidR="00CE56DF" w:rsidRPr="00CE56DF" w14:paraId="071C135E"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94DFEA1"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Return on Equity</w:t>
            </w:r>
          </w:p>
        </w:tc>
        <w:tc>
          <w:tcPr>
            <w:tcW w:w="1380" w:type="dxa"/>
            <w:noWrap/>
            <w:hideMark/>
          </w:tcPr>
          <w:p w14:paraId="702E67F6"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41.99</w:t>
            </w:r>
          </w:p>
        </w:tc>
        <w:tc>
          <w:tcPr>
            <w:tcW w:w="1280" w:type="dxa"/>
            <w:noWrap/>
            <w:hideMark/>
          </w:tcPr>
          <w:p w14:paraId="3F5743C6"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33.1</w:t>
            </w:r>
          </w:p>
        </w:tc>
        <w:tc>
          <w:tcPr>
            <w:tcW w:w="1440" w:type="dxa"/>
            <w:noWrap/>
            <w:hideMark/>
          </w:tcPr>
          <w:p w14:paraId="11CFE31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13.09</w:t>
            </w:r>
          </w:p>
        </w:tc>
        <w:tc>
          <w:tcPr>
            <w:tcW w:w="1320" w:type="dxa"/>
            <w:noWrap/>
            <w:hideMark/>
          </w:tcPr>
          <w:p w14:paraId="6F46B85F"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3.94</w:t>
            </w:r>
          </w:p>
        </w:tc>
      </w:tr>
      <w:tr w:rsidR="00CE56DF" w:rsidRPr="00CE56DF" w14:paraId="54AFE822"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5B1FC48E"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Int Inc to Avg Earn Assets</w:t>
            </w:r>
          </w:p>
        </w:tc>
        <w:tc>
          <w:tcPr>
            <w:tcW w:w="1380" w:type="dxa"/>
            <w:noWrap/>
            <w:hideMark/>
          </w:tcPr>
          <w:p w14:paraId="6CC45965"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3.57</w:t>
            </w:r>
          </w:p>
        </w:tc>
        <w:tc>
          <w:tcPr>
            <w:tcW w:w="1280" w:type="dxa"/>
            <w:noWrap/>
            <w:hideMark/>
          </w:tcPr>
          <w:p w14:paraId="43A6616A"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4.76</w:t>
            </w:r>
          </w:p>
        </w:tc>
        <w:tc>
          <w:tcPr>
            <w:tcW w:w="1440" w:type="dxa"/>
            <w:noWrap/>
            <w:hideMark/>
          </w:tcPr>
          <w:p w14:paraId="60F404BC"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3.58</w:t>
            </w:r>
          </w:p>
        </w:tc>
        <w:tc>
          <w:tcPr>
            <w:tcW w:w="1320" w:type="dxa"/>
            <w:noWrap/>
            <w:hideMark/>
          </w:tcPr>
          <w:p w14:paraId="0C66895A"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4.84</w:t>
            </w:r>
          </w:p>
        </w:tc>
      </w:tr>
      <w:tr w:rsidR="00CE56DF" w:rsidRPr="00CE56DF" w14:paraId="33436EDF"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B694128"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Loan and Lease Analysis:</w:t>
            </w:r>
          </w:p>
        </w:tc>
        <w:tc>
          <w:tcPr>
            <w:tcW w:w="1380" w:type="dxa"/>
            <w:noWrap/>
            <w:hideMark/>
          </w:tcPr>
          <w:p w14:paraId="0FF58F73"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5A8CE240"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69D0A948"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04FB2EEA"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5C10D04E"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3D012CC4"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Loss to Average Total LN&amp;LS</w:t>
            </w:r>
          </w:p>
        </w:tc>
        <w:tc>
          <w:tcPr>
            <w:tcW w:w="1380" w:type="dxa"/>
            <w:noWrap/>
            <w:hideMark/>
          </w:tcPr>
          <w:p w14:paraId="711F272E"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0.5</w:t>
            </w:r>
          </w:p>
        </w:tc>
        <w:tc>
          <w:tcPr>
            <w:tcW w:w="1280" w:type="dxa"/>
            <w:noWrap/>
            <w:hideMark/>
          </w:tcPr>
          <w:p w14:paraId="532EF098"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1.06</w:t>
            </w:r>
          </w:p>
        </w:tc>
        <w:tc>
          <w:tcPr>
            <w:tcW w:w="1440" w:type="dxa"/>
            <w:noWrap/>
            <w:hideMark/>
          </w:tcPr>
          <w:p w14:paraId="4AD0CBD0"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0.14</w:t>
            </w:r>
          </w:p>
        </w:tc>
        <w:tc>
          <w:tcPr>
            <w:tcW w:w="1320" w:type="dxa"/>
            <w:noWrap/>
            <w:hideMark/>
          </w:tcPr>
          <w:p w14:paraId="4727C72C"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0.27</w:t>
            </w:r>
          </w:p>
        </w:tc>
      </w:tr>
      <w:tr w:rsidR="00CE56DF" w:rsidRPr="00CE56DF" w14:paraId="01931104"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C141AB4"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LN&amp;LS Allowance to Total LN&amp;LS</w:t>
            </w:r>
          </w:p>
        </w:tc>
        <w:tc>
          <w:tcPr>
            <w:tcW w:w="1380" w:type="dxa"/>
            <w:noWrap/>
            <w:hideMark/>
          </w:tcPr>
          <w:p w14:paraId="7A51211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1.46</w:t>
            </w:r>
          </w:p>
        </w:tc>
        <w:tc>
          <w:tcPr>
            <w:tcW w:w="1280" w:type="dxa"/>
            <w:noWrap/>
            <w:hideMark/>
          </w:tcPr>
          <w:p w14:paraId="15703872"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1.1</w:t>
            </w:r>
          </w:p>
        </w:tc>
        <w:tc>
          <w:tcPr>
            <w:tcW w:w="1440" w:type="dxa"/>
            <w:noWrap/>
            <w:hideMark/>
          </w:tcPr>
          <w:p w14:paraId="0D3217E7"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55CBAC05"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2.16</w:t>
            </w:r>
          </w:p>
        </w:tc>
      </w:tr>
      <w:tr w:rsidR="00CE56DF" w:rsidRPr="00CE56DF" w14:paraId="58FE6BB6"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20067BA"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LN&amp;LS-90+ Days PD &amp; Non-accr to LN&amp;LS</w:t>
            </w:r>
          </w:p>
        </w:tc>
        <w:tc>
          <w:tcPr>
            <w:tcW w:w="1380" w:type="dxa"/>
            <w:noWrap/>
            <w:hideMark/>
          </w:tcPr>
          <w:p w14:paraId="6497F08F"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5.06</w:t>
            </w:r>
          </w:p>
        </w:tc>
        <w:tc>
          <w:tcPr>
            <w:tcW w:w="1280" w:type="dxa"/>
            <w:noWrap/>
            <w:hideMark/>
          </w:tcPr>
          <w:p w14:paraId="33F486CF"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2.43</w:t>
            </w:r>
          </w:p>
        </w:tc>
        <w:tc>
          <w:tcPr>
            <w:tcW w:w="1440" w:type="dxa"/>
            <w:noWrap/>
            <w:hideMark/>
          </w:tcPr>
          <w:p w14:paraId="46E4912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49A1A331"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2.43</w:t>
            </w:r>
          </w:p>
        </w:tc>
      </w:tr>
      <w:tr w:rsidR="00CE56DF" w:rsidRPr="00CE56DF" w14:paraId="437DB07C"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337707F3"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Liquidity/Interest Rate Risk:</w:t>
            </w:r>
          </w:p>
        </w:tc>
        <w:tc>
          <w:tcPr>
            <w:tcW w:w="1380" w:type="dxa"/>
            <w:noWrap/>
            <w:hideMark/>
          </w:tcPr>
          <w:p w14:paraId="7878BF27"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4B4A3F1E"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7A6436CA"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7196DBDD"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21A3D29D"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47E860FC"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Loans &amp; Leases to Deposits</w:t>
            </w:r>
          </w:p>
        </w:tc>
        <w:tc>
          <w:tcPr>
            <w:tcW w:w="1380" w:type="dxa"/>
            <w:noWrap/>
            <w:hideMark/>
          </w:tcPr>
          <w:p w14:paraId="38DD7884"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69.63</w:t>
            </w:r>
          </w:p>
        </w:tc>
        <w:tc>
          <w:tcPr>
            <w:tcW w:w="1280" w:type="dxa"/>
            <w:noWrap/>
            <w:hideMark/>
          </w:tcPr>
          <w:p w14:paraId="2365390C"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71.13</w:t>
            </w:r>
          </w:p>
        </w:tc>
        <w:tc>
          <w:tcPr>
            <w:tcW w:w="1440" w:type="dxa"/>
            <w:noWrap/>
            <w:hideMark/>
          </w:tcPr>
          <w:p w14:paraId="7D4A33B5"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22AEA95B"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56.88</w:t>
            </w:r>
          </w:p>
        </w:tc>
      </w:tr>
      <w:tr w:rsidR="00CE56DF" w:rsidRPr="00CE56DF" w14:paraId="2C53D859"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24D3A09C"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Loans &amp; Leases to Assets</w:t>
            </w:r>
          </w:p>
        </w:tc>
        <w:tc>
          <w:tcPr>
            <w:tcW w:w="1380" w:type="dxa"/>
            <w:noWrap/>
            <w:hideMark/>
          </w:tcPr>
          <w:p w14:paraId="65C556C3"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62.46</w:t>
            </w:r>
          </w:p>
        </w:tc>
        <w:tc>
          <w:tcPr>
            <w:tcW w:w="1280" w:type="dxa"/>
            <w:noWrap/>
            <w:hideMark/>
          </w:tcPr>
          <w:p w14:paraId="5E9E6BBA"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64.19</w:t>
            </w:r>
          </w:p>
        </w:tc>
        <w:tc>
          <w:tcPr>
            <w:tcW w:w="1440" w:type="dxa"/>
            <w:noWrap/>
            <w:hideMark/>
          </w:tcPr>
          <w:p w14:paraId="7E97A63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1ACFAE06"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45.7</w:t>
            </w:r>
          </w:p>
        </w:tc>
      </w:tr>
      <w:tr w:rsidR="00CE56DF" w:rsidRPr="00CE56DF" w14:paraId="2069E192"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279FA2B4"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Short Term Liabilities to Assets</w:t>
            </w:r>
          </w:p>
        </w:tc>
        <w:tc>
          <w:tcPr>
            <w:tcW w:w="1380" w:type="dxa"/>
            <w:noWrap/>
            <w:hideMark/>
          </w:tcPr>
          <w:p w14:paraId="32319B1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-16.36</w:t>
            </w:r>
          </w:p>
        </w:tc>
        <w:tc>
          <w:tcPr>
            <w:tcW w:w="1280" w:type="dxa"/>
            <w:noWrap/>
            <w:hideMark/>
          </w:tcPr>
          <w:p w14:paraId="3417E167"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-10.98</w:t>
            </w:r>
          </w:p>
        </w:tc>
        <w:tc>
          <w:tcPr>
            <w:tcW w:w="1440" w:type="dxa"/>
            <w:noWrap/>
            <w:hideMark/>
          </w:tcPr>
          <w:p w14:paraId="132F05A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0DF8E4B0"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11.32</w:t>
            </w:r>
          </w:p>
        </w:tc>
      </w:tr>
      <w:tr w:rsidR="00CE56DF" w:rsidRPr="00CE56DF" w14:paraId="13F0358D"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8FF6945"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Over 1 Year Position</w:t>
            </w:r>
          </w:p>
        </w:tc>
        <w:tc>
          <w:tcPr>
            <w:tcW w:w="1380" w:type="dxa"/>
            <w:noWrap/>
            <w:hideMark/>
          </w:tcPr>
          <w:p w14:paraId="19763DA2"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59.05</w:t>
            </w:r>
          </w:p>
        </w:tc>
        <w:tc>
          <w:tcPr>
            <w:tcW w:w="1280" w:type="dxa"/>
            <w:noWrap/>
            <w:hideMark/>
          </w:tcPr>
          <w:p w14:paraId="682720DA"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61.22</w:t>
            </w:r>
          </w:p>
        </w:tc>
        <w:tc>
          <w:tcPr>
            <w:tcW w:w="1440" w:type="dxa"/>
            <w:noWrap/>
            <w:hideMark/>
          </w:tcPr>
          <w:p w14:paraId="40244375"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4A3CA76F"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76.75</w:t>
            </w:r>
          </w:p>
        </w:tc>
      </w:tr>
      <w:tr w:rsidR="00CE56DF" w:rsidRPr="00CE56DF" w14:paraId="7DB3972E"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1432F1A"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Over 3 Year Position</w:t>
            </w:r>
          </w:p>
        </w:tc>
        <w:tc>
          <w:tcPr>
            <w:tcW w:w="1380" w:type="dxa"/>
            <w:noWrap/>
            <w:hideMark/>
          </w:tcPr>
          <w:p w14:paraId="0972B9DD"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39.88</w:t>
            </w:r>
          </w:p>
        </w:tc>
        <w:tc>
          <w:tcPr>
            <w:tcW w:w="1280" w:type="dxa"/>
            <w:noWrap/>
            <w:hideMark/>
          </w:tcPr>
          <w:p w14:paraId="1150F65B"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45.86</w:t>
            </w:r>
          </w:p>
        </w:tc>
        <w:tc>
          <w:tcPr>
            <w:tcW w:w="1440" w:type="dxa"/>
            <w:noWrap/>
            <w:hideMark/>
          </w:tcPr>
          <w:p w14:paraId="6A07C055"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466A7913"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55.27</w:t>
            </w:r>
          </w:p>
        </w:tc>
      </w:tr>
      <w:tr w:rsidR="00CE56DF" w:rsidRPr="00CE56DF" w14:paraId="41620F3D"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DBBB246"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Capitalization:</w:t>
            </w:r>
          </w:p>
        </w:tc>
        <w:tc>
          <w:tcPr>
            <w:tcW w:w="1380" w:type="dxa"/>
            <w:noWrap/>
            <w:hideMark/>
          </w:tcPr>
          <w:p w14:paraId="54B31D4A"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76779571"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64AD1007"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5E4CBFAC" w14:textId="77777777" w:rsidR="00CE56DF" w:rsidRPr="00CE56DF" w:rsidRDefault="00CE56DF" w:rsidP="00CE56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E56DF" w:rsidRPr="00CE56DF" w14:paraId="011B23EA"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9EF6442"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Tier One Leverage Capital</w:t>
            </w:r>
          </w:p>
        </w:tc>
        <w:tc>
          <w:tcPr>
            <w:tcW w:w="1380" w:type="dxa"/>
            <w:noWrap/>
            <w:hideMark/>
          </w:tcPr>
          <w:p w14:paraId="1FE634A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7.98</w:t>
            </w:r>
          </w:p>
        </w:tc>
        <w:tc>
          <w:tcPr>
            <w:tcW w:w="1280" w:type="dxa"/>
            <w:noWrap/>
            <w:hideMark/>
          </w:tcPr>
          <w:p w14:paraId="5D7EF476"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8.14</w:t>
            </w:r>
          </w:p>
        </w:tc>
        <w:tc>
          <w:tcPr>
            <w:tcW w:w="1440" w:type="dxa"/>
            <w:noWrap/>
            <w:hideMark/>
          </w:tcPr>
          <w:p w14:paraId="6A752E21"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2C778AF8"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7.4</w:t>
            </w:r>
          </w:p>
        </w:tc>
      </w:tr>
      <w:tr w:rsidR="00CE56DF" w:rsidRPr="00CE56DF" w14:paraId="3E88BF94"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93D76FE"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Total Capital Ratio</w:t>
            </w:r>
          </w:p>
        </w:tc>
        <w:tc>
          <w:tcPr>
            <w:tcW w:w="1380" w:type="dxa"/>
            <w:noWrap/>
            <w:hideMark/>
          </w:tcPr>
          <w:p w14:paraId="160A9D7B"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14.27</w:t>
            </w:r>
          </w:p>
        </w:tc>
        <w:tc>
          <w:tcPr>
            <w:tcW w:w="1280" w:type="dxa"/>
            <w:noWrap/>
            <w:hideMark/>
          </w:tcPr>
          <w:p w14:paraId="3048474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12.16</w:t>
            </w:r>
          </w:p>
        </w:tc>
        <w:tc>
          <w:tcPr>
            <w:tcW w:w="1440" w:type="dxa"/>
            <w:noWrap/>
            <w:hideMark/>
          </w:tcPr>
          <w:p w14:paraId="5FE3F501"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473B0702"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15.77</w:t>
            </w:r>
          </w:p>
        </w:tc>
      </w:tr>
      <w:tr w:rsidR="00CE56DF" w:rsidRPr="00CE56DF" w14:paraId="0BEF8C4B"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F2A612A"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Common Equity Tier 1 Cap Ratio</w:t>
            </w:r>
          </w:p>
        </w:tc>
        <w:tc>
          <w:tcPr>
            <w:tcW w:w="1380" w:type="dxa"/>
            <w:noWrap/>
            <w:hideMark/>
          </w:tcPr>
          <w:p w14:paraId="37DE5E47"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13.02</w:t>
            </w:r>
          </w:p>
        </w:tc>
        <w:tc>
          <w:tcPr>
            <w:tcW w:w="1280" w:type="dxa"/>
            <w:noWrap/>
            <w:hideMark/>
          </w:tcPr>
          <w:p w14:paraId="68D39159"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11.08</w:t>
            </w:r>
          </w:p>
        </w:tc>
        <w:tc>
          <w:tcPr>
            <w:tcW w:w="1440" w:type="dxa"/>
            <w:noWrap/>
            <w:hideMark/>
          </w:tcPr>
          <w:p w14:paraId="177BEF15"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088FB3C0"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N/A</w:t>
            </w:r>
          </w:p>
        </w:tc>
      </w:tr>
      <w:tr w:rsidR="00CE56DF" w:rsidRPr="00CE56DF" w14:paraId="332D2742"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FE5CDEB"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Cash Dividends to Net Income</w:t>
            </w:r>
          </w:p>
        </w:tc>
        <w:tc>
          <w:tcPr>
            <w:tcW w:w="1380" w:type="dxa"/>
            <w:noWrap/>
            <w:hideMark/>
          </w:tcPr>
          <w:p w14:paraId="2E19A4D0"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4.75</w:t>
            </w:r>
          </w:p>
        </w:tc>
        <w:tc>
          <w:tcPr>
            <w:tcW w:w="1280" w:type="dxa"/>
            <w:noWrap/>
            <w:hideMark/>
          </w:tcPr>
          <w:p w14:paraId="28D47D88"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3.01</w:t>
            </w:r>
          </w:p>
        </w:tc>
        <w:tc>
          <w:tcPr>
            <w:tcW w:w="1440" w:type="dxa"/>
            <w:noWrap/>
            <w:hideMark/>
          </w:tcPr>
          <w:p w14:paraId="7AE08632"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w:t>
            </w:r>
          </w:p>
        </w:tc>
        <w:tc>
          <w:tcPr>
            <w:tcW w:w="1320" w:type="dxa"/>
            <w:noWrap/>
            <w:hideMark/>
          </w:tcPr>
          <w:p w14:paraId="12892A6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w:t>
            </w:r>
          </w:p>
        </w:tc>
      </w:tr>
      <w:tr w:rsidR="00CE56DF" w:rsidRPr="00CE56DF" w14:paraId="28EBD734"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647E764"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Growth Rates:</w:t>
            </w:r>
          </w:p>
        </w:tc>
        <w:tc>
          <w:tcPr>
            <w:tcW w:w="1380" w:type="dxa"/>
            <w:noWrap/>
            <w:hideMark/>
          </w:tcPr>
          <w:p w14:paraId="6F84CE0D"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80" w:type="dxa"/>
            <w:noWrap/>
            <w:hideMark/>
          </w:tcPr>
          <w:p w14:paraId="54E1CA0C"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75111BFA"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 Months</w:t>
            </w:r>
          </w:p>
        </w:tc>
        <w:tc>
          <w:tcPr>
            <w:tcW w:w="1320" w:type="dxa"/>
            <w:noWrap/>
            <w:hideMark/>
          </w:tcPr>
          <w:p w14:paraId="2C6B3C0F" w14:textId="77777777" w:rsidR="00CE56DF" w:rsidRPr="00CE56DF" w:rsidRDefault="00CE56DF" w:rsidP="00CE56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E56DF" w:rsidRPr="00CE56DF" w14:paraId="0CA9BFA4"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AABB1DD"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Total Assets</w:t>
            </w:r>
          </w:p>
        </w:tc>
        <w:tc>
          <w:tcPr>
            <w:tcW w:w="1380" w:type="dxa"/>
            <w:noWrap/>
            <w:hideMark/>
          </w:tcPr>
          <w:p w14:paraId="27D37288"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1.08</w:t>
            </w:r>
          </w:p>
        </w:tc>
        <w:tc>
          <w:tcPr>
            <w:tcW w:w="1280" w:type="dxa"/>
            <w:noWrap/>
            <w:hideMark/>
          </w:tcPr>
          <w:p w14:paraId="75DD9FFF"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24.91</w:t>
            </w:r>
          </w:p>
        </w:tc>
        <w:tc>
          <w:tcPr>
            <w:tcW w:w="1440" w:type="dxa"/>
            <w:noWrap/>
            <w:hideMark/>
          </w:tcPr>
          <w:p w14:paraId="524FFC9C"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5.44</w:t>
            </w:r>
          </w:p>
        </w:tc>
        <w:tc>
          <w:tcPr>
            <w:tcW w:w="1320" w:type="dxa"/>
            <w:noWrap/>
            <w:hideMark/>
          </w:tcPr>
          <w:p w14:paraId="619AD9FE"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-1.79</w:t>
            </w:r>
          </w:p>
        </w:tc>
      </w:tr>
      <w:tr w:rsidR="00CE56DF" w:rsidRPr="00CE56DF" w14:paraId="17508329"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729AC4D"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Net Loans &amp; Leases</w:t>
            </w:r>
          </w:p>
        </w:tc>
        <w:tc>
          <w:tcPr>
            <w:tcW w:w="1380" w:type="dxa"/>
            <w:noWrap/>
            <w:hideMark/>
          </w:tcPr>
          <w:p w14:paraId="44C3E8E1"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-0.7</w:t>
            </w:r>
          </w:p>
        </w:tc>
        <w:tc>
          <w:tcPr>
            <w:tcW w:w="1280" w:type="dxa"/>
            <w:noWrap/>
            <w:hideMark/>
          </w:tcPr>
          <w:p w14:paraId="2AC9D096"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10.81</w:t>
            </w:r>
          </w:p>
        </w:tc>
        <w:tc>
          <w:tcPr>
            <w:tcW w:w="1440" w:type="dxa"/>
            <w:noWrap/>
            <w:hideMark/>
          </w:tcPr>
          <w:p w14:paraId="1B53E3F6"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2.61</w:t>
            </w:r>
          </w:p>
        </w:tc>
        <w:tc>
          <w:tcPr>
            <w:tcW w:w="1320" w:type="dxa"/>
            <w:noWrap/>
            <w:hideMark/>
          </w:tcPr>
          <w:p w14:paraId="7C5D0332" w14:textId="77777777" w:rsidR="00CE56DF" w:rsidRPr="00CE56DF" w:rsidRDefault="00CE56DF" w:rsidP="00CE56D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0.95</w:t>
            </w:r>
          </w:p>
        </w:tc>
      </w:tr>
      <w:tr w:rsidR="00CE56DF" w:rsidRPr="00CE56DF" w14:paraId="193198F8"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6C48840" w14:textId="77777777" w:rsidR="00CE56DF" w:rsidRPr="00CE56DF" w:rsidRDefault="00CE56DF" w:rsidP="00CE56DF">
            <w:pPr>
              <w:rPr>
                <w:rFonts w:ascii="Calibri" w:eastAsia="Times New Roman" w:hAnsi="Calibri" w:cs="Calibri"/>
                <w:color w:val="000000"/>
              </w:rPr>
            </w:pPr>
            <w:r w:rsidRPr="00CE56DF">
              <w:rPr>
                <w:rFonts w:ascii="Calibri" w:eastAsia="Times New Roman" w:hAnsi="Calibri" w:cs="Calibri"/>
                <w:color w:val="000000"/>
              </w:rPr>
              <w:t>Tier 1 Capital</w:t>
            </w:r>
          </w:p>
        </w:tc>
        <w:tc>
          <w:tcPr>
            <w:tcW w:w="1380" w:type="dxa"/>
            <w:noWrap/>
            <w:hideMark/>
          </w:tcPr>
          <w:p w14:paraId="3CABB63F"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11.48</w:t>
            </w:r>
          </w:p>
        </w:tc>
        <w:tc>
          <w:tcPr>
            <w:tcW w:w="1280" w:type="dxa"/>
            <w:noWrap/>
            <w:hideMark/>
          </w:tcPr>
          <w:p w14:paraId="227B752A"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7.38</w:t>
            </w:r>
          </w:p>
        </w:tc>
        <w:tc>
          <w:tcPr>
            <w:tcW w:w="1440" w:type="dxa"/>
            <w:noWrap/>
            <w:hideMark/>
          </w:tcPr>
          <w:p w14:paraId="754AA3C5"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14.12</w:t>
            </w:r>
          </w:p>
        </w:tc>
        <w:tc>
          <w:tcPr>
            <w:tcW w:w="1320" w:type="dxa"/>
            <w:noWrap/>
            <w:hideMark/>
          </w:tcPr>
          <w:p w14:paraId="4B79C2C3" w14:textId="77777777" w:rsidR="00CE56DF" w:rsidRPr="00CE56DF" w:rsidRDefault="00CE56DF" w:rsidP="00CE56D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1.25</w:t>
            </w:r>
          </w:p>
        </w:tc>
      </w:tr>
      <w:tr w:rsidR="009479F2" w:rsidRPr="00CE56DF" w14:paraId="7BA83E91"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1EC62BAD" w14:textId="06E801AF" w:rsidR="009479F2" w:rsidRPr="00CE56DF" w:rsidRDefault="009479F2" w:rsidP="009479F2">
            <w:pPr>
              <w:rPr>
                <w:rFonts w:ascii="Calibri" w:eastAsia="Times New Roman" w:hAnsi="Calibri" w:cs="Calibri"/>
                <w:color w:val="000000"/>
              </w:rPr>
            </w:pPr>
            <w:r w:rsidRPr="00D95D58">
              <w:rPr>
                <w:rFonts w:ascii="Calibri" w:eastAsia="Times New Roman" w:hAnsi="Calibri" w:cs="Calibri"/>
                <w:color w:val="000000"/>
              </w:rPr>
              <w:t>EXECUTIVE SUMMARY REPOR</w:t>
            </w:r>
            <w:r>
              <w:rPr>
                <w:rFonts w:ascii="Calibri" w:eastAsia="Times New Roman" w:hAnsi="Calibri" w:cs="Calibri"/>
                <w:color w:val="000000"/>
              </w:rPr>
              <w:t>T (con't)</w:t>
            </w:r>
          </w:p>
        </w:tc>
        <w:tc>
          <w:tcPr>
            <w:tcW w:w="1380" w:type="dxa"/>
            <w:noWrap/>
            <w:hideMark/>
          </w:tcPr>
          <w:p w14:paraId="33864D90" w14:textId="177E32C5" w:rsidR="009479F2" w:rsidRPr="00CE56DF" w:rsidRDefault="009479F2" w:rsidP="009479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12/31/2020</w:t>
            </w:r>
          </w:p>
        </w:tc>
        <w:tc>
          <w:tcPr>
            <w:tcW w:w="1280" w:type="dxa"/>
            <w:noWrap/>
            <w:hideMark/>
          </w:tcPr>
          <w:p w14:paraId="425A4C41" w14:textId="5F6E69C9" w:rsidR="009479F2" w:rsidRPr="00CE56DF" w:rsidRDefault="009479F2" w:rsidP="009479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12/31/2019</w:t>
            </w:r>
          </w:p>
        </w:tc>
        <w:tc>
          <w:tcPr>
            <w:tcW w:w="1440" w:type="dxa"/>
            <w:noWrap/>
            <w:hideMark/>
          </w:tcPr>
          <w:p w14:paraId="1D2C2345" w14:textId="29DD2308" w:rsidR="009479F2" w:rsidRPr="00CE56DF" w:rsidRDefault="009479F2" w:rsidP="009479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12/31/2020</w:t>
            </w:r>
          </w:p>
        </w:tc>
        <w:tc>
          <w:tcPr>
            <w:tcW w:w="1320" w:type="dxa"/>
            <w:noWrap/>
            <w:hideMark/>
          </w:tcPr>
          <w:p w14:paraId="4151D6BF" w14:textId="2395A9AC" w:rsidR="009479F2" w:rsidRPr="00CE56DF" w:rsidRDefault="009479F2" w:rsidP="009479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12/31/2002</w:t>
            </w:r>
          </w:p>
        </w:tc>
      </w:tr>
      <w:tr w:rsidR="009479F2" w:rsidRPr="00CE56DF" w14:paraId="126B9A3B"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0753113"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Balance Sheet $:</w:t>
            </w:r>
          </w:p>
        </w:tc>
        <w:tc>
          <w:tcPr>
            <w:tcW w:w="1380" w:type="dxa"/>
            <w:noWrap/>
            <w:hideMark/>
          </w:tcPr>
          <w:p w14:paraId="2AE844B3" w14:textId="5D07D09F"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QTR</w:t>
            </w:r>
          </w:p>
        </w:tc>
        <w:tc>
          <w:tcPr>
            <w:tcW w:w="1280" w:type="dxa"/>
            <w:noWrap/>
            <w:hideMark/>
          </w:tcPr>
          <w:p w14:paraId="2BA0539B" w14:textId="0FDB4360"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QTR</w:t>
            </w:r>
          </w:p>
        </w:tc>
        <w:tc>
          <w:tcPr>
            <w:tcW w:w="1440" w:type="dxa"/>
            <w:noWrap/>
            <w:hideMark/>
          </w:tcPr>
          <w:p w14:paraId="40B438B6" w14:textId="69B464A8"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YTD</w:t>
            </w:r>
          </w:p>
        </w:tc>
        <w:tc>
          <w:tcPr>
            <w:tcW w:w="1320" w:type="dxa"/>
            <w:noWrap/>
            <w:hideMark/>
          </w:tcPr>
          <w:p w14:paraId="5CF086AE" w14:textId="4886765E"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CE56DF">
              <w:rPr>
                <w:rFonts w:ascii="Calibri" w:eastAsia="Times New Roman" w:hAnsi="Calibri" w:cs="Calibri"/>
                <w:color w:val="000000"/>
              </w:rPr>
              <w:t>QTR</w:t>
            </w:r>
          </w:p>
        </w:tc>
      </w:tr>
      <w:tr w:rsidR="009479F2" w:rsidRPr="00CE56DF" w14:paraId="7472E4B4"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450874D1"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Net Loans and Leases</w:t>
            </w:r>
          </w:p>
        </w:tc>
        <w:tc>
          <w:tcPr>
            <w:tcW w:w="1380" w:type="dxa"/>
            <w:noWrap/>
            <w:hideMark/>
          </w:tcPr>
          <w:p w14:paraId="70765648"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349,664</w:t>
            </w:r>
          </w:p>
        </w:tc>
        <w:tc>
          <w:tcPr>
            <w:tcW w:w="1280" w:type="dxa"/>
            <w:noWrap/>
            <w:hideMark/>
          </w:tcPr>
          <w:p w14:paraId="06D8F8A1"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340,785</w:t>
            </w:r>
          </w:p>
        </w:tc>
        <w:tc>
          <w:tcPr>
            <w:tcW w:w="1440" w:type="dxa"/>
            <w:noWrap/>
            <w:hideMark/>
          </w:tcPr>
          <w:p w14:paraId="4CC6DE54"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044C0BF2"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134,943</w:t>
            </w:r>
          </w:p>
        </w:tc>
      </w:tr>
      <w:tr w:rsidR="009479F2" w:rsidRPr="00CE56DF" w14:paraId="3E9F3280"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6BCCA85"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Investments</w:t>
            </w:r>
          </w:p>
        </w:tc>
        <w:tc>
          <w:tcPr>
            <w:tcW w:w="1380" w:type="dxa"/>
            <w:noWrap/>
            <w:hideMark/>
          </w:tcPr>
          <w:p w14:paraId="43B23758"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177,040</w:t>
            </w:r>
          </w:p>
        </w:tc>
        <w:tc>
          <w:tcPr>
            <w:tcW w:w="1280" w:type="dxa"/>
            <w:noWrap/>
            <w:hideMark/>
          </w:tcPr>
          <w:p w14:paraId="2701FB85"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153,869</w:t>
            </w:r>
          </w:p>
        </w:tc>
        <w:tc>
          <w:tcPr>
            <w:tcW w:w="1440" w:type="dxa"/>
            <w:noWrap/>
            <w:hideMark/>
          </w:tcPr>
          <w:p w14:paraId="121ADAE9"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2B4CDBF6"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142,777</w:t>
            </w:r>
          </w:p>
        </w:tc>
      </w:tr>
      <w:tr w:rsidR="009479F2" w:rsidRPr="00CE56DF" w14:paraId="7C41EAF1"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C6132EF"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OREO</w:t>
            </w:r>
          </w:p>
        </w:tc>
        <w:tc>
          <w:tcPr>
            <w:tcW w:w="1380" w:type="dxa"/>
            <w:noWrap/>
            <w:hideMark/>
          </w:tcPr>
          <w:p w14:paraId="37EC043E"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260</w:t>
            </w:r>
          </w:p>
        </w:tc>
        <w:tc>
          <w:tcPr>
            <w:tcW w:w="1280" w:type="dxa"/>
            <w:noWrap/>
            <w:hideMark/>
          </w:tcPr>
          <w:p w14:paraId="746B9D74"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260</w:t>
            </w:r>
          </w:p>
        </w:tc>
        <w:tc>
          <w:tcPr>
            <w:tcW w:w="1440" w:type="dxa"/>
            <w:noWrap/>
            <w:hideMark/>
          </w:tcPr>
          <w:p w14:paraId="5F8470A9"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76E2F79B"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0</w:t>
            </w:r>
          </w:p>
        </w:tc>
      </w:tr>
      <w:tr w:rsidR="009479F2" w:rsidRPr="00CE56DF" w14:paraId="23CCF972"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7DF26A6"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Total Assets</w:t>
            </w:r>
          </w:p>
        </w:tc>
        <w:tc>
          <w:tcPr>
            <w:tcW w:w="1380" w:type="dxa"/>
            <w:noWrap/>
            <w:hideMark/>
          </w:tcPr>
          <w:p w14:paraId="16DA74F7"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559,802</w:t>
            </w:r>
          </w:p>
        </w:tc>
        <w:tc>
          <w:tcPr>
            <w:tcW w:w="1280" w:type="dxa"/>
            <w:noWrap/>
            <w:hideMark/>
          </w:tcPr>
          <w:p w14:paraId="55C5E638"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530,919</w:t>
            </w:r>
          </w:p>
        </w:tc>
        <w:tc>
          <w:tcPr>
            <w:tcW w:w="1440" w:type="dxa"/>
            <w:noWrap/>
            <w:hideMark/>
          </w:tcPr>
          <w:p w14:paraId="241DDEEB"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28FD986B"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295,266</w:t>
            </w:r>
          </w:p>
        </w:tc>
      </w:tr>
      <w:tr w:rsidR="009479F2" w:rsidRPr="00CE56DF" w14:paraId="411F3F71"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098A4337"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Total Deposits</w:t>
            </w:r>
          </w:p>
        </w:tc>
        <w:tc>
          <w:tcPr>
            <w:tcW w:w="1380" w:type="dxa"/>
            <w:noWrap/>
            <w:hideMark/>
          </w:tcPr>
          <w:p w14:paraId="18413C52"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502,187</w:t>
            </w:r>
          </w:p>
        </w:tc>
        <w:tc>
          <w:tcPr>
            <w:tcW w:w="1280" w:type="dxa"/>
            <w:noWrap/>
            <w:hideMark/>
          </w:tcPr>
          <w:p w14:paraId="19B3D721"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479,073</w:t>
            </w:r>
          </w:p>
        </w:tc>
        <w:tc>
          <w:tcPr>
            <w:tcW w:w="1440" w:type="dxa"/>
            <w:noWrap/>
            <w:hideMark/>
          </w:tcPr>
          <w:p w14:paraId="2350CF74"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6E334D09"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237,238</w:t>
            </w:r>
          </w:p>
        </w:tc>
      </w:tr>
      <w:tr w:rsidR="009479F2" w:rsidRPr="00CE56DF" w14:paraId="699101BC"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6D19E8D"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Total Liabilities</w:t>
            </w:r>
          </w:p>
        </w:tc>
        <w:tc>
          <w:tcPr>
            <w:tcW w:w="1380" w:type="dxa"/>
            <w:noWrap/>
            <w:hideMark/>
          </w:tcPr>
          <w:p w14:paraId="12BC7286"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512,027</w:t>
            </w:r>
          </w:p>
        </w:tc>
        <w:tc>
          <w:tcPr>
            <w:tcW w:w="1280" w:type="dxa"/>
            <w:noWrap/>
            <w:hideMark/>
          </w:tcPr>
          <w:p w14:paraId="6282365A"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490,555</w:t>
            </w:r>
          </w:p>
        </w:tc>
        <w:tc>
          <w:tcPr>
            <w:tcW w:w="1440" w:type="dxa"/>
            <w:noWrap/>
            <w:hideMark/>
          </w:tcPr>
          <w:p w14:paraId="386BF2F6"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2054A029"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269,217</w:t>
            </w:r>
          </w:p>
        </w:tc>
      </w:tr>
      <w:tr w:rsidR="009479F2" w:rsidRPr="00CE56DF" w14:paraId="21E3ACFB"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7AFC7604"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Total Bank Capital &amp; Min Int</w:t>
            </w:r>
          </w:p>
        </w:tc>
        <w:tc>
          <w:tcPr>
            <w:tcW w:w="1380" w:type="dxa"/>
            <w:noWrap/>
            <w:hideMark/>
          </w:tcPr>
          <w:p w14:paraId="424866CC"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47,775</w:t>
            </w:r>
          </w:p>
        </w:tc>
        <w:tc>
          <w:tcPr>
            <w:tcW w:w="1280" w:type="dxa"/>
            <w:noWrap/>
            <w:hideMark/>
          </w:tcPr>
          <w:p w14:paraId="6E9C76F3"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40,364</w:t>
            </w:r>
          </w:p>
        </w:tc>
        <w:tc>
          <w:tcPr>
            <w:tcW w:w="1440" w:type="dxa"/>
            <w:noWrap/>
            <w:hideMark/>
          </w:tcPr>
          <w:p w14:paraId="038C3620"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35052831"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26,049</w:t>
            </w:r>
          </w:p>
        </w:tc>
      </w:tr>
      <w:tr w:rsidR="009479F2" w:rsidRPr="00CE56DF" w14:paraId="51AFD8FE"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366FD01B"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Concentrations % Total Capital:</w:t>
            </w:r>
          </w:p>
        </w:tc>
        <w:tc>
          <w:tcPr>
            <w:tcW w:w="1380" w:type="dxa"/>
            <w:noWrap/>
            <w:hideMark/>
          </w:tcPr>
          <w:p w14:paraId="7A8F7B1D" w14:textId="77777777"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80" w:type="dxa"/>
            <w:noWrap/>
            <w:hideMark/>
          </w:tcPr>
          <w:p w14:paraId="6D730989" w14:textId="77777777"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hideMark/>
          </w:tcPr>
          <w:p w14:paraId="7141AC4D" w14:textId="77777777"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0" w:type="dxa"/>
            <w:noWrap/>
            <w:hideMark/>
          </w:tcPr>
          <w:p w14:paraId="7F7BF696" w14:textId="77777777"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79F2" w:rsidRPr="00CE56DF" w14:paraId="27431528"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622475E4"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Total Real Estate</w:t>
            </w:r>
          </w:p>
        </w:tc>
        <w:tc>
          <w:tcPr>
            <w:tcW w:w="1380" w:type="dxa"/>
            <w:noWrap/>
            <w:hideMark/>
          </w:tcPr>
          <w:p w14:paraId="2BCBA211"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604.52</w:t>
            </w:r>
          </w:p>
        </w:tc>
        <w:tc>
          <w:tcPr>
            <w:tcW w:w="1280" w:type="dxa"/>
            <w:noWrap/>
            <w:hideMark/>
          </w:tcPr>
          <w:p w14:paraId="3E1531C7"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722.64</w:t>
            </w:r>
          </w:p>
        </w:tc>
        <w:tc>
          <w:tcPr>
            <w:tcW w:w="1440" w:type="dxa"/>
            <w:noWrap/>
            <w:hideMark/>
          </w:tcPr>
          <w:p w14:paraId="4E2383B2"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43802CCA"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493.93</w:t>
            </w:r>
          </w:p>
        </w:tc>
      </w:tr>
      <w:tr w:rsidR="009479F2" w:rsidRPr="00CE56DF" w14:paraId="268B3461"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538F55DA"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Non-Owner Occ Commercial Real Estate</w:t>
            </w:r>
          </w:p>
        </w:tc>
        <w:tc>
          <w:tcPr>
            <w:tcW w:w="1380" w:type="dxa"/>
            <w:noWrap/>
            <w:hideMark/>
          </w:tcPr>
          <w:p w14:paraId="3CDD807C"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177.41</w:t>
            </w:r>
          </w:p>
        </w:tc>
        <w:tc>
          <w:tcPr>
            <w:tcW w:w="1280" w:type="dxa"/>
            <w:noWrap/>
            <w:hideMark/>
          </w:tcPr>
          <w:p w14:paraId="1896EB4B"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209.33</w:t>
            </w:r>
          </w:p>
        </w:tc>
        <w:tc>
          <w:tcPr>
            <w:tcW w:w="1440" w:type="dxa"/>
            <w:noWrap/>
            <w:hideMark/>
          </w:tcPr>
          <w:p w14:paraId="70CD5257"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0FDCD95B" w14:textId="77777777" w:rsidR="009479F2" w:rsidRPr="00CE56DF" w:rsidRDefault="009479F2" w:rsidP="009479F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N/A</w:t>
            </w:r>
          </w:p>
        </w:tc>
      </w:tr>
      <w:tr w:rsidR="009479F2" w:rsidRPr="00CE56DF" w14:paraId="08872ADB" w14:textId="77777777" w:rsidTr="00DA0A7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4565292E"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Total Commercial Real Estate</w:t>
            </w:r>
          </w:p>
        </w:tc>
        <w:tc>
          <w:tcPr>
            <w:tcW w:w="1380" w:type="dxa"/>
            <w:noWrap/>
            <w:hideMark/>
          </w:tcPr>
          <w:p w14:paraId="54E9AF8A"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400.98</w:t>
            </w:r>
          </w:p>
        </w:tc>
        <w:tc>
          <w:tcPr>
            <w:tcW w:w="1280" w:type="dxa"/>
            <w:noWrap/>
            <w:hideMark/>
          </w:tcPr>
          <w:p w14:paraId="24001534"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473.9</w:t>
            </w:r>
          </w:p>
        </w:tc>
        <w:tc>
          <w:tcPr>
            <w:tcW w:w="1440" w:type="dxa"/>
            <w:noWrap/>
            <w:hideMark/>
          </w:tcPr>
          <w:p w14:paraId="323A3E17"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20" w:type="dxa"/>
            <w:noWrap/>
            <w:hideMark/>
          </w:tcPr>
          <w:p w14:paraId="7F6CB5CB" w14:textId="77777777" w:rsidR="009479F2" w:rsidRPr="00CE56DF" w:rsidRDefault="009479F2" w:rsidP="009479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241.81</w:t>
            </w:r>
          </w:p>
        </w:tc>
      </w:tr>
      <w:tr w:rsidR="009479F2" w:rsidRPr="00CE56DF" w14:paraId="25EC1A8F" w14:textId="77777777" w:rsidTr="00DA0A70">
        <w:trPr>
          <w:trHeight w:val="295"/>
        </w:trPr>
        <w:tc>
          <w:tcPr>
            <w:cnfStyle w:val="001000000000" w:firstRow="0" w:lastRow="0" w:firstColumn="1" w:lastColumn="0" w:oddVBand="0" w:evenVBand="0" w:oddHBand="0" w:evenHBand="0" w:firstRowFirstColumn="0" w:firstRowLastColumn="0" w:lastRowFirstColumn="0" w:lastRowLastColumn="0"/>
            <w:tcW w:w="4410" w:type="dxa"/>
            <w:noWrap/>
            <w:hideMark/>
          </w:tcPr>
          <w:p w14:paraId="4483BBA5" w14:textId="77777777" w:rsidR="009479F2" w:rsidRPr="00CE56DF" w:rsidRDefault="009479F2" w:rsidP="009479F2">
            <w:pPr>
              <w:rPr>
                <w:rFonts w:ascii="Calibri" w:eastAsia="Times New Roman" w:hAnsi="Calibri" w:cs="Calibri"/>
                <w:color w:val="000000"/>
              </w:rPr>
            </w:pPr>
            <w:r w:rsidRPr="00CE56DF">
              <w:rPr>
                <w:rFonts w:ascii="Calibri" w:eastAsia="Times New Roman" w:hAnsi="Calibri" w:cs="Calibri"/>
                <w:color w:val="000000"/>
              </w:rPr>
              <w:t>Construction &amp; Development</w:t>
            </w:r>
          </w:p>
        </w:tc>
        <w:tc>
          <w:tcPr>
            <w:tcW w:w="1380" w:type="dxa"/>
            <w:noWrap/>
            <w:hideMark/>
          </w:tcPr>
          <w:p w14:paraId="0CC2899A"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53.14</w:t>
            </w:r>
          </w:p>
        </w:tc>
        <w:tc>
          <w:tcPr>
            <w:tcW w:w="1280" w:type="dxa"/>
            <w:noWrap/>
            <w:hideMark/>
          </w:tcPr>
          <w:p w14:paraId="1E259890"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86.12</w:t>
            </w:r>
          </w:p>
        </w:tc>
        <w:tc>
          <w:tcPr>
            <w:tcW w:w="1440" w:type="dxa"/>
            <w:noWrap/>
            <w:hideMark/>
          </w:tcPr>
          <w:p w14:paraId="235A87F5"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320" w:type="dxa"/>
            <w:noWrap/>
            <w:hideMark/>
          </w:tcPr>
          <w:p w14:paraId="631E8BF5" w14:textId="77777777" w:rsidR="009479F2" w:rsidRPr="00CE56DF" w:rsidRDefault="009479F2" w:rsidP="009479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56DF">
              <w:rPr>
                <w:rFonts w:ascii="Calibri" w:eastAsia="Times New Roman" w:hAnsi="Calibri" w:cs="Calibri"/>
                <w:color w:val="000000"/>
              </w:rPr>
              <w:t>1.9</w:t>
            </w:r>
          </w:p>
        </w:tc>
      </w:tr>
    </w:tbl>
    <w:p w14:paraId="5D342536" w14:textId="6DC3B0A5" w:rsidR="00AB7114" w:rsidRDefault="00CE56DF">
      <w:r>
        <w:fldChar w:fldCharType="end"/>
      </w:r>
      <w:r w:rsidR="00AB7114">
        <w:br w:type="page"/>
      </w:r>
    </w:p>
    <w:p w14:paraId="0739F81B" w14:textId="77C704A5" w:rsidR="00976338" w:rsidRPr="005A661F" w:rsidRDefault="00976338" w:rsidP="00976338">
      <w:pPr>
        <w:rPr>
          <w:sz w:val="18"/>
          <w:szCs w:val="18"/>
        </w:rPr>
      </w:pPr>
      <w:r w:rsidRPr="005A661F">
        <w:rPr>
          <w:b/>
          <w:bCs/>
          <w:sz w:val="18"/>
          <w:szCs w:val="18"/>
        </w:rPr>
        <w:t xml:space="preserve">Legal Disclaimer </w:t>
      </w:r>
      <w:r w:rsidRPr="005A661F">
        <w:rPr>
          <w:sz w:val="18"/>
          <w:szCs w:val="18"/>
        </w:rPr>
        <w:t>- TERMS AND CONDITIONS</w:t>
      </w:r>
    </w:p>
    <w:p w14:paraId="55EFC7A0" w14:textId="77777777" w:rsidR="00976338" w:rsidRPr="005A661F" w:rsidRDefault="00976338" w:rsidP="00976338">
      <w:pPr>
        <w:rPr>
          <w:sz w:val="18"/>
          <w:szCs w:val="18"/>
        </w:rPr>
      </w:pPr>
      <w:r w:rsidRPr="005A661F">
        <w:rPr>
          <w:sz w:val="18"/>
          <w:szCs w:val="18"/>
        </w:rPr>
        <w:t>William Michael Cunningham (WMC) and its employees, agents, representatives, suppliers and service providers (collectively “WMC”) provides this document (the “Document”) for informational purposes only.  Use of and access to the Document and the information, materials, services, and other Document available on or through the Document (“Document”) are subject to these terms of use and all applicable laws.</w:t>
      </w:r>
    </w:p>
    <w:p w14:paraId="6610070A" w14:textId="57301ABE" w:rsidR="00976338" w:rsidRPr="005A661F" w:rsidRDefault="00976338" w:rsidP="00976338">
      <w:pPr>
        <w:rPr>
          <w:sz w:val="18"/>
          <w:szCs w:val="18"/>
        </w:rPr>
      </w:pPr>
      <w:r w:rsidRPr="005A661F">
        <w:rPr>
          <w:sz w:val="18"/>
          <w:szCs w:val="18"/>
        </w:rPr>
        <w:t xml:space="preserve">NOT INVESTMENT ADVICE - The Document is for informational purposes only, you should not construe any such information or other material as legal, tax, investment, financial, or other advice. Nothing contained on our Document constitutes a solicitation, recommendation, endorsement, or offer by WMC or any </w:t>
      </w:r>
      <w:r w:rsidR="00435317" w:rsidRPr="005A661F">
        <w:rPr>
          <w:sz w:val="18"/>
          <w:szCs w:val="18"/>
        </w:rPr>
        <w:t>third-party</w:t>
      </w:r>
      <w:r w:rsidRPr="005A661F">
        <w:rPr>
          <w:sz w:val="18"/>
          <w:szCs w:val="18"/>
        </w:rPr>
        <w:t xml:space="preserve"> service provider to buy or sell any securities or other financial instruments in this or in in any other jurisdiction in which such solicitation or offer would be unlawful under the securities laws of such jurisdiction.</w:t>
      </w:r>
    </w:p>
    <w:p w14:paraId="0FEAFDA7" w14:textId="77777777" w:rsidR="00976338" w:rsidRPr="005A661F" w:rsidRDefault="00976338" w:rsidP="00976338">
      <w:pPr>
        <w:rPr>
          <w:sz w:val="18"/>
          <w:szCs w:val="18"/>
        </w:rPr>
      </w:pPr>
      <w:r w:rsidRPr="005A661F">
        <w:rPr>
          <w:sz w:val="18"/>
          <w:szCs w:val="18"/>
        </w:rPr>
        <w:t xml:space="preserve">All Documents provided are information of a general nature and does not address the circumstances of any particular individual or entity. Nothing in the Document constitutes professional and/or financial advice, nor does any information on the Document constitute a comprehensive or complete statement of the matters discussed or the law relating thereto. WMC is not a fiduciary by virtue of any person’s use of or access to the Document or Documents. You alone assume the sole responsibility of evaluating the merits and risks associated with the use of any information or other data on the Document before making any decisions based on such information or other Documents. In exchange for using the Document, you agree not to hold WMC, its affiliates or any </w:t>
      </w:r>
      <w:proofErr w:type="gramStart"/>
      <w:r w:rsidRPr="005A661F">
        <w:rPr>
          <w:sz w:val="18"/>
          <w:szCs w:val="18"/>
        </w:rPr>
        <w:t>third party</w:t>
      </w:r>
      <w:proofErr w:type="gramEnd"/>
      <w:r w:rsidRPr="005A661F">
        <w:rPr>
          <w:sz w:val="18"/>
          <w:szCs w:val="18"/>
        </w:rPr>
        <w:t xml:space="preserve"> service provider liable for any possible claim for damages arising from any decision you make based on information or other Documents made available to you.</w:t>
      </w:r>
    </w:p>
    <w:p w14:paraId="4FA14024" w14:textId="7DC013E7" w:rsidR="00976338" w:rsidRPr="005A661F" w:rsidRDefault="00976338" w:rsidP="00976338">
      <w:pPr>
        <w:rPr>
          <w:sz w:val="18"/>
          <w:szCs w:val="18"/>
        </w:rPr>
      </w:pPr>
      <w:r w:rsidRPr="005A661F">
        <w:rPr>
          <w:sz w:val="18"/>
          <w:szCs w:val="18"/>
        </w:rPr>
        <w:t xml:space="preserve">INVESTMENT RISKS - There are risks associated with investing in securities. Investing in stocks, bonds, exchange traded funds, mutual funds, and money market funds involve risk of loss.  Loss of principal is possible. Some </w:t>
      </w:r>
      <w:proofErr w:type="gramStart"/>
      <w:r w:rsidRPr="005A661F">
        <w:rPr>
          <w:sz w:val="18"/>
          <w:szCs w:val="18"/>
        </w:rPr>
        <w:t>high risk</w:t>
      </w:r>
      <w:proofErr w:type="gramEnd"/>
      <w:r w:rsidRPr="005A661F">
        <w:rPr>
          <w:sz w:val="18"/>
          <w:szCs w:val="18"/>
        </w:rPr>
        <w:t xml:space="preserve"> investments may use leverage, which will accentuate gains &amp; losses. Foreign investing involves special risks, including a greater volatility and political, economic and currency risks and differences in accounting methods.  A security’s or a firm’s past investment performance is not a guarantee or predictor of future investment performance.</w:t>
      </w:r>
    </w:p>
    <w:p w14:paraId="77C03076" w14:textId="1A82583E" w:rsidR="00976338" w:rsidRPr="005A661F" w:rsidRDefault="00976338" w:rsidP="00976338">
      <w:pPr>
        <w:rPr>
          <w:sz w:val="18"/>
          <w:szCs w:val="18"/>
        </w:rPr>
      </w:pPr>
      <w:r w:rsidRPr="005A661F">
        <w:rPr>
          <w:sz w:val="18"/>
          <w:szCs w:val="18"/>
        </w:rPr>
        <w:t xml:space="preserve">THIRD PARTY LINKED DOCUMENTS - As a convenience to you, WMC may provide hyperlinks to web Documents operated by third parties.  When you select these </w:t>
      </w:r>
      <w:proofErr w:type="gramStart"/>
      <w:r w:rsidRPr="005A661F">
        <w:rPr>
          <w:sz w:val="18"/>
          <w:szCs w:val="18"/>
        </w:rPr>
        <w:t>hyperlinks</w:t>
      </w:r>
      <w:proofErr w:type="gramEnd"/>
      <w:r w:rsidRPr="005A661F">
        <w:rPr>
          <w:sz w:val="18"/>
          <w:szCs w:val="18"/>
        </w:rPr>
        <w:t xml:space="preserve"> you will be leaving the WMC Document.  Because WMC has no control over such Documents, WMC is not responsible for the availability of such external Documents, and WMC does not adopt, endorse or nor is responsible or liable for any such Documents, including advertising, products or other materials, on or available through such Documents or resources.  Other web Documents may provide links to the Document with or without our authorization.  WMC does not endorse such Documents and shall not be responsible or liable for any links from those Documents advertising, products or other materials available on or through such other Documents, or any loss or damages incurred in connection therewith.  WMC may, in its sole discretion, block links to the Document without prior notice.</w:t>
      </w:r>
    </w:p>
    <w:p w14:paraId="231025AA" w14:textId="77777777" w:rsidR="00976338" w:rsidRPr="005A661F" w:rsidRDefault="00976338" w:rsidP="00976338">
      <w:pPr>
        <w:rPr>
          <w:sz w:val="18"/>
          <w:szCs w:val="18"/>
        </w:rPr>
      </w:pPr>
      <w:r w:rsidRPr="005A661F">
        <w:rPr>
          <w:sz w:val="18"/>
          <w:szCs w:val="18"/>
        </w:rPr>
        <w:t xml:space="preserve">YOUR USE OF </w:t>
      </w:r>
      <w:proofErr w:type="gramStart"/>
      <w:r w:rsidRPr="005A661F">
        <w:rPr>
          <w:sz w:val="18"/>
          <w:szCs w:val="18"/>
        </w:rPr>
        <w:t>THIRD PARTY</w:t>
      </w:r>
      <w:proofErr w:type="gramEnd"/>
      <w:r w:rsidRPr="005A661F">
        <w:rPr>
          <w:sz w:val="18"/>
          <w:szCs w:val="18"/>
        </w:rPr>
        <w:t xml:space="preserve"> WEB DOCUMENTS, INCLUDING WITHOUT LIMITATION, YOUR USE OF ANY INFORMATION, DATA, ADVERTISING, PRODUCTS, OR OTHER MATERIALS ON OR AVAILABLE THROUGH SUCH WEB DOCUMENTS, IS AT YOUR OWN RISK AND IS SUBJECT TO THEIR TERMS OF USE.</w:t>
      </w:r>
    </w:p>
    <w:p w14:paraId="35128242" w14:textId="5FC1E2DF" w:rsidR="00976338" w:rsidRPr="005A661F" w:rsidRDefault="00976338" w:rsidP="00976338">
      <w:pPr>
        <w:rPr>
          <w:sz w:val="18"/>
          <w:szCs w:val="18"/>
        </w:rPr>
      </w:pPr>
      <w:r w:rsidRPr="005A661F">
        <w:rPr>
          <w:sz w:val="18"/>
          <w:szCs w:val="18"/>
        </w:rPr>
        <w:t>DOCUMENT AND DOCUMENT NOT WARRANTED - THE DOCUMENT IS PROVIDED “AS IS” AND WITHOUT WARRANTIES OF ANY KIND.  YOU BEAR ALL RISKS ASSOCIATED WITH THE USE OF THE DOCUMENT, INCLUDING WITHOUT LIMITATION, ANY RELIANCE ON THE ACCURACY, COMPLETENESS OR Usefulness OF ANY DATA AVAILABLE ON THE DOCUMENT.  WMC AND HIS EMPLOYEES, OFFICERS, DIRECTORS, PARTNERS, AGENTS, REPRESENTATIVES, SUPPLIERS AND SERVICE PROVIDERS, DISCLAIM ALL WARRANTIES, EXPRESS OR IMPLIED, INCLUDING, WITHOUT LIMITATION, ALL WARRANTIES OF TITLE, NON-INFRINGEMENT, ACCURACY, COMPLETENESS, USEFULNESS, MERCHANTABILITY, AND FITNESS FOR A PARTICULAR USE, AND WARRANTIES THAT MAY ARISE FROM COURSE OF DEALING/PERFORMANCE OR USAGE OF TRADE.</w:t>
      </w:r>
    </w:p>
    <w:p w14:paraId="22D44312" w14:textId="1AD1706C" w:rsidR="00976338" w:rsidRPr="005A661F" w:rsidRDefault="00976338" w:rsidP="00976338">
      <w:pPr>
        <w:rPr>
          <w:sz w:val="18"/>
          <w:szCs w:val="18"/>
        </w:rPr>
      </w:pPr>
      <w:r w:rsidRPr="005A661F">
        <w:rPr>
          <w:sz w:val="18"/>
          <w:szCs w:val="18"/>
        </w:rPr>
        <w:t>LIMITATION OF LIABILITY - YOUR EXCLUSIVE REMEDY FOR DISSATISFACTION WITH THE DOCUMENT IS TO STOP USING THE DOCUMENT.  WMC IS NOT LIABLE FOR ANY DIRECT, INDIRECT, INCIDENTAL, CONSEQUENTIAL, SPECIAL OR PUNITIVE DAMAGES, UNDER ANY THEORY OF LIABILITY, INCLUDING WITHOUT LIMITATION, DAMAGES FOR LOSS OF PROFITS, USE, DATA, OR LOSS OF OTHER INTANGIBLES.  IN PARTICULAR, AND WITHOUT LIMITATION, WMC WILL NOT BE LIABLE FOR DAMAGES OF ANY KIND RESULTING FROM YOUR USE OF OR INABILITY TO USE THE DOCUMENT.</w:t>
      </w:r>
    </w:p>
    <w:p w14:paraId="441DC7CE" w14:textId="77777777" w:rsidR="00976338" w:rsidRPr="005A661F" w:rsidRDefault="00976338" w:rsidP="00976338">
      <w:pPr>
        <w:rPr>
          <w:sz w:val="18"/>
          <w:szCs w:val="18"/>
        </w:rPr>
      </w:pPr>
      <w:r w:rsidRPr="005A661F">
        <w:rPr>
          <w:sz w:val="18"/>
          <w:szCs w:val="18"/>
        </w:rPr>
        <w:t xml:space="preserve">While we try to maintain the integrity and security of the Document, we do not guarantee that the Document is or remains secure, complete or correct, or that access to the Document will be uninterrupted or error free.  This Document may include inaccuracies, errors and materials that violate or conflict with these Terms.  Additionally, third parties may make unauthorized alterations to the Document.  If you become aware of any unauthorized </w:t>
      </w:r>
      <w:proofErr w:type="gramStart"/>
      <w:r w:rsidRPr="005A661F">
        <w:rPr>
          <w:sz w:val="18"/>
          <w:szCs w:val="18"/>
        </w:rPr>
        <w:t>third party</w:t>
      </w:r>
      <w:proofErr w:type="gramEnd"/>
      <w:r w:rsidRPr="005A661F">
        <w:rPr>
          <w:sz w:val="18"/>
          <w:szCs w:val="18"/>
        </w:rPr>
        <w:t xml:space="preserve"> alteration to the Document, contact us at info@creativeinvest.com with a description of the material(s) at issue and the URL.</w:t>
      </w:r>
    </w:p>
    <w:p w14:paraId="67517945" w14:textId="3C10B4B9" w:rsidR="00976338" w:rsidRPr="005A661F" w:rsidRDefault="00976338" w:rsidP="00976338">
      <w:pPr>
        <w:rPr>
          <w:sz w:val="18"/>
          <w:szCs w:val="18"/>
        </w:rPr>
      </w:pPr>
      <w:r w:rsidRPr="005A661F">
        <w:rPr>
          <w:sz w:val="18"/>
          <w:szCs w:val="18"/>
        </w:rPr>
        <w:t>NOTICES, COMMUNICATIONS, AND ELECTRONIC SIGNATURES - You agree to be bound by any affirmation, assent or agreement that you transmit on or through the Document or any other aspect of WMC’s services that you access by computer or other electronic device, including internet, telephonic and wireless devices, including but not limited to any consent you give to receive communications from us solely through electronic transmission. You agree that, when in the future you click on a “Submit” or “I agree” or other similarly worded “button” or entry field with your mouse, keystroke or other device, your agreement or consent will be legally binding and enforceable and the legal equivalent of your handwritten signature.</w:t>
      </w:r>
    </w:p>
    <w:p w14:paraId="70A16019" w14:textId="530ABA35" w:rsidR="00976338" w:rsidRPr="005A661F" w:rsidRDefault="00976338" w:rsidP="00976338">
      <w:pPr>
        <w:rPr>
          <w:sz w:val="18"/>
          <w:szCs w:val="18"/>
        </w:rPr>
      </w:pPr>
      <w:r w:rsidRPr="005A661F">
        <w:rPr>
          <w:sz w:val="18"/>
          <w:szCs w:val="18"/>
        </w:rPr>
        <w:t xml:space="preserve">LIMITED RIGHT OF USE/OWNERSHIP OF DOCUMENT - You are permitted to use the Document for your personal, non-commercial use only.  The Document </w:t>
      </w:r>
      <w:proofErr w:type="gramStart"/>
      <w:r w:rsidRPr="005A661F">
        <w:rPr>
          <w:sz w:val="18"/>
          <w:szCs w:val="18"/>
        </w:rPr>
        <w:t>is  and</w:t>
      </w:r>
      <w:proofErr w:type="gramEnd"/>
      <w:r w:rsidRPr="005A661F">
        <w:rPr>
          <w:sz w:val="18"/>
          <w:szCs w:val="18"/>
        </w:rPr>
        <w:t xml:space="preserve"> shall remain the property of WMC and is protected by copyright, trademark, patent, and/or other intellectual property, proprietary, work product rights and laws.  You may use the Document for your personal, noncommercial use, provided that you keep intact all copyright, trademark, patent and other proprietary notices.  Except as expressly authorized in advance by WMC in writing, you agree not to reproduce, modify or create derivative works based on, rent, lease, loan, sell, distribute, publish, publicly perform or display, reverse engineer, de-compile or dissemble, all or any part of the Document.</w:t>
      </w:r>
    </w:p>
    <w:p w14:paraId="79F0843B" w14:textId="77777777" w:rsidR="00976338" w:rsidRPr="005A661F" w:rsidRDefault="00976338" w:rsidP="00976338">
      <w:pPr>
        <w:rPr>
          <w:sz w:val="18"/>
          <w:szCs w:val="18"/>
        </w:rPr>
      </w:pPr>
      <w:r w:rsidRPr="005A661F">
        <w:rPr>
          <w:sz w:val="18"/>
          <w:szCs w:val="18"/>
        </w:rPr>
        <w:t>Trade names, trademarks and service marks of WMC include, without limitation, WMC and any associated logos.  All trademarks and service marks on the Document not owned by WMC are the property of their respective owners.  Nothing contained on the Document should be construed as granting, by implication, estoppel or otherwise, any license or right to use any of WMC’s trade names, trademarks or service marks without our express prior written consent.</w:t>
      </w:r>
    </w:p>
    <w:p w14:paraId="7C8BEF79" w14:textId="134A5603" w:rsidR="00976338" w:rsidRPr="005A661F" w:rsidRDefault="00976338" w:rsidP="00976338">
      <w:pPr>
        <w:rPr>
          <w:sz w:val="18"/>
          <w:szCs w:val="18"/>
        </w:rPr>
      </w:pPr>
      <w:r w:rsidRPr="005A661F">
        <w:rPr>
          <w:sz w:val="18"/>
          <w:szCs w:val="18"/>
        </w:rPr>
        <w:t>TERMINATION - WMC, in its sole discretion, may terminate your access to or use of the Document, at any time and for any reason.  Your access to or use of the Document may be terminated without notice.  WMC shall not be liable to you or any third party for any termination of your access to the Document, or to any such information or files, and shall not be required to make such information or files available to you after any such termination.</w:t>
      </w:r>
    </w:p>
    <w:p w14:paraId="7F8C0E88" w14:textId="62884DEA" w:rsidR="00976338" w:rsidRPr="005A661F" w:rsidRDefault="00976338" w:rsidP="00F30603">
      <w:pPr>
        <w:spacing w:after="0" w:line="240" w:lineRule="auto"/>
        <w:rPr>
          <w:sz w:val="18"/>
          <w:szCs w:val="18"/>
        </w:rPr>
      </w:pPr>
      <w:r w:rsidRPr="005A661F">
        <w:rPr>
          <w:sz w:val="18"/>
          <w:szCs w:val="18"/>
        </w:rPr>
        <w:t>RULES OF CONDUCT - Your use of the Document is conditioned on your compliance with the rules of conduct set forth here.  You will not:</w:t>
      </w:r>
    </w:p>
    <w:p w14:paraId="3B166D0B" w14:textId="77777777" w:rsidR="00976338" w:rsidRPr="005A661F" w:rsidRDefault="00976338" w:rsidP="00F30603">
      <w:pPr>
        <w:spacing w:after="0" w:line="240" w:lineRule="auto"/>
        <w:rPr>
          <w:sz w:val="18"/>
          <w:szCs w:val="18"/>
        </w:rPr>
      </w:pPr>
      <w:r w:rsidRPr="005A661F">
        <w:rPr>
          <w:sz w:val="18"/>
          <w:szCs w:val="18"/>
        </w:rPr>
        <w:t>•    Use the Document for any fraudulent or unlawful purpose.</w:t>
      </w:r>
    </w:p>
    <w:p w14:paraId="66621FBA" w14:textId="77777777" w:rsidR="00976338" w:rsidRPr="005A661F" w:rsidRDefault="00976338" w:rsidP="00F30603">
      <w:pPr>
        <w:spacing w:after="0" w:line="240" w:lineRule="auto"/>
        <w:rPr>
          <w:sz w:val="18"/>
          <w:szCs w:val="18"/>
        </w:rPr>
      </w:pPr>
      <w:r w:rsidRPr="005A661F">
        <w:rPr>
          <w:sz w:val="18"/>
          <w:szCs w:val="18"/>
        </w:rPr>
        <w:t>•    Use the Document to advertise or offer to sell or buy any goods or services without WMC’s express prior written consent.</w:t>
      </w:r>
    </w:p>
    <w:p w14:paraId="5D680F84" w14:textId="77777777" w:rsidR="00976338" w:rsidRPr="005A661F" w:rsidRDefault="00976338" w:rsidP="00F30603">
      <w:pPr>
        <w:spacing w:after="0" w:line="240" w:lineRule="auto"/>
        <w:rPr>
          <w:sz w:val="18"/>
          <w:szCs w:val="18"/>
        </w:rPr>
      </w:pPr>
      <w:r w:rsidRPr="005A661F">
        <w:rPr>
          <w:sz w:val="18"/>
          <w:szCs w:val="18"/>
        </w:rPr>
        <w:t>•    Reproduce, duplicate, copy, sell, resell or otherwise exploit for any commercial purposes, any portion of, use of, or access to the Document.</w:t>
      </w:r>
    </w:p>
    <w:p w14:paraId="7C2818D6" w14:textId="77777777" w:rsidR="00976338" w:rsidRPr="005A661F" w:rsidRDefault="00976338" w:rsidP="00F30603">
      <w:pPr>
        <w:spacing w:after="0" w:line="240" w:lineRule="auto"/>
        <w:rPr>
          <w:sz w:val="18"/>
          <w:szCs w:val="18"/>
        </w:rPr>
      </w:pPr>
      <w:r w:rsidRPr="005A661F">
        <w:rPr>
          <w:sz w:val="18"/>
          <w:szCs w:val="18"/>
        </w:rPr>
        <w:t>•    Modify, adapt, reverse engineer, de-compile/disassemble any part of the Document.</w:t>
      </w:r>
    </w:p>
    <w:p w14:paraId="294DBA70" w14:textId="77777777" w:rsidR="00976338" w:rsidRPr="005A661F" w:rsidRDefault="00976338" w:rsidP="00F30603">
      <w:pPr>
        <w:spacing w:after="0" w:line="240" w:lineRule="auto"/>
        <w:rPr>
          <w:sz w:val="18"/>
          <w:szCs w:val="18"/>
        </w:rPr>
      </w:pPr>
      <w:r w:rsidRPr="005A661F">
        <w:rPr>
          <w:sz w:val="18"/>
          <w:szCs w:val="18"/>
        </w:rPr>
        <w:t>•    Remove any copyright, trademark or other proprietary rights notice from the Document or materials originating from the Document.</w:t>
      </w:r>
    </w:p>
    <w:p w14:paraId="25F6155C" w14:textId="77777777" w:rsidR="00976338" w:rsidRPr="005A661F" w:rsidRDefault="00976338" w:rsidP="00F30603">
      <w:pPr>
        <w:spacing w:after="0" w:line="240" w:lineRule="auto"/>
        <w:rPr>
          <w:sz w:val="18"/>
          <w:szCs w:val="18"/>
        </w:rPr>
      </w:pPr>
      <w:r w:rsidRPr="005A661F">
        <w:rPr>
          <w:sz w:val="18"/>
          <w:szCs w:val="18"/>
        </w:rPr>
        <w:t>•    Frame or mirror any part of the Document or Documents without WMC’s express prior written consent.</w:t>
      </w:r>
    </w:p>
    <w:p w14:paraId="6C9E2683" w14:textId="619EDE98" w:rsidR="00976338" w:rsidRPr="005A661F" w:rsidRDefault="00976338" w:rsidP="00F30603">
      <w:pPr>
        <w:spacing w:after="0" w:line="240" w:lineRule="auto"/>
        <w:rPr>
          <w:sz w:val="18"/>
          <w:szCs w:val="18"/>
        </w:rPr>
      </w:pPr>
      <w:r w:rsidRPr="005A661F">
        <w:rPr>
          <w:sz w:val="18"/>
          <w:szCs w:val="18"/>
        </w:rPr>
        <w:t>•    Create a database by systematically downloading and storing Document.</w:t>
      </w:r>
    </w:p>
    <w:p w14:paraId="26CE52E6" w14:textId="77777777" w:rsidR="00F30603" w:rsidRPr="005A661F" w:rsidRDefault="00F30603" w:rsidP="00F30603">
      <w:pPr>
        <w:spacing w:after="0" w:line="240" w:lineRule="auto"/>
        <w:rPr>
          <w:sz w:val="18"/>
          <w:szCs w:val="18"/>
        </w:rPr>
      </w:pPr>
    </w:p>
    <w:p w14:paraId="304865F6" w14:textId="327261D8" w:rsidR="00976338" w:rsidRPr="005A661F" w:rsidRDefault="00976338" w:rsidP="00976338">
      <w:pPr>
        <w:rPr>
          <w:sz w:val="18"/>
          <w:szCs w:val="18"/>
        </w:rPr>
      </w:pPr>
      <w:r w:rsidRPr="005A661F">
        <w:rPr>
          <w:sz w:val="18"/>
          <w:szCs w:val="18"/>
        </w:rPr>
        <w:t>INDEMNIFICATION - By accessing and using the Document, you agree to indemnify, defend and hold harmless WMC (specifically including any owners, partners, employees, agents, information providers, licensors and licensees) (collectively, the “Indemnified Parties”) from and against any and all claims, losses, costs and expenses (including attorneys’ fees) arising out of or relating to (a) any breach (or claim, that if true, would be a breach) by you of these Terms and (b) your use of or activities in connection with the Document. We reserve the right, at our own expense, to assume the exclusive defense and control of any matter otherwise subject to indemnification by you. You shall not enter into any settlement agreement which affects the rights of any of the Indemnified Parties or requires the taking of any action by any of them, without our prior written approval.</w:t>
      </w:r>
    </w:p>
    <w:p w14:paraId="13B96ACD" w14:textId="796DDCAA" w:rsidR="00976338" w:rsidRPr="005A661F" w:rsidRDefault="00976338" w:rsidP="00976338">
      <w:pPr>
        <w:rPr>
          <w:sz w:val="18"/>
          <w:szCs w:val="18"/>
        </w:rPr>
      </w:pPr>
      <w:r w:rsidRPr="005A661F">
        <w:rPr>
          <w:sz w:val="18"/>
          <w:szCs w:val="18"/>
        </w:rPr>
        <w:t>JURISDICTIONAL CONTEXT</w:t>
      </w:r>
      <w:r w:rsidR="00F30603" w:rsidRPr="005A661F">
        <w:rPr>
          <w:sz w:val="18"/>
          <w:szCs w:val="18"/>
        </w:rPr>
        <w:t xml:space="preserve"> - </w:t>
      </w:r>
      <w:r w:rsidRPr="005A661F">
        <w:rPr>
          <w:sz w:val="18"/>
          <w:szCs w:val="18"/>
        </w:rPr>
        <w:t>The Document is controlled and operated by WMC from the United States, and is not intended to subject WMC to the laws or jurisdiction of any country or territory other than that of the United States.  WMC does not represent or warrant that the Document or any part thereof is appropriate or available for use in any particular jurisdiction other than the United States and only in those US states and territories where WMC is registered or licensed or exempt from registration or licensing under applicable state or federal law.  In choosing to access the Document, you do so on your own initiative and at your own risk, and you are responsible for complying with all local laws, rules and regulations.  We may limit the Document’s availability to any person, geographic area or jurisdiction.</w:t>
      </w:r>
    </w:p>
    <w:p w14:paraId="554D875C" w14:textId="1C5965D5" w:rsidR="00305B96" w:rsidRPr="005A661F" w:rsidRDefault="00976338" w:rsidP="00976338">
      <w:pPr>
        <w:rPr>
          <w:sz w:val="18"/>
          <w:szCs w:val="18"/>
        </w:rPr>
      </w:pPr>
      <w:r w:rsidRPr="005A661F">
        <w:rPr>
          <w:sz w:val="18"/>
          <w:szCs w:val="18"/>
        </w:rPr>
        <w:t>MODIFICATIONS - WMC may amend the terms of use at any time in its discretion, by posting revisions on the Document.</w:t>
      </w:r>
    </w:p>
    <w:sectPr w:rsidR="00305B96" w:rsidRPr="005A661F" w:rsidSect="00F30603">
      <w:headerReference w:type="default" r:id="rId11"/>
      <w:footerReference w:type="default" r:id="rId12"/>
      <w:pgSz w:w="12240" w:h="15840"/>
      <w:pgMar w:top="1440" w:right="720" w:bottom="1440" w:left="900" w:header="72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1312A" w14:textId="77777777" w:rsidR="00BB3B7C" w:rsidRDefault="00BB3B7C" w:rsidP="00E314E7">
      <w:pPr>
        <w:spacing w:after="0" w:line="240" w:lineRule="auto"/>
      </w:pPr>
      <w:r>
        <w:separator/>
      </w:r>
    </w:p>
  </w:endnote>
  <w:endnote w:type="continuationSeparator" w:id="0">
    <w:p w14:paraId="0DF83FBA" w14:textId="77777777" w:rsidR="00BB3B7C" w:rsidRDefault="00BB3B7C" w:rsidP="00E31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B144C" w14:textId="0D774550" w:rsidR="00FB3173" w:rsidRDefault="00FB3173" w:rsidP="00B16284">
    <w:pPr>
      <w:pStyle w:val="Footer"/>
      <w:jc w:val="right"/>
    </w:pPr>
    <w:r>
      <w:t xml:space="preserve">DRAFT. Copyright, William Michael Cunningham, 2021. Confidential, </w:t>
    </w:r>
    <w:r w:rsidRPr="00653FBB">
      <w:t xml:space="preserve">not responsible for any errors or omissions We do not take any responsibility and we are not liable for any damage caused through use of </w:t>
    </w:r>
    <w:r>
      <w:t>this draft report</w:t>
    </w:r>
    <w:r w:rsidRPr="00653FBB">
      <w:t xml:space="preserve">, be it indirect, special, incidental or consequential damages (including but not limited to damages for loss of </w:t>
    </w:r>
    <w:r>
      <w:t xml:space="preserve">value, loss of </w:t>
    </w:r>
    <w:r w:rsidRPr="00653FBB">
      <w:t xml:space="preserve">business, loss of profits, interruption or the like). </w:t>
    </w:r>
    <w:r>
      <w:t xml:space="preserve"> Not for distribution. Not investment advice.</w:t>
    </w:r>
    <w:r w:rsidR="00705963">
      <w:t xml:space="preserve"> Call </w:t>
    </w:r>
    <w:r w:rsidR="00705963" w:rsidRPr="00705963">
      <w:rPr>
        <w:b/>
        <w:bCs/>
      </w:rPr>
      <w:t>202-455-0430</w:t>
    </w:r>
    <w:r w:rsidR="00705963">
      <w:t xml:space="preserve"> for more information. </w:t>
    </w:r>
    <w:r>
      <w:t xml:space="preserve"> </w:t>
    </w:r>
    <w:hyperlink r:id="rId1" w:history="1">
      <w:r w:rsidRPr="00C2537C">
        <w:rPr>
          <w:rStyle w:val="Hyperlink"/>
        </w:rPr>
        <w:t>info@creativeinvest.com</w:t>
      </w:r>
    </w:hyperlink>
  </w:p>
  <w:p w14:paraId="52A68BB6" w14:textId="77777777" w:rsidR="00FB3173" w:rsidRDefault="00BB3B7C" w:rsidP="00B16284">
    <w:pPr>
      <w:pStyle w:val="Footer"/>
      <w:jc w:val="right"/>
    </w:pPr>
    <w:hyperlink r:id="rId2" w:history="1">
      <w:r w:rsidR="00FB3173" w:rsidRPr="008B329A">
        <w:rPr>
          <w:rStyle w:val="Hyperlink"/>
        </w:rPr>
        <w:t>www.creativeinvest.com</w:t>
      </w:r>
    </w:hyperlink>
    <w:r w:rsidR="00FB3173">
      <w:t xml:space="preserve"> </w:t>
    </w:r>
  </w:p>
  <w:sdt>
    <w:sdtPr>
      <w:id w:val="1357232110"/>
      <w:docPartObj>
        <w:docPartGallery w:val="Page Numbers (Bottom of Page)"/>
        <w:docPartUnique/>
      </w:docPartObj>
    </w:sdtPr>
    <w:sdtEndPr>
      <w:rPr>
        <w:noProof/>
      </w:rPr>
    </w:sdtEndPr>
    <w:sdtContent>
      <w:p w14:paraId="6DA159DD" w14:textId="692EDCD1" w:rsidR="00FB3173" w:rsidRDefault="00FB31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5E9BD0" w14:textId="3A0BB166" w:rsidR="00FB3173" w:rsidRPr="00B16284" w:rsidRDefault="00FB3173" w:rsidP="00B162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B8D42" w14:textId="77777777" w:rsidR="00BB3B7C" w:rsidRDefault="00BB3B7C" w:rsidP="00E314E7">
      <w:pPr>
        <w:spacing w:after="0" w:line="240" w:lineRule="auto"/>
      </w:pPr>
      <w:r>
        <w:separator/>
      </w:r>
    </w:p>
  </w:footnote>
  <w:footnote w:type="continuationSeparator" w:id="0">
    <w:p w14:paraId="2B9F0318" w14:textId="77777777" w:rsidR="00BB3B7C" w:rsidRDefault="00BB3B7C" w:rsidP="00E314E7">
      <w:pPr>
        <w:spacing w:after="0" w:line="240" w:lineRule="auto"/>
      </w:pPr>
      <w:r>
        <w:continuationSeparator/>
      </w:r>
    </w:p>
  </w:footnote>
  <w:footnote w:id="1">
    <w:p w14:paraId="22C3174B" w14:textId="77777777" w:rsidR="00FB3173" w:rsidRDefault="00FB3173">
      <w:pPr>
        <w:pStyle w:val="FootnoteText"/>
      </w:pPr>
      <w:r>
        <w:rPr>
          <w:rStyle w:val="FootnoteReference"/>
        </w:rPr>
        <w:footnoteRef/>
      </w:r>
      <w:r>
        <w:t xml:space="preserve"> </w:t>
      </w:r>
      <w:hyperlink r:id="rId1" w:history="1">
        <w:r w:rsidRPr="00410398">
          <w:rPr>
            <w:rStyle w:val="Hyperlink"/>
          </w:rPr>
          <w:t>https://www.bloomberg.com/quote/IBWC:US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5DA1" w14:textId="66DCBD7D" w:rsidR="00FB3173" w:rsidRDefault="00FB3173" w:rsidP="00E314E7">
    <w:pPr>
      <w:pStyle w:val="Header"/>
      <w:jc w:val="right"/>
    </w:pPr>
    <w:r>
      <w:rPr>
        <w:noProof/>
      </w:rPr>
      <w:drawing>
        <wp:inline distT="0" distB="0" distL="0" distR="0" wp14:anchorId="3D5E4CC9" wp14:editId="548404A3">
          <wp:extent cx="685800" cy="68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0C1D"/>
    <w:multiLevelType w:val="multilevel"/>
    <w:tmpl w:val="AC0C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F606C2"/>
    <w:multiLevelType w:val="multilevel"/>
    <w:tmpl w:val="F696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E7"/>
    <w:rsid w:val="000505A2"/>
    <w:rsid w:val="00061412"/>
    <w:rsid w:val="00074895"/>
    <w:rsid w:val="00083735"/>
    <w:rsid w:val="00085CD1"/>
    <w:rsid w:val="000B6B32"/>
    <w:rsid w:val="000C3789"/>
    <w:rsid w:val="0014642A"/>
    <w:rsid w:val="00172F2D"/>
    <w:rsid w:val="001746CD"/>
    <w:rsid w:val="001B000A"/>
    <w:rsid w:val="001B3260"/>
    <w:rsid w:val="001B5A46"/>
    <w:rsid w:val="001C0577"/>
    <w:rsid w:val="00200071"/>
    <w:rsid w:val="00202587"/>
    <w:rsid w:val="0022582A"/>
    <w:rsid w:val="002465A7"/>
    <w:rsid w:val="00255A76"/>
    <w:rsid w:val="002B035D"/>
    <w:rsid w:val="002E24C5"/>
    <w:rsid w:val="00305B96"/>
    <w:rsid w:val="00316A81"/>
    <w:rsid w:val="00317F73"/>
    <w:rsid w:val="003501E2"/>
    <w:rsid w:val="00361041"/>
    <w:rsid w:val="00367A76"/>
    <w:rsid w:val="00371B27"/>
    <w:rsid w:val="003A2796"/>
    <w:rsid w:val="003A7330"/>
    <w:rsid w:val="003C1646"/>
    <w:rsid w:val="003F0109"/>
    <w:rsid w:val="00407242"/>
    <w:rsid w:val="004106B8"/>
    <w:rsid w:val="00423881"/>
    <w:rsid w:val="00435317"/>
    <w:rsid w:val="0048191D"/>
    <w:rsid w:val="004B29F1"/>
    <w:rsid w:val="005375ED"/>
    <w:rsid w:val="00566D36"/>
    <w:rsid w:val="005A661F"/>
    <w:rsid w:val="005C7EF1"/>
    <w:rsid w:val="006017C6"/>
    <w:rsid w:val="00616ABF"/>
    <w:rsid w:val="00635092"/>
    <w:rsid w:val="00653FBB"/>
    <w:rsid w:val="00692293"/>
    <w:rsid w:val="006C377A"/>
    <w:rsid w:val="006F4462"/>
    <w:rsid w:val="00705963"/>
    <w:rsid w:val="0071753A"/>
    <w:rsid w:val="00746196"/>
    <w:rsid w:val="007928DF"/>
    <w:rsid w:val="007A652B"/>
    <w:rsid w:val="007E18D3"/>
    <w:rsid w:val="00811C38"/>
    <w:rsid w:val="008150C6"/>
    <w:rsid w:val="008173C0"/>
    <w:rsid w:val="00897CA5"/>
    <w:rsid w:val="008B5F59"/>
    <w:rsid w:val="008C56A4"/>
    <w:rsid w:val="008D63E7"/>
    <w:rsid w:val="008E5D16"/>
    <w:rsid w:val="00940F7E"/>
    <w:rsid w:val="00946BCD"/>
    <w:rsid w:val="009479F2"/>
    <w:rsid w:val="00957E35"/>
    <w:rsid w:val="00976338"/>
    <w:rsid w:val="009A515F"/>
    <w:rsid w:val="009B7A13"/>
    <w:rsid w:val="009C3587"/>
    <w:rsid w:val="009D6799"/>
    <w:rsid w:val="009F35FE"/>
    <w:rsid w:val="00A23463"/>
    <w:rsid w:val="00A460C4"/>
    <w:rsid w:val="00AB7114"/>
    <w:rsid w:val="00AE4AD7"/>
    <w:rsid w:val="00AF35E2"/>
    <w:rsid w:val="00B04222"/>
    <w:rsid w:val="00B16284"/>
    <w:rsid w:val="00B25C11"/>
    <w:rsid w:val="00B31BE6"/>
    <w:rsid w:val="00B64897"/>
    <w:rsid w:val="00B942AC"/>
    <w:rsid w:val="00BB3B7C"/>
    <w:rsid w:val="00BB3EB7"/>
    <w:rsid w:val="00BC1B85"/>
    <w:rsid w:val="00BD072C"/>
    <w:rsid w:val="00BD3825"/>
    <w:rsid w:val="00C12377"/>
    <w:rsid w:val="00C154F3"/>
    <w:rsid w:val="00C20F78"/>
    <w:rsid w:val="00C25209"/>
    <w:rsid w:val="00C4726C"/>
    <w:rsid w:val="00C64A49"/>
    <w:rsid w:val="00C847A5"/>
    <w:rsid w:val="00CE4058"/>
    <w:rsid w:val="00CE56DF"/>
    <w:rsid w:val="00D178AE"/>
    <w:rsid w:val="00D340E9"/>
    <w:rsid w:val="00D80F30"/>
    <w:rsid w:val="00D82641"/>
    <w:rsid w:val="00D83553"/>
    <w:rsid w:val="00D9522E"/>
    <w:rsid w:val="00D95D58"/>
    <w:rsid w:val="00DA0A70"/>
    <w:rsid w:val="00DC44E7"/>
    <w:rsid w:val="00DE59B2"/>
    <w:rsid w:val="00E00FE2"/>
    <w:rsid w:val="00E10F2E"/>
    <w:rsid w:val="00E24487"/>
    <w:rsid w:val="00E314E7"/>
    <w:rsid w:val="00E35FD2"/>
    <w:rsid w:val="00E5411C"/>
    <w:rsid w:val="00E54772"/>
    <w:rsid w:val="00E678E0"/>
    <w:rsid w:val="00E76EEE"/>
    <w:rsid w:val="00E879A1"/>
    <w:rsid w:val="00EA3D89"/>
    <w:rsid w:val="00EB094A"/>
    <w:rsid w:val="00EB6B72"/>
    <w:rsid w:val="00EE44C7"/>
    <w:rsid w:val="00F30603"/>
    <w:rsid w:val="00F632D3"/>
    <w:rsid w:val="00F71684"/>
    <w:rsid w:val="00FA02C5"/>
    <w:rsid w:val="00FB3173"/>
    <w:rsid w:val="00FC59FB"/>
    <w:rsid w:val="00FD1D41"/>
    <w:rsid w:val="00FF5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C7F26"/>
  <w15:chartTrackingRefBased/>
  <w15:docId w15:val="{DD82EFD6-FEF6-44F4-B186-A53619EBD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4E7"/>
  </w:style>
  <w:style w:type="paragraph" w:styleId="Footer">
    <w:name w:val="footer"/>
    <w:basedOn w:val="Normal"/>
    <w:link w:val="FooterChar"/>
    <w:uiPriority w:val="99"/>
    <w:unhideWhenUsed/>
    <w:rsid w:val="00E31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4E7"/>
  </w:style>
  <w:style w:type="paragraph" w:styleId="Title">
    <w:name w:val="Title"/>
    <w:basedOn w:val="Normal"/>
    <w:next w:val="Normal"/>
    <w:link w:val="TitleChar"/>
    <w:uiPriority w:val="10"/>
    <w:qFormat/>
    <w:rsid w:val="00E31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4E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46196"/>
    <w:rPr>
      <w:color w:val="0000FF"/>
      <w:u w:val="single"/>
    </w:rPr>
  </w:style>
  <w:style w:type="character" w:customStyle="1" w:styleId="cpositivecolor">
    <w:name w:val="c($positivecolor)"/>
    <w:basedOn w:val="DefaultParagraphFont"/>
    <w:rsid w:val="00746196"/>
  </w:style>
  <w:style w:type="character" w:customStyle="1" w:styleId="trsdu03s">
    <w:name w:val="trsdu(0.3s)"/>
    <w:basedOn w:val="DefaultParagraphFont"/>
    <w:rsid w:val="00746196"/>
  </w:style>
  <w:style w:type="character" w:customStyle="1" w:styleId="cprimarycolor">
    <w:name w:val="c($primarycolor)"/>
    <w:basedOn w:val="DefaultParagraphFont"/>
    <w:rsid w:val="00746196"/>
  </w:style>
  <w:style w:type="character" w:customStyle="1" w:styleId="cnegativecolor">
    <w:name w:val="c($negativecolor)"/>
    <w:basedOn w:val="DefaultParagraphFont"/>
    <w:rsid w:val="00746196"/>
  </w:style>
  <w:style w:type="table" w:styleId="GridTable4-Accent6">
    <w:name w:val="Grid Table 4 Accent 6"/>
    <w:basedOn w:val="TableNormal"/>
    <w:uiPriority w:val="49"/>
    <w:rsid w:val="002B035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AE4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9229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BD3825"/>
    <w:rPr>
      <w:color w:val="605E5C"/>
      <w:shd w:val="clear" w:color="auto" w:fill="E1DFDD"/>
    </w:rPr>
  </w:style>
  <w:style w:type="table" w:styleId="GridTable2-Accent6">
    <w:name w:val="Grid Table 2 Accent 6"/>
    <w:basedOn w:val="TableNormal"/>
    <w:uiPriority w:val="47"/>
    <w:rsid w:val="009B7A1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7928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C847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47A5"/>
    <w:rPr>
      <w:sz w:val="20"/>
      <w:szCs w:val="20"/>
    </w:rPr>
  </w:style>
  <w:style w:type="character" w:styleId="FootnoteReference">
    <w:name w:val="footnote reference"/>
    <w:basedOn w:val="DefaultParagraphFont"/>
    <w:uiPriority w:val="99"/>
    <w:semiHidden/>
    <w:unhideWhenUsed/>
    <w:rsid w:val="00C847A5"/>
    <w:rPr>
      <w:vertAlign w:val="superscript"/>
    </w:rPr>
  </w:style>
  <w:style w:type="table" w:styleId="PlainTable3">
    <w:name w:val="Plain Table 3"/>
    <w:basedOn w:val="TableNormal"/>
    <w:uiPriority w:val="43"/>
    <w:rsid w:val="00CE56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C56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6094">
      <w:marLeft w:val="0"/>
      <w:marRight w:val="0"/>
      <w:marTop w:val="0"/>
      <w:marBottom w:val="0"/>
      <w:divBdr>
        <w:top w:val="none" w:sz="0" w:space="0" w:color="auto"/>
        <w:left w:val="none" w:sz="0" w:space="0" w:color="auto"/>
        <w:bottom w:val="none" w:sz="0" w:space="0" w:color="auto"/>
        <w:right w:val="none" w:sz="0" w:space="0" w:color="auto"/>
      </w:divBdr>
      <w:divsChild>
        <w:div w:id="691347632">
          <w:marLeft w:val="0"/>
          <w:marRight w:val="0"/>
          <w:marTop w:val="0"/>
          <w:marBottom w:val="0"/>
          <w:divBdr>
            <w:top w:val="none" w:sz="0" w:space="0" w:color="auto"/>
            <w:left w:val="none" w:sz="0" w:space="0" w:color="auto"/>
            <w:bottom w:val="none" w:sz="0" w:space="0" w:color="auto"/>
            <w:right w:val="none" w:sz="0" w:space="0" w:color="auto"/>
          </w:divBdr>
        </w:div>
      </w:divsChild>
    </w:div>
    <w:div w:id="91586447">
      <w:marLeft w:val="0"/>
      <w:marRight w:val="0"/>
      <w:marTop w:val="0"/>
      <w:marBottom w:val="0"/>
      <w:divBdr>
        <w:top w:val="none" w:sz="0" w:space="0" w:color="auto"/>
        <w:left w:val="none" w:sz="0" w:space="0" w:color="auto"/>
        <w:bottom w:val="none" w:sz="0" w:space="0" w:color="auto"/>
        <w:right w:val="none" w:sz="0" w:space="0" w:color="auto"/>
      </w:divBdr>
      <w:divsChild>
        <w:div w:id="501159978">
          <w:marLeft w:val="0"/>
          <w:marRight w:val="0"/>
          <w:marTop w:val="0"/>
          <w:marBottom w:val="0"/>
          <w:divBdr>
            <w:top w:val="none" w:sz="0" w:space="0" w:color="auto"/>
            <w:left w:val="none" w:sz="0" w:space="0" w:color="auto"/>
            <w:bottom w:val="none" w:sz="0" w:space="0" w:color="auto"/>
            <w:right w:val="none" w:sz="0" w:space="0" w:color="auto"/>
          </w:divBdr>
        </w:div>
      </w:divsChild>
    </w:div>
    <w:div w:id="255752781">
      <w:bodyDiv w:val="1"/>
      <w:marLeft w:val="0"/>
      <w:marRight w:val="0"/>
      <w:marTop w:val="0"/>
      <w:marBottom w:val="0"/>
      <w:divBdr>
        <w:top w:val="none" w:sz="0" w:space="0" w:color="auto"/>
        <w:left w:val="none" w:sz="0" w:space="0" w:color="auto"/>
        <w:bottom w:val="none" w:sz="0" w:space="0" w:color="auto"/>
        <w:right w:val="none" w:sz="0" w:space="0" w:color="auto"/>
      </w:divBdr>
    </w:div>
    <w:div w:id="278801356">
      <w:bodyDiv w:val="1"/>
      <w:marLeft w:val="0"/>
      <w:marRight w:val="0"/>
      <w:marTop w:val="0"/>
      <w:marBottom w:val="0"/>
      <w:divBdr>
        <w:top w:val="none" w:sz="0" w:space="0" w:color="auto"/>
        <w:left w:val="none" w:sz="0" w:space="0" w:color="auto"/>
        <w:bottom w:val="none" w:sz="0" w:space="0" w:color="auto"/>
        <w:right w:val="none" w:sz="0" w:space="0" w:color="auto"/>
      </w:divBdr>
    </w:div>
    <w:div w:id="308480322">
      <w:bodyDiv w:val="1"/>
      <w:marLeft w:val="0"/>
      <w:marRight w:val="0"/>
      <w:marTop w:val="0"/>
      <w:marBottom w:val="0"/>
      <w:divBdr>
        <w:top w:val="none" w:sz="0" w:space="0" w:color="auto"/>
        <w:left w:val="none" w:sz="0" w:space="0" w:color="auto"/>
        <w:bottom w:val="none" w:sz="0" w:space="0" w:color="auto"/>
        <w:right w:val="none" w:sz="0" w:space="0" w:color="auto"/>
      </w:divBdr>
    </w:div>
    <w:div w:id="319696374">
      <w:bodyDiv w:val="1"/>
      <w:marLeft w:val="0"/>
      <w:marRight w:val="0"/>
      <w:marTop w:val="0"/>
      <w:marBottom w:val="0"/>
      <w:divBdr>
        <w:top w:val="none" w:sz="0" w:space="0" w:color="auto"/>
        <w:left w:val="none" w:sz="0" w:space="0" w:color="auto"/>
        <w:bottom w:val="none" w:sz="0" w:space="0" w:color="auto"/>
        <w:right w:val="none" w:sz="0" w:space="0" w:color="auto"/>
      </w:divBdr>
      <w:divsChild>
        <w:div w:id="745881967">
          <w:marLeft w:val="0"/>
          <w:marRight w:val="0"/>
          <w:marTop w:val="0"/>
          <w:marBottom w:val="0"/>
          <w:divBdr>
            <w:top w:val="none" w:sz="0" w:space="0" w:color="auto"/>
            <w:left w:val="none" w:sz="0" w:space="0" w:color="auto"/>
            <w:bottom w:val="none" w:sz="0" w:space="0" w:color="auto"/>
            <w:right w:val="none" w:sz="0" w:space="0" w:color="auto"/>
          </w:divBdr>
        </w:div>
        <w:div w:id="1637643849">
          <w:marLeft w:val="0"/>
          <w:marRight w:val="0"/>
          <w:marTop w:val="0"/>
          <w:marBottom w:val="0"/>
          <w:divBdr>
            <w:top w:val="none" w:sz="0" w:space="0" w:color="auto"/>
            <w:left w:val="none" w:sz="0" w:space="0" w:color="auto"/>
            <w:bottom w:val="none" w:sz="0" w:space="0" w:color="auto"/>
            <w:right w:val="none" w:sz="0" w:space="0" w:color="auto"/>
          </w:divBdr>
        </w:div>
        <w:div w:id="1964068840">
          <w:marLeft w:val="0"/>
          <w:marRight w:val="0"/>
          <w:marTop w:val="0"/>
          <w:marBottom w:val="0"/>
          <w:divBdr>
            <w:top w:val="none" w:sz="0" w:space="0" w:color="auto"/>
            <w:left w:val="none" w:sz="0" w:space="0" w:color="auto"/>
            <w:bottom w:val="none" w:sz="0" w:space="0" w:color="auto"/>
            <w:right w:val="none" w:sz="0" w:space="0" w:color="auto"/>
          </w:divBdr>
        </w:div>
        <w:div w:id="290668984">
          <w:marLeft w:val="0"/>
          <w:marRight w:val="0"/>
          <w:marTop w:val="0"/>
          <w:marBottom w:val="0"/>
          <w:divBdr>
            <w:top w:val="none" w:sz="0" w:space="0" w:color="auto"/>
            <w:left w:val="none" w:sz="0" w:space="0" w:color="auto"/>
            <w:bottom w:val="none" w:sz="0" w:space="0" w:color="auto"/>
            <w:right w:val="none" w:sz="0" w:space="0" w:color="auto"/>
          </w:divBdr>
        </w:div>
        <w:div w:id="1411925434">
          <w:marLeft w:val="0"/>
          <w:marRight w:val="0"/>
          <w:marTop w:val="0"/>
          <w:marBottom w:val="0"/>
          <w:divBdr>
            <w:top w:val="none" w:sz="0" w:space="0" w:color="auto"/>
            <w:left w:val="none" w:sz="0" w:space="0" w:color="auto"/>
            <w:bottom w:val="none" w:sz="0" w:space="0" w:color="auto"/>
            <w:right w:val="none" w:sz="0" w:space="0" w:color="auto"/>
          </w:divBdr>
        </w:div>
      </w:divsChild>
    </w:div>
    <w:div w:id="351535209">
      <w:marLeft w:val="0"/>
      <w:marRight w:val="0"/>
      <w:marTop w:val="0"/>
      <w:marBottom w:val="0"/>
      <w:divBdr>
        <w:top w:val="none" w:sz="0" w:space="0" w:color="auto"/>
        <w:left w:val="none" w:sz="0" w:space="0" w:color="auto"/>
        <w:bottom w:val="none" w:sz="0" w:space="0" w:color="auto"/>
        <w:right w:val="none" w:sz="0" w:space="0" w:color="auto"/>
      </w:divBdr>
    </w:div>
    <w:div w:id="360135795">
      <w:bodyDiv w:val="1"/>
      <w:marLeft w:val="0"/>
      <w:marRight w:val="0"/>
      <w:marTop w:val="0"/>
      <w:marBottom w:val="0"/>
      <w:divBdr>
        <w:top w:val="none" w:sz="0" w:space="0" w:color="auto"/>
        <w:left w:val="none" w:sz="0" w:space="0" w:color="auto"/>
        <w:bottom w:val="none" w:sz="0" w:space="0" w:color="auto"/>
        <w:right w:val="none" w:sz="0" w:space="0" w:color="auto"/>
      </w:divBdr>
    </w:div>
    <w:div w:id="364252398">
      <w:marLeft w:val="0"/>
      <w:marRight w:val="0"/>
      <w:marTop w:val="0"/>
      <w:marBottom w:val="0"/>
      <w:divBdr>
        <w:top w:val="none" w:sz="0" w:space="0" w:color="auto"/>
        <w:left w:val="none" w:sz="0" w:space="0" w:color="auto"/>
        <w:bottom w:val="none" w:sz="0" w:space="0" w:color="auto"/>
        <w:right w:val="none" w:sz="0" w:space="0" w:color="auto"/>
      </w:divBdr>
      <w:divsChild>
        <w:div w:id="1940794281">
          <w:marLeft w:val="0"/>
          <w:marRight w:val="0"/>
          <w:marTop w:val="0"/>
          <w:marBottom w:val="0"/>
          <w:divBdr>
            <w:top w:val="none" w:sz="0" w:space="0" w:color="auto"/>
            <w:left w:val="none" w:sz="0" w:space="0" w:color="auto"/>
            <w:bottom w:val="none" w:sz="0" w:space="0" w:color="auto"/>
            <w:right w:val="none" w:sz="0" w:space="0" w:color="auto"/>
          </w:divBdr>
        </w:div>
      </w:divsChild>
    </w:div>
    <w:div w:id="402728142">
      <w:bodyDiv w:val="1"/>
      <w:marLeft w:val="0"/>
      <w:marRight w:val="0"/>
      <w:marTop w:val="0"/>
      <w:marBottom w:val="0"/>
      <w:divBdr>
        <w:top w:val="none" w:sz="0" w:space="0" w:color="auto"/>
        <w:left w:val="none" w:sz="0" w:space="0" w:color="auto"/>
        <w:bottom w:val="none" w:sz="0" w:space="0" w:color="auto"/>
        <w:right w:val="none" w:sz="0" w:space="0" w:color="auto"/>
      </w:divBdr>
    </w:div>
    <w:div w:id="469858008">
      <w:marLeft w:val="0"/>
      <w:marRight w:val="0"/>
      <w:marTop w:val="0"/>
      <w:marBottom w:val="0"/>
      <w:divBdr>
        <w:top w:val="none" w:sz="0" w:space="0" w:color="auto"/>
        <w:left w:val="none" w:sz="0" w:space="0" w:color="auto"/>
        <w:bottom w:val="none" w:sz="0" w:space="0" w:color="auto"/>
        <w:right w:val="none" w:sz="0" w:space="0" w:color="auto"/>
      </w:divBdr>
      <w:divsChild>
        <w:div w:id="2096978350">
          <w:marLeft w:val="0"/>
          <w:marRight w:val="0"/>
          <w:marTop w:val="0"/>
          <w:marBottom w:val="0"/>
          <w:divBdr>
            <w:top w:val="none" w:sz="0" w:space="0" w:color="auto"/>
            <w:left w:val="none" w:sz="0" w:space="0" w:color="auto"/>
            <w:bottom w:val="none" w:sz="0" w:space="0" w:color="auto"/>
            <w:right w:val="none" w:sz="0" w:space="0" w:color="auto"/>
          </w:divBdr>
        </w:div>
      </w:divsChild>
    </w:div>
    <w:div w:id="487092518">
      <w:bodyDiv w:val="1"/>
      <w:marLeft w:val="0"/>
      <w:marRight w:val="0"/>
      <w:marTop w:val="0"/>
      <w:marBottom w:val="0"/>
      <w:divBdr>
        <w:top w:val="none" w:sz="0" w:space="0" w:color="auto"/>
        <w:left w:val="none" w:sz="0" w:space="0" w:color="auto"/>
        <w:bottom w:val="none" w:sz="0" w:space="0" w:color="auto"/>
        <w:right w:val="none" w:sz="0" w:space="0" w:color="auto"/>
      </w:divBdr>
    </w:div>
    <w:div w:id="516240893">
      <w:bodyDiv w:val="1"/>
      <w:marLeft w:val="0"/>
      <w:marRight w:val="0"/>
      <w:marTop w:val="0"/>
      <w:marBottom w:val="0"/>
      <w:divBdr>
        <w:top w:val="none" w:sz="0" w:space="0" w:color="auto"/>
        <w:left w:val="none" w:sz="0" w:space="0" w:color="auto"/>
        <w:bottom w:val="none" w:sz="0" w:space="0" w:color="auto"/>
        <w:right w:val="none" w:sz="0" w:space="0" w:color="auto"/>
      </w:divBdr>
    </w:div>
    <w:div w:id="567308791">
      <w:bodyDiv w:val="1"/>
      <w:marLeft w:val="0"/>
      <w:marRight w:val="0"/>
      <w:marTop w:val="0"/>
      <w:marBottom w:val="0"/>
      <w:divBdr>
        <w:top w:val="none" w:sz="0" w:space="0" w:color="auto"/>
        <w:left w:val="none" w:sz="0" w:space="0" w:color="auto"/>
        <w:bottom w:val="none" w:sz="0" w:space="0" w:color="auto"/>
        <w:right w:val="none" w:sz="0" w:space="0" w:color="auto"/>
      </w:divBdr>
    </w:div>
    <w:div w:id="674310996">
      <w:bodyDiv w:val="1"/>
      <w:marLeft w:val="0"/>
      <w:marRight w:val="0"/>
      <w:marTop w:val="0"/>
      <w:marBottom w:val="0"/>
      <w:divBdr>
        <w:top w:val="none" w:sz="0" w:space="0" w:color="auto"/>
        <w:left w:val="none" w:sz="0" w:space="0" w:color="auto"/>
        <w:bottom w:val="none" w:sz="0" w:space="0" w:color="auto"/>
        <w:right w:val="none" w:sz="0" w:space="0" w:color="auto"/>
      </w:divBdr>
    </w:div>
    <w:div w:id="706875849">
      <w:bodyDiv w:val="1"/>
      <w:marLeft w:val="0"/>
      <w:marRight w:val="0"/>
      <w:marTop w:val="0"/>
      <w:marBottom w:val="0"/>
      <w:divBdr>
        <w:top w:val="none" w:sz="0" w:space="0" w:color="auto"/>
        <w:left w:val="none" w:sz="0" w:space="0" w:color="auto"/>
        <w:bottom w:val="none" w:sz="0" w:space="0" w:color="auto"/>
        <w:right w:val="none" w:sz="0" w:space="0" w:color="auto"/>
      </w:divBdr>
    </w:div>
    <w:div w:id="718360776">
      <w:bodyDiv w:val="1"/>
      <w:marLeft w:val="0"/>
      <w:marRight w:val="0"/>
      <w:marTop w:val="0"/>
      <w:marBottom w:val="0"/>
      <w:divBdr>
        <w:top w:val="none" w:sz="0" w:space="0" w:color="auto"/>
        <w:left w:val="none" w:sz="0" w:space="0" w:color="auto"/>
        <w:bottom w:val="none" w:sz="0" w:space="0" w:color="auto"/>
        <w:right w:val="none" w:sz="0" w:space="0" w:color="auto"/>
      </w:divBdr>
    </w:div>
    <w:div w:id="872813586">
      <w:bodyDiv w:val="1"/>
      <w:marLeft w:val="0"/>
      <w:marRight w:val="0"/>
      <w:marTop w:val="0"/>
      <w:marBottom w:val="0"/>
      <w:divBdr>
        <w:top w:val="none" w:sz="0" w:space="0" w:color="auto"/>
        <w:left w:val="none" w:sz="0" w:space="0" w:color="auto"/>
        <w:bottom w:val="none" w:sz="0" w:space="0" w:color="auto"/>
        <w:right w:val="none" w:sz="0" w:space="0" w:color="auto"/>
      </w:divBdr>
    </w:div>
    <w:div w:id="888347704">
      <w:bodyDiv w:val="1"/>
      <w:marLeft w:val="0"/>
      <w:marRight w:val="0"/>
      <w:marTop w:val="0"/>
      <w:marBottom w:val="0"/>
      <w:divBdr>
        <w:top w:val="none" w:sz="0" w:space="0" w:color="auto"/>
        <w:left w:val="none" w:sz="0" w:space="0" w:color="auto"/>
        <w:bottom w:val="none" w:sz="0" w:space="0" w:color="auto"/>
        <w:right w:val="none" w:sz="0" w:space="0" w:color="auto"/>
      </w:divBdr>
    </w:div>
    <w:div w:id="994382655">
      <w:bodyDiv w:val="1"/>
      <w:marLeft w:val="0"/>
      <w:marRight w:val="0"/>
      <w:marTop w:val="0"/>
      <w:marBottom w:val="0"/>
      <w:divBdr>
        <w:top w:val="none" w:sz="0" w:space="0" w:color="auto"/>
        <w:left w:val="none" w:sz="0" w:space="0" w:color="auto"/>
        <w:bottom w:val="none" w:sz="0" w:space="0" w:color="auto"/>
        <w:right w:val="none" w:sz="0" w:space="0" w:color="auto"/>
      </w:divBdr>
    </w:div>
    <w:div w:id="997996050">
      <w:bodyDiv w:val="1"/>
      <w:marLeft w:val="0"/>
      <w:marRight w:val="0"/>
      <w:marTop w:val="0"/>
      <w:marBottom w:val="0"/>
      <w:divBdr>
        <w:top w:val="none" w:sz="0" w:space="0" w:color="auto"/>
        <w:left w:val="none" w:sz="0" w:space="0" w:color="auto"/>
        <w:bottom w:val="none" w:sz="0" w:space="0" w:color="auto"/>
        <w:right w:val="none" w:sz="0" w:space="0" w:color="auto"/>
      </w:divBdr>
    </w:div>
    <w:div w:id="1081174914">
      <w:bodyDiv w:val="1"/>
      <w:marLeft w:val="0"/>
      <w:marRight w:val="0"/>
      <w:marTop w:val="0"/>
      <w:marBottom w:val="0"/>
      <w:divBdr>
        <w:top w:val="none" w:sz="0" w:space="0" w:color="auto"/>
        <w:left w:val="none" w:sz="0" w:space="0" w:color="auto"/>
        <w:bottom w:val="none" w:sz="0" w:space="0" w:color="auto"/>
        <w:right w:val="none" w:sz="0" w:space="0" w:color="auto"/>
      </w:divBdr>
    </w:div>
    <w:div w:id="1100025789">
      <w:bodyDiv w:val="1"/>
      <w:marLeft w:val="0"/>
      <w:marRight w:val="0"/>
      <w:marTop w:val="0"/>
      <w:marBottom w:val="0"/>
      <w:divBdr>
        <w:top w:val="none" w:sz="0" w:space="0" w:color="auto"/>
        <w:left w:val="none" w:sz="0" w:space="0" w:color="auto"/>
        <w:bottom w:val="none" w:sz="0" w:space="0" w:color="auto"/>
        <w:right w:val="none" w:sz="0" w:space="0" w:color="auto"/>
      </w:divBdr>
    </w:div>
    <w:div w:id="1121654018">
      <w:marLeft w:val="0"/>
      <w:marRight w:val="0"/>
      <w:marTop w:val="0"/>
      <w:marBottom w:val="0"/>
      <w:divBdr>
        <w:top w:val="none" w:sz="0" w:space="0" w:color="auto"/>
        <w:left w:val="none" w:sz="0" w:space="0" w:color="auto"/>
        <w:bottom w:val="none" w:sz="0" w:space="0" w:color="auto"/>
        <w:right w:val="none" w:sz="0" w:space="0" w:color="auto"/>
      </w:divBdr>
      <w:divsChild>
        <w:div w:id="2147114616">
          <w:marLeft w:val="0"/>
          <w:marRight w:val="0"/>
          <w:marTop w:val="0"/>
          <w:marBottom w:val="0"/>
          <w:divBdr>
            <w:top w:val="none" w:sz="0" w:space="0" w:color="auto"/>
            <w:left w:val="none" w:sz="0" w:space="0" w:color="auto"/>
            <w:bottom w:val="none" w:sz="0" w:space="0" w:color="auto"/>
            <w:right w:val="none" w:sz="0" w:space="0" w:color="auto"/>
          </w:divBdr>
        </w:div>
      </w:divsChild>
    </w:div>
    <w:div w:id="1149978081">
      <w:bodyDiv w:val="1"/>
      <w:marLeft w:val="0"/>
      <w:marRight w:val="0"/>
      <w:marTop w:val="0"/>
      <w:marBottom w:val="0"/>
      <w:divBdr>
        <w:top w:val="none" w:sz="0" w:space="0" w:color="auto"/>
        <w:left w:val="none" w:sz="0" w:space="0" w:color="auto"/>
        <w:bottom w:val="none" w:sz="0" w:space="0" w:color="auto"/>
        <w:right w:val="none" w:sz="0" w:space="0" w:color="auto"/>
      </w:divBdr>
    </w:div>
    <w:div w:id="1385062256">
      <w:bodyDiv w:val="1"/>
      <w:marLeft w:val="0"/>
      <w:marRight w:val="0"/>
      <w:marTop w:val="0"/>
      <w:marBottom w:val="0"/>
      <w:divBdr>
        <w:top w:val="none" w:sz="0" w:space="0" w:color="auto"/>
        <w:left w:val="none" w:sz="0" w:space="0" w:color="auto"/>
        <w:bottom w:val="none" w:sz="0" w:space="0" w:color="auto"/>
        <w:right w:val="none" w:sz="0" w:space="0" w:color="auto"/>
      </w:divBdr>
    </w:div>
    <w:div w:id="1525827459">
      <w:marLeft w:val="0"/>
      <w:marRight w:val="0"/>
      <w:marTop w:val="0"/>
      <w:marBottom w:val="0"/>
      <w:divBdr>
        <w:top w:val="none" w:sz="0" w:space="0" w:color="auto"/>
        <w:left w:val="none" w:sz="0" w:space="0" w:color="auto"/>
        <w:bottom w:val="none" w:sz="0" w:space="0" w:color="auto"/>
        <w:right w:val="none" w:sz="0" w:space="0" w:color="auto"/>
      </w:divBdr>
    </w:div>
    <w:div w:id="1574125537">
      <w:bodyDiv w:val="1"/>
      <w:marLeft w:val="0"/>
      <w:marRight w:val="0"/>
      <w:marTop w:val="0"/>
      <w:marBottom w:val="0"/>
      <w:divBdr>
        <w:top w:val="none" w:sz="0" w:space="0" w:color="auto"/>
        <w:left w:val="none" w:sz="0" w:space="0" w:color="auto"/>
        <w:bottom w:val="none" w:sz="0" w:space="0" w:color="auto"/>
        <w:right w:val="none" w:sz="0" w:space="0" w:color="auto"/>
      </w:divBdr>
    </w:div>
    <w:div w:id="1589534323">
      <w:bodyDiv w:val="1"/>
      <w:marLeft w:val="0"/>
      <w:marRight w:val="0"/>
      <w:marTop w:val="0"/>
      <w:marBottom w:val="0"/>
      <w:divBdr>
        <w:top w:val="none" w:sz="0" w:space="0" w:color="auto"/>
        <w:left w:val="none" w:sz="0" w:space="0" w:color="auto"/>
        <w:bottom w:val="none" w:sz="0" w:space="0" w:color="auto"/>
        <w:right w:val="none" w:sz="0" w:space="0" w:color="auto"/>
      </w:divBdr>
    </w:div>
    <w:div w:id="1638417493">
      <w:marLeft w:val="0"/>
      <w:marRight w:val="0"/>
      <w:marTop w:val="0"/>
      <w:marBottom w:val="0"/>
      <w:divBdr>
        <w:top w:val="none" w:sz="0" w:space="0" w:color="auto"/>
        <w:left w:val="none" w:sz="0" w:space="0" w:color="auto"/>
        <w:bottom w:val="none" w:sz="0" w:space="0" w:color="auto"/>
        <w:right w:val="none" w:sz="0" w:space="0" w:color="auto"/>
      </w:divBdr>
      <w:divsChild>
        <w:div w:id="834689026">
          <w:marLeft w:val="0"/>
          <w:marRight w:val="0"/>
          <w:marTop w:val="0"/>
          <w:marBottom w:val="0"/>
          <w:divBdr>
            <w:top w:val="none" w:sz="0" w:space="0" w:color="auto"/>
            <w:left w:val="none" w:sz="0" w:space="0" w:color="auto"/>
            <w:bottom w:val="none" w:sz="0" w:space="0" w:color="auto"/>
            <w:right w:val="none" w:sz="0" w:space="0" w:color="auto"/>
          </w:divBdr>
        </w:div>
      </w:divsChild>
    </w:div>
    <w:div w:id="1666321942">
      <w:bodyDiv w:val="1"/>
      <w:marLeft w:val="0"/>
      <w:marRight w:val="0"/>
      <w:marTop w:val="0"/>
      <w:marBottom w:val="0"/>
      <w:divBdr>
        <w:top w:val="none" w:sz="0" w:space="0" w:color="auto"/>
        <w:left w:val="none" w:sz="0" w:space="0" w:color="auto"/>
        <w:bottom w:val="none" w:sz="0" w:space="0" w:color="auto"/>
        <w:right w:val="none" w:sz="0" w:space="0" w:color="auto"/>
      </w:divBdr>
    </w:div>
    <w:div w:id="1745032699">
      <w:bodyDiv w:val="1"/>
      <w:marLeft w:val="0"/>
      <w:marRight w:val="0"/>
      <w:marTop w:val="0"/>
      <w:marBottom w:val="0"/>
      <w:divBdr>
        <w:top w:val="none" w:sz="0" w:space="0" w:color="auto"/>
        <w:left w:val="none" w:sz="0" w:space="0" w:color="auto"/>
        <w:bottom w:val="none" w:sz="0" w:space="0" w:color="auto"/>
        <w:right w:val="none" w:sz="0" w:space="0" w:color="auto"/>
      </w:divBdr>
    </w:div>
    <w:div w:id="1764449897">
      <w:bodyDiv w:val="1"/>
      <w:marLeft w:val="0"/>
      <w:marRight w:val="0"/>
      <w:marTop w:val="0"/>
      <w:marBottom w:val="0"/>
      <w:divBdr>
        <w:top w:val="none" w:sz="0" w:space="0" w:color="auto"/>
        <w:left w:val="none" w:sz="0" w:space="0" w:color="auto"/>
        <w:bottom w:val="none" w:sz="0" w:space="0" w:color="auto"/>
        <w:right w:val="none" w:sz="0" w:space="0" w:color="auto"/>
      </w:divBdr>
    </w:div>
    <w:div w:id="1852182282">
      <w:bodyDiv w:val="1"/>
      <w:marLeft w:val="0"/>
      <w:marRight w:val="0"/>
      <w:marTop w:val="0"/>
      <w:marBottom w:val="0"/>
      <w:divBdr>
        <w:top w:val="none" w:sz="0" w:space="0" w:color="auto"/>
        <w:left w:val="none" w:sz="0" w:space="0" w:color="auto"/>
        <w:bottom w:val="none" w:sz="0" w:space="0" w:color="auto"/>
        <w:right w:val="none" w:sz="0" w:space="0" w:color="auto"/>
      </w:divBdr>
      <w:divsChild>
        <w:div w:id="135029019">
          <w:marLeft w:val="0"/>
          <w:marRight w:val="0"/>
          <w:marTop w:val="0"/>
          <w:marBottom w:val="0"/>
          <w:divBdr>
            <w:top w:val="none" w:sz="0" w:space="0" w:color="auto"/>
            <w:left w:val="none" w:sz="0" w:space="0" w:color="auto"/>
            <w:bottom w:val="none" w:sz="0" w:space="0" w:color="auto"/>
            <w:right w:val="none" w:sz="0" w:space="0" w:color="auto"/>
          </w:divBdr>
        </w:div>
      </w:divsChild>
    </w:div>
    <w:div w:id="1868175645">
      <w:bodyDiv w:val="1"/>
      <w:marLeft w:val="0"/>
      <w:marRight w:val="0"/>
      <w:marTop w:val="0"/>
      <w:marBottom w:val="0"/>
      <w:divBdr>
        <w:top w:val="none" w:sz="0" w:space="0" w:color="auto"/>
        <w:left w:val="none" w:sz="0" w:space="0" w:color="auto"/>
        <w:bottom w:val="none" w:sz="0" w:space="0" w:color="auto"/>
        <w:right w:val="none" w:sz="0" w:space="0" w:color="auto"/>
      </w:divBdr>
    </w:div>
    <w:div w:id="1889300339">
      <w:bodyDiv w:val="1"/>
      <w:marLeft w:val="0"/>
      <w:marRight w:val="0"/>
      <w:marTop w:val="0"/>
      <w:marBottom w:val="0"/>
      <w:divBdr>
        <w:top w:val="none" w:sz="0" w:space="0" w:color="auto"/>
        <w:left w:val="none" w:sz="0" w:space="0" w:color="auto"/>
        <w:bottom w:val="none" w:sz="0" w:space="0" w:color="auto"/>
        <w:right w:val="none" w:sz="0" w:space="0" w:color="auto"/>
      </w:divBdr>
    </w:div>
    <w:div w:id="1927572289">
      <w:bodyDiv w:val="1"/>
      <w:marLeft w:val="0"/>
      <w:marRight w:val="0"/>
      <w:marTop w:val="0"/>
      <w:marBottom w:val="0"/>
      <w:divBdr>
        <w:top w:val="none" w:sz="0" w:space="0" w:color="auto"/>
        <w:left w:val="none" w:sz="0" w:space="0" w:color="auto"/>
        <w:bottom w:val="none" w:sz="0" w:space="0" w:color="auto"/>
        <w:right w:val="none" w:sz="0" w:space="0" w:color="auto"/>
      </w:divBdr>
    </w:div>
    <w:div w:id="1932816654">
      <w:bodyDiv w:val="1"/>
      <w:marLeft w:val="0"/>
      <w:marRight w:val="0"/>
      <w:marTop w:val="0"/>
      <w:marBottom w:val="0"/>
      <w:divBdr>
        <w:top w:val="none" w:sz="0" w:space="0" w:color="auto"/>
        <w:left w:val="none" w:sz="0" w:space="0" w:color="auto"/>
        <w:bottom w:val="none" w:sz="0" w:space="0" w:color="auto"/>
        <w:right w:val="none" w:sz="0" w:space="0" w:color="auto"/>
      </w:divBdr>
    </w:div>
    <w:div w:id="1978294391">
      <w:bodyDiv w:val="1"/>
      <w:marLeft w:val="0"/>
      <w:marRight w:val="0"/>
      <w:marTop w:val="0"/>
      <w:marBottom w:val="0"/>
      <w:divBdr>
        <w:top w:val="none" w:sz="0" w:space="0" w:color="auto"/>
        <w:left w:val="none" w:sz="0" w:space="0" w:color="auto"/>
        <w:bottom w:val="none" w:sz="0" w:space="0" w:color="auto"/>
        <w:right w:val="none" w:sz="0" w:space="0" w:color="auto"/>
      </w:divBdr>
    </w:div>
    <w:div w:id="1996301312">
      <w:marLeft w:val="0"/>
      <w:marRight w:val="0"/>
      <w:marTop w:val="0"/>
      <w:marBottom w:val="0"/>
      <w:divBdr>
        <w:top w:val="none" w:sz="0" w:space="0" w:color="auto"/>
        <w:left w:val="none" w:sz="0" w:space="0" w:color="auto"/>
        <w:bottom w:val="none" w:sz="0" w:space="0" w:color="auto"/>
        <w:right w:val="none" w:sz="0" w:space="0" w:color="auto"/>
      </w:divBdr>
    </w:div>
    <w:div w:id="2110158977">
      <w:bodyDiv w:val="1"/>
      <w:marLeft w:val="0"/>
      <w:marRight w:val="0"/>
      <w:marTop w:val="0"/>
      <w:marBottom w:val="0"/>
      <w:divBdr>
        <w:top w:val="none" w:sz="0" w:space="0" w:color="auto"/>
        <w:left w:val="none" w:sz="0" w:space="0" w:color="auto"/>
        <w:bottom w:val="none" w:sz="0" w:space="0" w:color="auto"/>
        <w:right w:val="none" w:sz="0" w:space="0" w:color="auto"/>
      </w:divBdr>
    </w:div>
    <w:div w:id="2126653367">
      <w:bodyDiv w:val="1"/>
      <w:marLeft w:val="0"/>
      <w:marRight w:val="0"/>
      <w:marTop w:val="0"/>
      <w:marBottom w:val="0"/>
      <w:divBdr>
        <w:top w:val="none" w:sz="0" w:space="0" w:color="auto"/>
        <w:left w:val="none" w:sz="0" w:space="0" w:color="auto"/>
        <w:bottom w:val="none" w:sz="0" w:space="0" w:color="auto"/>
        <w:right w:val="none" w:sz="0" w:space="0" w:color="auto"/>
      </w:divBdr>
      <w:divsChild>
        <w:div w:id="88548687">
          <w:marLeft w:val="0"/>
          <w:marRight w:val="0"/>
          <w:marTop w:val="0"/>
          <w:marBottom w:val="0"/>
          <w:divBdr>
            <w:top w:val="none" w:sz="0" w:space="0" w:color="auto"/>
            <w:left w:val="none" w:sz="0" w:space="0" w:color="auto"/>
            <w:bottom w:val="none" w:sz="0" w:space="0" w:color="auto"/>
            <w:right w:val="none" w:sz="0" w:space="0" w:color="auto"/>
          </w:divBdr>
          <w:divsChild>
            <w:div w:id="440539341">
              <w:marLeft w:val="0"/>
              <w:marRight w:val="0"/>
              <w:marTop w:val="0"/>
              <w:marBottom w:val="0"/>
              <w:divBdr>
                <w:top w:val="none" w:sz="0" w:space="0" w:color="auto"/>
                <w:left w:val="none" w:sz="0" w:space="0" w:color="auto"/>
                <w:bottom w:val="none" w:sz="0" w:space="0" w:color="auto"/>
                <w:right w:val="none" w:sz="0" w:space="0" w:color="auto"/>
              </w:divBdr>
              <w:divsChild>
                <w:div w:id="465009863">
                  <w:marLeft w:val="0"/>
                  <w:marRight w:val="0"/>
                  <w:marTop w:val="0"/>
                  <w:marBottom w:val="0"/>
                  <w:divBdr>
                    <w:top w:val="none" w:sz="0" w:space="0" w:color="auto"/>
                    <w:left w:val="none" w:sz="0" w:space="0" w:color="auto"/>
                    <w:bottom w:val="none" w:sz="0" w:space="0" w:color="auto"/>
                    <w:right w:val="none" w:sz="0" w:space="0" w:color="auto"/>
                  </w:divBdr>
                  <w:divsChild>
                    <w:div w:id="2065979869">
                      <w:marLeft w:val="0"/>
                      <w:marRight w:val="0"/>
                      <w:marTop w:val="0"/>
                      <w:marBottom w:val="0"/>
                      <w:divBdr>
                        <w:top w:val="none" w:sz="0" w:space="0" w:color="auto"/>
                        <w:left w:val="none" w:sz="0" w:space="0" w:color="auto"/>
                        <w:bottom w:val="none" w:sz="0" w:space="0" w:color="auto"/>
                        <w:right w:val="none" w:sz="0" w:space="0" w:color="auto"/>
                      </w:divBdr>
                      <w:divsChild>
                        <w:div w:id="1756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129282">
          <w:marLeft w:val="0"/>
          <w:marRight w:val="0"/>
          <w:marTop w:val="0"/>
          <w:marBottom w:val="0"/>
          <w:divBdr>
            <w:top w:val="none" w:sz="0" w:space="0" w:color="auto"/>
            <w:left w:val="none" w:sz="0" w:space="0" w:color="auto"/>
            <w:bottom w:val="none" w:sz="0" w:space="0" w:color="auto"/>
            <w:right w:val="none" w:sz="0" w:space="0" w:color="auto"/>
          </w:divBdr>
          <w:divsChild>
            <w:div w:id="240603047">
              <w:marLeft w:val="0"/>
              <w:marRight w:val="0"/>
              <w:marTop w:val="0"/>
              <w:marBottom w:val="0"/>
              <w:divBdr>
                <w:top w:val="none" w:sz="0" w:space="0" w:color="auto"/>
                <w:left w:val="none" w:sz="0" w:space="0" w:color="auto"/>
                <w:bottom w:val="none" w:sz="0" w:space="0" w:color="auto"/>
                <w:right w:val="none" w:sz="0" w:space="0" w:color="auto"/>
              </w:divBdr>
              <w:divsChild>
                <w:div w:id="15850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industrial-bank.com"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creativeinvest.com" TargetMode="External"/><Relationship Id="rId1" Type="http://schemas.openxmlformats.org/officeDocument/2006/relationships/hyperlink" Target="mailto:info@creativeinvest.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bloomberg.com/quote/IBWC: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4BD0-F12D-421B-98E9-F341013E8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4166</Words>
  <Characters>23748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 M Cunningham</dc:creator>
  <cp:keywords/>
  <dc:description/>
  <cp:lastModifiedBy>William Michael Cunningham</cp:lastModifiedBy>
  <cp:revision>2</cp:revision>
  <cp:lastPrinted>2021-02-18T20:37:00Z</cp:lastPrinted>
  <dcterms:created xsi:type="dcterms:W3CDTF">2021-08-08T16:15:00Z</dcterms:created>
  <dcterms:modified xsi:type="dcterms:W3CDTF">2021-08-08T16:15:00Z</dcterms:modified>
</cp:coreProperties>
</file>