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p>
    <w:p>
      <w:pPr>
        <w:pStyle w:val="2"/>
        <w:numPr>
          <w:numId w:val="0"/>
        </w:numPr>
        <w:bidi w:val="0"/>
        <w:ind w:leftChars="0"/>
        <w:jc w:val="center"/>
      </w:pPr>
      <w:r>
        <w:rPr>
          <w:rFonts w:hint="eastAsia"/>
          <w:lang w:val="en-US" w:eastAsia="zh-CN"/>
        </w:rPr>
        <w:t>加强</w:t>
      </w:r>
      <w:r>
        <w:t>中国经济发展与现代化产业体系建设</w:t>
      </w:r>
    </w:p>
    <w:p/>
    <w:p>
      <w:pPr>
        <w:pStyle w:val="2"/>
        <w:numPr>
          <w:ilvl w:val="0"/>
          <w:numId w:val="1"/>
        </w:numPr>
        <w:bidi w:val="0"/>
        <w:ind w:left="-420" w:leftChars="0" w:firstLine="420" w:firstLineChars="0"/>
      </w:pPr>
      <w:r>
        <w:t>摘要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本文主要从自改革开放以来的经济发展与产业体系的建设两个方面解读历史，分析现状以及整合出当下主流的解决措施。</w:t>
      </w:r>
    </w:p>
    <w:p>
      <w:pPr>
        <w:pStyle w:val="2"/>
        <w:numPr>
          <w:ilvl w:val="0"/>
          <w:numId w:val="1"/>
        </w:numPr>
        <w:bidi w:val="0"/>
        <w:ind w:left="-420" w:leftChars="0" w:firstLine="420" w:firstLineChars="0"/>
      </w:pPr>
      <w:r>
        <w:t>关键词</w:t>
      </w:r>
    </w:p>
    <w:p>
      <w:pPr>
        <w:ind w:firstLine="420" w:firstLineChars="0"/>
        <w:rPr>
          <w:rFonts w:hint="default" w:eastAsiaTheme="minorEastAsia"/>
          <w:lang w:val="en-US" w:eastAsia="zh-CN"/>
        </w:rPr>
      </w:pPr>
      <w:r>
        <w:rPr>
          <w:rFonts w:hint="eastAsia"/>
          <w:lang w:val="en-US" w:eastAsia="zh-CN"/>
        </w:rPr>
        <w:t xml:space="preserve">经济发展 现代化产业体系 </w:t>
      </w:r>
    </w:p>
    <w:p>
      <w:pPr>
        <w:pStyle w:val="2"/>
        <w:numPr>
          <w:ilvl w:val="0"/>
          <w:numId w:val="1"/>
        </w:numPr>
        <w:bidi w:val="0"/>
      </w:pPr>
      <w:r>
        <w:t>正文</w:t>
      </w:r>
    </w:p>
    <w:p>
      <w:pPr>
        <w:pStyle w:val="3"/>
        <w:numPr>
          <w:ilvl w:val="0"/>
          <w:numId w:val="2"/>
        </w:numPr>
        <w:bidi w:val="0"/>
        <w:rPr>
          <w:rFonts w:hint="eastAsia"/>
          <w:lang w:val="en-US" w:eastAsia="zh-CN"/>
        </w:rPr>
      </w:pPr>
      <w:r>
        <w:rPr>
          <w:rFonts w:hint="eastAsia"/>
          <w:lang w:val="en-US" w:eastAsia="zh-CN"/>
        </w:rPr>
        <w:t>中国的经济发展</w:t>
      </w:r>
    </w:p>
    <w:p>
      <w:pPr>
        <w:pStyle w:val="4"/>
        <w:numPr>
          <w:ilvl w:val="0"/>
          <w:numId w:val="3"/>
        </w:numPr>
        <w:bidi w:val="0"/>
        <w:rPr>
          <w:rFonts w:hint="eastAsia"/>
          <w:lang w:val="en-US" w:eastAsia="zh-CN"/>
        </w:rPr>
      </w:pPr>
      <w:r>
        <w:rPr>
          <w:rFonts w:hint="eastAsia"/>
          <w:lang w:val="en-US" w:eastAsia="zh-CN"/>
        </w:rPr>
        <w:t>历史</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eastAsia"/>
          <w:lang w:val="en-US" w:eastAsia="zh-CN"/>
        </w:rPr>
        <w:t>自改革开放以来，中国的经济发展飞速发展，通过引入市场机制，减少计划经济的限制，中国的国内生产总值（GDP）以及人均GDP都实现了快速增长。</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1659255</wp:posOffset>
                </wp:positionH>
                <wp:positionV relativeFrom="paragraph">
                  <wp:posOffset>1981200</wp:posOffset>
                </wp:positionV>
                <wp:extent cx="1955800" cy="283210"/>
                <wp:effectExtent l="0" t="0" r="0" b="8890"/>
                <wp:wrapNone/>
                <wp:docPr id="2" name="文本框 2"/>
                <wp:cNvGraphicFramePr/>
                <a:graphic xmlns:a="http://schemas.openxmlformats.org/drawingml/2006/main">
                  <a:graphicData uri="http://schemas.microsoft.com/office/word/2010/wordprocessingShape">
                    <wps:wsp>
                      <wps:cNvSpPr txBox="1"/>
                      <wps:spPr>
                        <a:xfrm>
                          <a:off x="3016885" y="4061460"/>
                          <a:ext cx="1955800" cy="283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数据来自国家统计局[1]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65pt;margin-top:156pt;height:22.3pt;width:154pt;z-index:251659264;mso-width-relative:page;mso-height-relative:page;" fillcolor="#FFFFFF [3201]" filled="t" stroked="f" coordsize="21600,21600" o:gfxdata="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5F6l&#10;1QAAAAsBAAAPAAAAAAAAAAEAIAAAACIAAABkcnMvZG93bnJldi54bWxQSwECFAAUAAAACACHTuJA&#10;fjrjUF0CAACbBAAADgAAAAAAAAABACAAAAAkAQAAZHJzL2Uyb0RvYy54bWxQSwUGAAAAAAYABgBZ&#10;AQAA8wUAAAAA&#10;">
                <v:fill on="t"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数据来自国家统计局[1]</w:t>
                      </w:r>
                    </w:p>
                  </w:txbxContent>
                </v:textbox>
              </v:shape>
            </w:pict>
          </mc:Fallback>
        </mc:AlternateContent>
      </w:r>
      <w:r>
        <w:rPr>
          <w:rFonts w:hint="default"/>
          <w:lang w:val="en-US" w:eastAsia="zh-CN"/>
        </w:rPr>
        <w:drawing>
          <wp:inline distT="0" distB="0" distL="114300" distR="114300">
            <wp:extent cx="4030980" cy="1833245"/>
            <wp:effectExtent l="5080" t="4445" r="15240" b="165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lang w:val="en-US" w:eastAsia="zh-CN"/>
        </w:rPr>
      </w:pPr>
      <w:r>
        <w:rPr>
          <w:rFonts w:hint="eastAsia"/>
          <w:lang w:val="en-US" w:eastAsia="zh-CN"/>
        </w:rPr>
        <w:t>改革开放40多年来，中国GDP年均增长率保持在近10%左右，是同期全球平均水平的约三倍。同时，中国的经济总量从1978年的全球排名第11跃升至现今世界第二大经济体。而中国在短短40多年取得如此大的经济增长有多方面的原因，除了改革开发外还包括中国迅速增长的人口带来的人口红利、国内乃至全世界科技进步导致的生产力提升、由基础设施建设完善提高的物流效率以及随着居民收入的增加和城镇化的推进而扩大的消费需求。</w:t>
      </w:r>
    </w:p>
    <w:p>
      <w:pPr>
        <w:keepNext w:val="0"/>
        <w:keepLines w:val="0"/>
        <w:pageBreakBefore w:val="0"/>
        <w:widowControl w:val="0"/>
        <w:kinsoku/>
        <w:wordWrap/>
        <w:overflowPunct/>
        <w:topLinePunct w:val="0"/>
        <w:autoSpaceDE/>
        <w:autoSpaceDN/>
        <w:bidi w:val="0"/>
        <w:adjustRightInd/>
        <w:snapToGrid/>
        <w:ind w:left="420" w:leftChars="0" w:firstLine="420" w:firstLineChars="200"/>
        <w:textAlignment w:val="auto"/>
        <w:rPr>
          <w:rFonts w:hint="default" w:eastAsiaTheme="minorEastAsia"/>
          <w:lang w:val="en-US" w:eastAsia="zh-CN"/>
        </w:rPr>
      </w:pPr>
      <w:r>
        <w:rPr>
          <w:rFonts w:hint="eastAsia"/>
          <w:lang w:val="en-US" w:eastAsia="zh-CN"/>
        </w:rPr>
        <w:t>2012年，习近平总书记提出了新时代中国特色社会主义经济思想，加强和完善中国特色社会主义制度，至此，我国经济开始了从高速发展到高质量发展阶段的转变。2015年发布的“十三五”规划纲要强调绿色、低碳、循环发展，注重提高经济发展的质量和效益。[2]而自习近平</w:t>
      </w:r>
      <w:r>
        <w:rPr>
          <w:rFonts w:hint="default"/>
        </w:rPr>
        <w:t>新时代中国特色社会主义经济</w:t>
      </w:r>
      <w:r>
        <w:rPr>
          <w:rFonts w:hint="eastAsia"/>
          <w:lang w:val="en-US" w:eastAsia="zh-CN"/>
        </w:rPr>
        <w:t>提出以来，我国做出了众多改变：</w:t>
      </w:r>
      <w:r>
        <w:t>优化</w:t>
      </w:r>
      <w:r>
        <w:rPr>
          <w:rFonts w:hint="eastAsia"/>
          <w:lang w:val="en-US" w:eastAsia="zh-CN"/>
        </w:rPr>
        <w:t>了</w:t>
      </w:r>
      <w:r>
        <w:t>经济结构</w:t>
      </w:r>
      <w:r>
        <w:rPr>
          <w:rFonts w:hint="eastAsia"/>
          <w:lang w:eastAsia="zh-CN"/>
        </w:rPr>
        <w:t>，</w:t>
      </w:r>
      <w:r>
        <w:rPr>
          <w:rFonts w:hint="default"/>
        </w:rPr>
        <w:t>加快从以投资和出口为主导向以消费为主导的转变，推动产业结构升级，发展先进制造业，促进信息化与工业化深度融合</w:t>
      </w:r>
      <w:r>
        <w:rPr>
          <w:rFonts w:hint="eastAsia"/>
          <w:lang w:eastAsia="zh-CN"/>
        </w:rPr>
        <w:t>；</w:t>
      </w:r>
      <w:r>
        <w:rPr>
          <w:rFonts w:hint="eastAsia"/>
          <w:lang w:val="en-US" w:eastAsia="zh-CN"/>
        </w:rPr>
        <w:t>采用</w:t>
      </w:r>
      <w:r>
        <w:t>创新驱动发展战略</w:t>
      </w:r>
      <w:r>
        <w:rPr>
          <w:rFonts w:hint="eastAsia"/>
          <w:lang w:eastAsia="zh-CN"/>
        </w:rPr>
        <w:t>，</w:t>
      </w:r>
      <w:r>
        <w:rPr>
          <w:rFonts w:hint="default"/>
        </w:rPr>
        <w:t>加强科技创新，提高原始创新能力，推动互联网、大数据、人工智能等新技术与实体经济深度融合，形成新的增长点</w:t>
      </w:r>
      <w:r>
        <w:rPr>
          <w:rFonts w:hint="eastAsia"/>
          <w:lang w:eastAsia="zh-CN"/>
        </w:rPr>
        <w:t>；</w:t>
      </w:r>
      <w:r>
        <w:rPr>
          <w:rFonts w:hint="eastAsia"/>
          <w:lang w:val="en-US" w:eastAsia="zh-CN"/>
        </w:rPr>
        <w:t>提出</w:t>
      </w:r>
      <w:r>
        <w:t>共享发展</w:t>
      </w:r>
      <w:r>
        <w:rPr>
          <w:rFonts w:hint="eastAsia"/>
          <w:lang w:eastAsia="zh-CN"/>
        </w:rPr>
        <w:t>，</w:t>
      </w:r>
      <w:r>
        <w:rPr>
          <w:rFonts w:hint="default"/>
        </w:rPr>
        <w:t>注重解决好发展不平衡不充分的问题，推进教育、就业、医疗、住房等公共服务均等化，努力让人民群众有更多获得感、幸福感、安全感。</w:t>
      </w:r>
    </w:p>
    <w:p>
      <w:pPr>
        <w:pStyle w:val="4"/>
        <w:numPr>
          <w:ilvl w:val="0"/>
          <w:numId w:val="3"/>
        </w:numPr>
        <w:bidi w:val="0"/>
        <w:rPr>
          <w:rFonts w:hint="eastAsia"/>
          <w:lang w:val="en-US" w:eastAsia="zh-CN"/>
        </w:rPr>
      </w:pPr>
      <w:r>
        <w:rPr>
          <w:rFonts w:hint="eastAsia"/>
          <w:lang w:val="en-US" w:eastAsia="zh-CN"/>
        </w:rPr>
        <w:t>现状与措施</w:t>
      </w:r>
    </w:p>
    <w:p>
      <w:pPr>
        <w:bidi w:val="0"/>
        <w:ind w:left="420" w:leftChars="0" w:firstLine="420" w:firstLineChars="0"/>
        <w:rPr>
          <w:rFonts w:hint="default"/>
        </w:rPr>
      </w:pPr>
      <w:r>
        <w:t>总的来说，中国经济正处于转型升级、调结构的关键期，面临着机遇与挑战并存的复杂局面。</w:t>
      </w:r>
      <w:r>
        <w:rPr>
          <w:rFonts w:hint="eastAsia"/>
          <w:lang w:val="en-US" w:eastAsia="zh-CN"/>
        </w:rPr>
        <w:t>从正面来看，</w:t>
      </w:r>
      <w:r>
        <w:rPr>
          <w:rFonts w:hint="default"/>
        </w:rPr>
        <w:t>疫情导致全球供应链重组，中国凭借完善的产业链体系和制造业基础，有望在全球供应链重组中扮演更加重要的角色，吸引更多的国际投资。</w:t>
      </w:r>
      <w:r>
        <w:rPr>
          <w:rFonts w:hint="eastAsia"/>
          <w:lang w:val="en-US" w:eastAsia="zh-CN"/>
        </w:rPr>
        <w:t>而</w:t>
      </w:r>
      <w:r>
        <w:rPr>
          <w:rFonts w:hint="default"/>
        </w:rPr>
        <w:t>数字经济</w:t>
      </w:r>
      <w:r>
        <w:rPr>
          <w:rFonts w:hint="eastAsia"/>
          <w:lang w:val="en-US" w:eastAsia="zh-CN"/>
        </w:rPr>
        <w:t>的崛起，</w:t>
      </w:r>
      <w:r>
        <w:rPr>
          <w:rFonts w:hint="default"/>
        </w:rPr>
        <w:t>疫情期间，远程工作、在线教育、电子商务等数字经济领域快速发展，</w:t>
      </w:r>
      <w:r>
        <w:rPr>
          <w:rFonts w:hint="eastAsia"/>
          <w:lang w:val="en-US" w:eastAsia="zh-CN"/>
        </w:rPr>
        <w:t>这使</w:t>
      </w:r>
      <w:r>
        <w:rPr>
          <w:rFonts w:hint="default"/>
        </w:rPr>
        <w:t>成为中国经济增长的新动力。</w:t>
      </w:r>
      <w:r>
        <w:rPr>
          <w:rFonts w:hint="eastAsia"/>
          <w:lang w:val="en-US" w:eastAsia="zh-CN"/>
        </w:rPr>
        <w:t>疫情影响也催生出了更多的</w:t>
      </w:r>
      <w:r>
        <w:rPr>
          <w:rFonts w:hint="default"/>
        </w:rPr>
        <w:t>国际关系中的合作机会</w:t>
      </w:r>
      <w:r>
        <w:rPr>
          <w:rFonts w:hint="eastAsia"/>
          <w:lang w:eastAsia="zh-CN"/>
        </w:rPr>
        <w:t>，</w:t>
      </w:r>
      <w:r>
        <w:rPr>
          <w:rFonts w:hint="default"/>
        </w:rPr>
        <w:t>面对共同的挑战，中国积极参与国际抗疫合作，通过提供疫苗支援、分享抗疫经验等方式，加强与其他国家的友好关系，开辟了新的外交和经济合作空间。</w:t>
      </w:r>
      <w:r>
        <w:rPr>
          <w:rFonts w:hint="eastAsia"/>
          <w:lang w:val="en-US" w:eastAsia="zh-CN"/>
        </w:rPr>
        <w:t>从反面看，</w:t>
      </w:r>
      <w:r>
        <w:rPr>
          <w:rFonts w:hint="default"/>
        </w:rPr>
        <w:t>国际贸易环境变化</w:t>
      </w:r>
      <w:r>
        <w:rPr>
          <w:rFonts w:hint="eastAsia"/>
          <w:lang w:val="en-US" w:eastAsia="zh-CN"/>
        </w:rPr>
        <w:t>莫测，</w:t>
      </w:r>
      <w:r>
        <w:rPr>
          <w:rFonts w:hint="default"/>
        </w:rPr>
        <w:t>随着疫情的全球蔓延，国际贸易受到严重影响。一些国家推行保护主义政策，限制商品和人员流动，这对依赖外贸的中国经济构成了压力。疫情导致全球经济前景不明确</w:t>
      </w:r>
      <w:r>
        <w:rPr>
          <w:rFonts w:hint="eastAsia"/>
          <w:lang w:eastAsia="zh-CN"/>
        </w:rPr>
        <w:t>，</w:t>
      </w:r>
      <w:r>
        <w:rPr>
          <w:rFonts w:hint="default"/>
        </w:rPr>
        <w:t>全球经济不确定性增大，国际金融市场波动加剧，对中国出口和外资流入都形成不利影响。国际政治风险升温</w:t>
      </w:r>
      <w:r>
        <w:rPr>
          <w:rFonts w:hint="eastAsia"/>
          <w:lang w:eastAsia="zh-CN"/>
        </w:rPr>
        <w:t>，</w:t>
      </w:r>
      <w:r>
        <w:rPr>
          <w:rFonts w:hint="eastAsia"/>
          <w:lang w:val="en-US" w:eastAsia="zh-CN"/>
        </w:rPr>
        <w:t>以美国为首的西方资本主义国家</w:t>
      </w:r>
      <w:r>
        <w:rPr>
          <w:rFonts w:hint="default"/>
        </w:rPr>
        <w:t>可能</w:t>
      </w:r>
      <w:r>
        <w:rPr>
          <w:rFonts w:hint="eastAsia"/>
          <w:lang w:val="en-US" w:eastAsia="zh-CN"/>
        </w:rPr>
        <w:t>会在</w:t>
      </w:r>
      <w:r>
        <w:rPr>
          <w:rFonts w:hint="default"/>
        </w:rPr>
        <w:t>影响中国与</w:t>
      </w:r>
      <w:r>
        <w:rPr>
          <w:rFonts w:hint="eastAsia"/>
          <w:lang w:val="en-US" w:eastAsia="zh-CN"/>
        </w:rPr>
        <w:t>其他</w:t>
      </w:r>
      <w:r>
        <w:rPr>
          <w:rFonts w:hint="default"/>
        </w:rPr>
        <w:t>国家的经贸</w:t>
      </w:r>
      <w:r>
        <w:rPr>
          <w:rFonts w:hint="eastAsia"/>
          <w:lang w:val="en-US" w:eastAsia="zh-CN"/>
        </w:rPr>
        <w:t>中作梗。最后，</w:t>
      </w:r>
      <w:r>
        <w:rPr>
          <w:rFonts w:hint="default"/>
        </w:rPr>
        <w:t>外部环境对内需</w:t>
      </w:r>
      <w:r>
        <w:rPr>
          <w:rFonts w:hint="eastAsia"/>
          <w:lang w:val="en-US" w:eastAsia="zh-CN"/>
        </w:rPr>
        <w:t>也提出了新要求</w:t>
      </w:r>
      <w:r>
        <w:rPr>
          <w:rFonts w:hint="eastAsia"/>
          <w:lang w:eastAsia="zh-CN"/>
        </w:rPr>
        <w:t>，</w:t>
      </w:r>
      <w:r>
        <w:rPr>
          <w:rFonts w:hint="default"/>
        </w:rPr>
        <w:t>由于疫情及其导致的国际关系变化，外部需求减少，加之全球经济不确定性，也对中国内需市场的恢复和扩大构成挑战。</w:t>
      </w:r>
    </w:p>
    <w:p>
      <w:pPr>
        <w:bidi w:val="0"/>
        <w:ind w:left="420" w:leftChars="0" w:firstLine="420" w:firstLineChars="0"/>
        <w:rPr>
          <w:rFonts w:hint="eastAsia"/>
          <w:lang w:val="en-US" w:eastAsia="zh-CN"/>
        </w:rPr>
      </w:pPr>
      <w:r>
        <w:rPr>
          <w:rFonts w:hint="eastAsia"/>
          <w:lang w:val="en-US" w:eastAsia="zh-CN"/>
        </w:rPr>
        <w:t>总而言之，</w:t>
      </w:r>
      <w:r>
        <w:t>未来中国经济的发展将继续面临来自全球疫情和国际关系变化带来的不确定性。对此，中国需要进一步加强与其他国家的合作，推动全球治理体系改革，同时深化内部改革，加快经济结构调整和产业升级，稳步推进开放型经济发展，以适应和引领全球化新形势下的经济发展趋势。</w:t>
      </w:r>
    </w:p>
    <w:p>
      <w:pPr>
        <w:pStyle w:val="3"/>
        <w:numPr>
          <w:ilvl w:val="0"/>
          <w:numId w:val="2"/>
        </w:numPr>
        <w:bidi w:val="0"/>
        <w:rPr>
          <w:rFonts w:hint="eastAsia"/>
          <w:lang w:val="en-US" w:eastAsia="zh-CN"/>
        </w:rPr>
      </w:pPr>
      <w:r>
        <w:rPr>
          <w:rFonts w:hint="eastAsia"/>
          <w:lang w:val="en-US" w:eastAsia="zh-CN"/>
        </w:rPr>
        <w:t>现代化产业体系建设</w:t>
      </w:r>
    </w:p>
    <w:p>
      <w:pPr>
        <w:pStyle w:val="4"/>
        <w:numPr>
          <w:ilvl w:val="0"/>
          <w:numId w:val="4"/>
        </w:numPr>
        <w:bidi w:val="0"/>
        <w:rPr>
          <w:rFonts w:hint="eastAsia"/>
          <w:lang w:val="en-US" w:eastAsia="zh-CN"/>
        </w:rPr>
      </w:pPr>
      <w:r>
        <w:rPr>
          <w:rFonts w:hint="eastAsia"/>
          <w:lang w:val="en-US" w:eastAsia="zh-CN"/>
        </w:rPr>
        <w:t>概念</w:t>
      </w:r>
    </w:p>
    <w:p>
      <w:pPr>
        <w:bidi w:val="0"/>
        <w:ind w:left="420" w:leftChars="0" w:firstLine="420" w:firstLineChars="0"/>
        <w:rPr>
          <w:rFonts w:hint="eastAsia"/>
          <w:lang w:val="en-US" w:eastAsia="zh-CN"/>
        </w:rPr>
      </w:pPr>
      <w:r>
        <w:rPr>
          <w:rFonts w:hint="eastAsia"/>
          <w:lang w:val="en-US" w:eastAsia="zh-CN"/>
        </w:rPr>
        <w:t>什么是现代化产业体系呢？一篇名为《</w:t>
      </w:r>
      <w:r>
        <w:rPr>
          <w:rFonts w:hint="default"/>
        </w:rPr>
        <w:t>现代化产业体系建设进入快车道</w:t>
      </w:r>
      <w:r>
        <w:rPr>
          <w:rFonts w:hint="eastAsia"/>
          <w:lang w:val="en-US" w:eastAsia="zh-CN"/>
        </w:rPr>
        <w:t>》的新闻报道中详细介绍了：</w:t>
      </w:r>
      <w:r>
        <w:t>现代化</w:t>
      </w:r>
      <w:r>
        <w:rPr>
          <w:rFonts w:hint="eastAsia"/>
        </w:rPr>
        <w:t>产业体系是以现代先进技术广泛运用为基础、以战略性新兴产业和高技术产业为引领、以产业链供应链现代化为方向、以实体经济为着力点、以满足消费需求为目的的新型产业体系，是现代生产力的基本载体。</w:t>
      </w:r>
      <w:r>
        <w:rPr>
          <w:rFonts w:hint="eastAsia"/>
          <w:lang w:val="en-US" w:eastAsia="zh-CN"/>
        </w:rPr>
        <w:t>[3]在陈世清老师的著作《对称经济学》中也提到了现代化产业体系：</w:t>
      </w:r>
      <w:r>
        <w:t>现代产业体系是以智慧经济</w:t>
      </w:r>
      <w:r>
        <w:rPr>
          <w:rFonts w:hint="eastAsia"/>
          <w:lang w:eastAsia="zh-CN"/>
        </w:rPr>
        <w:t>（</w:t>
      </w:r>
      <w:r>
        <w:t>含数字经济</w:t>
      </w:r>
      <w:r>
        <w:rPr>
          <w:rFonts w:hint="eastAsia"/>
          <w:lang w:eastAsia="zh-CN"/>
        </w:rPr>
        <w:t>）</w:t>
      </w:r>
      <w:r>
        <w:t>为主导、大健康产业为核心、现代农业为基础、通过五大产业</w:t>
      </w:r>
      <w:r>
        <w:rPr>
          <w:rFonts w:hint="eastAsia"/>
          <w:lang w:eastAsia="zh-CN"/>
        </w:rPr>
        <w:t>（</w:t>
      </w:r>
      <w:r>
        <w:t>农业、工业、服务业、信息业、知识业</w:t>
      </w:r>
      <w:r>
        <w:rPr>
          <w:rFonts w:hint="eastAsia"/>
          <w:lang w:eastAsia="zh-CN"/>
        </w:rPr>
        <w:t>）</w:t>
      </w:r>
      <w:r>
        <w:t>的融合实现产业升级经济高质量发展的产业形态。现代产业体系是现代化经济体系中的宏观产业结构。高附加值</w:t>
      </w:r>
      <w:r>
        <w:rPr>
          <w:rFonts w:hint="eastAsia"/>
          <w:lang w:eastAsia="zh-CN"/>
        </w:rPr>
        <w:t>，</w:t>
      </w:r>
      <w:r>
        <w:t>是现代产业体系的灵魂</w:t>
      </w:r>
      <w:r>
        <w:rPr>
          <w:rFonts w:hint="eastAsia"/>
          <w:lang w:eastAsia="zh-CN"/>
        </w:rPr>
        <w:t>；</w:t>
      </w:r>
      <w:r>
        <w:t>创新性、再生性、生态性、系统性、规模性、精准性</w:t>
      </w:r>
      <w:r>
        <w:rPr>
          <w:rFonts w:hint="eastAsia"/>
          <w:lang w:eastAsia="zh-CN"/>
        </w:rPr>
        <w:t>，</w:t>
      </w:r>
      <w:r>
        <w:t>是现代产业体系的本质特征。现代产业体系既是发达国家可持续发展的产业形态,也是智慧经济时代发展中国家实现赶超战略的产业形态。</w:t>
      </w:r>
      <w:r>
        <w:rPr>
          <w:rFonts w:hint="eastAsia"/>
          <w:lang w:val="en-US" w:eastAsia="zh-CN"/>
        </w:rPr>
        <w:t>[4]与之对应的是传统产业体系，相较于传统产业体系，现代化产业体系的先进之处在于更先进的技术、更高的效率、更现代的产业。</w:t>
      </w:r>
    </w:p>
    <w:p>
      <w:pPr>
        <w:pStyle w:val="4"/>
        <w:numPr>
          <w:ilvl w:val="0"/>
          <w:numId w:val="4"/>
        </w:numPr>
        <w:bidi w:val="0"/>
        <w:rPr>
          <w:rFonts w:hint="eastAsia"/>
          <w:lang w:val="en-US" w:eastAsia="zh-CN"/>
        </w:rPr>
      </w:pPr>
      <w:r>
        <w:rPr>
          <w:rFonts w:hint="eastAsia"/>
          <w:lang w:val="en-US" w:eastAsia="zh-CN"/>
        </w:rPr>
        <w:t>历史</w:t>
      </w:r>
    </w:p>
    <w:p>
      <w:pPr>
        <w:bidi w:val="0"/>
        <w:ind w:left="420" w:leftChars="0" w:firstLine="420" w:firstLineChars="0"/>
        <w:rPr>
          <w:rFonts w:hint="default"/>
        </w:rPr>
      </w:pPr>
      <w:r>
        <w:rPr>
          <w:rFonts w:hint="eastAsia"/>
          <w:lang w:val="en-US" w:eastAsia="zh-CN"/>
        </w:rPr>
        <w:t>现代工业体系的概念</w:t>
      </w:r>
      <w:r>
        <w:rPr>
          <w:rFonts w:hint="default"/>
        </w:rPr>
        <w:t>在不同国家和地区逐步演进，是多方面知识、政策思考和实践活动的综合结果。从历史角度看，现代化产业体系建设涉及到工业化、信息化、市场化、国际化等多个方面，它的提出和发展是伴随着经济学理论的进步、工业技术的革新以及全球化经济格局的演变过程中逐步形成和深化的。</w:t>
      </w:r>
    </w:p>
    <w:p>
      <w:pPr>
        <w:bidi w:val="0"/>
        <w:ind w:left="420" w:leftChars="0" w:firstLine="420" w:firstLineChars="0"/>
        <w:rPr>
          <w:rFonts w:hint="default"/>
        </w:rPr>
      </w:pPr>
      <w:r>
        <w:rPr>
          <w:rFonts w:hint="eastAsia"/>
          <w:lang w:val="en-US" w:eastAsia="zh-CN"/>
        </w:rPr>
        <w:t>在国际上，</w:t>
      </w:r>
      <w:r>
        <w:rPr>
          <w:rFonts w:hint="default"/>
        </w:rPr>
        <w:t>现代化产业体系的萌芽可以追溯到18世纪末至19世纪初的第一次工业革命。这一时期，英国率先实现了从农业社会向工业社会的转变。随后，这一进程逐渐扩散到欧洲其他部分和北美地区。工业革命引入了机械化生产方式，标志着现代工业的起始点，并为后来更加复杂的产业体系奠定了基础。在20世纪初至中期，随着第二次工业革命的推进，电力和内燃机的广泛应用促使生产效率大幅提升，同时也催生了新的工业部门，如化学工业、汽车制造业等。此外，两次世界大战期间以及战后重建过程中，政府对经济活动的干预增加，包括通过制定政策和规划来促进特定产业领域的发展。进入20世纪下半叶，尤其是第三次工业革命以来，信息技术和自动化开始引领经济发展，标志着进入后工业化时代。发达国家的产业结构出现了重大调整，服务业成为经济中的主导部门。同时，全球化趋势加快，国际贸易和资本流动显著增加，跨国公司和全球产业链成为经济发展的重要特征。21世纪初至今，随着全球化深入发展和第四次工业革命的到来，现代化产业体系面临着前所未有的机遇和挑战。数字经济、智能制造、绿色能源和生物科技等领域成为推动经济增长的新引擎。各国政府和企业正致力于通过创新和技术进步来升级产业结构，同时也在探索如何应对气候变化、资源枯竭等可持续发展问题。</w:t>
      </w:r>
    </w:p>
    <w:p>
      <w:pPr>
        <w:pStyle w:val="4"/>
        <w:numPr>
          <w:ilvl w:val="0"/>
          <w:numId w:val="4"/>
        </w:numPr>
        <w:bidi w:val="0"/>
        <w:rPr>
          <w:rFonts w:hint="eastAsia"/>
          <w:lang w:val="en-US" w:eastAsia="zh-CN"/>
        </w:rPr>
      </w:pPr>
      <w:r>
        <w:rPr>
          <w:rFonts w:hint="eastAsia"/>
          <w:lang w:val="en-US" w:eastAsia="zh-CN"/>
        </w:rPr>
        <w:t>现状与措施</w:t>
      </w:r>
      <w:bookmarkStart w:id="0" w:name="_GoBack"/>
      <w:bookmarkEnd w:id="0"/>
    </w:p>
    <w:p>
      <w:pPr>
        <w:bidi w:val="0"/>
        <w:ind w:left="420" w:leftChars="0" w:firstLine="420" w:firstLineChars="0"/>
        <w:rPr>
          <w:rFonts w:hint="eastAsia"/>
          <w:lang w:val="en-US" w:eastAsia="zh-CN"/>
        </w:rPr>
      </w:pPr>
      <w:r>
        <w:rPr>
          <w:rFonts w:hint="default"/>
        </w:rPr>
        <w:t>在中国，关于现代化产业体系的具体提法</w:t>
      </w:r>
      <w:r>
        <w:rPr>
          <w:rFonts w:hint="eastAsia"/>
          <w:lang w:val="en-US" w:eastAsia="zh-CN"/>
        </w:rPr>
        <w:t>主要是</w:t>
      </w:r>
      <w:r>
        <w:rPr>
          <w:rFonts w:hint="default"/>
        </w:rPr>
        <w:t>是进入21世纪后，随着中国经济的快速发展和产业结构调整，由中国的经济学者</w:t>
      </w:r>
      <w:r>
        <w:rPr>
          <w:rFonts w:hint="eastAsia"/>
          <w:lang w:eastAsia="zh-CN"/>
        </w:rPr>
        <w:t>、</w:t>
      </w:r>
      <w:r>
        <w:rPr>
          <w:rFonts w:hint="default"/>
        </w:rPr>
        <w:t>政策制定者及政府逐步推进和明确的。特别是在</w:t>
      </w:r>
      <w:r>
        <w:rPr>
          <w:rFonts w:hint="eastAsia"/>
          <w:lang w:val="en-US" w:eastAsia="zh-CN"/>
        </w:rPr>
        <w:t>中共二十大，习近平总书记指出“建设现代化产业体系”。我国用几十年走完了发达国家几百年走过的工业化历程，在建设现代化产业体系的道路上，我国面临着产业体系现代化水平不高；存在着产业基础薄弱、产业链稳定和抗冲击能力不足、现代服务业不够发达、产业研发投入不足且较为分散、基础性技术积累不足、自主创新能力不适应高质量发展和应对遏制打压的需要等问题；我国的产业链整体上处于国际分工体系的中低端；对全球资源的整合和控制能力不足；一些具有国际竞争力的产业上中下游不配套；产业链脆弱性明显；各产业融合发展不足；科技、产业、金融之间的良性循环尚未形成等问题。</w:t>
      </w:r>
    </w:p>
    <w:p>
      <w:pPr>
        <w:numPr>
          <w:numId w:val="0"/>
        </w:numPr>
        <w:bidi w:val="0"/>
        <w:ind w:left="360" w:leftChars="0" w:firstLine="416" w:firstLineChars="0"/>
        <w:rPr>
          <w:rFonts w:hint="eastAsia" w:eastAsiaTheme="minorEastAsia"/>
          <w:lang w:val="en-US" w:eastAsia="zh-CN"/>
        </w:rPr>
      </w:pPr>
      <w:r>
        <w:rPr>
          <w:rFonts w:hint="eastAsia"/>
          <w:lang w:val="en-US" w:eastAsia="zh-CN"/>
        </w:rPr>
        <w:t>当前，要发展建设现代化工业体系，还要加强</w:t>
      </w:r>
      <w:r>
        <w:t>创新驱动发展</w:t>
      </w:r>
      <w:r>
        <w:rPr>
          <w:rFonts w:hint="eastAsia"/>
          <w:lang w:eastAsia="zh-CN"/>
        </w:rPr>
        <w:t>、</w:t>
      </w:r>
      <w:r>
        <w:rPr>
          <w:rFonts w:hint="eastAsia"/>
          <w:lang w:val="en-US" w:eastAsia="zh-CN"/>
        </w:rPr>
        <w:t>推动</w:t>
      </w:r>
      <w:r>
        <w:rPr>
          <w:rFonts w:hint="default"/>
        </w:rPr>
        <w:t>产业结构优化升级</w:t>
      </w:r>
      <w:r>
        <w:rPr>
          <w:rFonts w:hint="eastAsia"/>
          <w:lang w:eastAsia="zh-CN"/>
        </w:rPr>
        <w:t>、</w:t>
      </w:r>
      <w:r>
        <w:rPr>
          <w:rFonts w:hint="default"/>
        </w:rPr>
        <w:t>深化改革开放</w:t>
      </w:r>
      <w:r>
        <w:rPr>
          <w:rFonts w:hint="eastAsia"/>
          <w:lang w:eastAsia="zh-CN"/>
        </w:rPr>
        <w:t>、</w:t>
      </w:r>
      <w:r>
        <w:rPr>
          <w:rFonts w:hint="default"/>
        </w:rPr>
        <w:t>加强基础设施建设</w:t>
      </w:r>
      <w:r>
        <w:rPr>
          <w:rFonts w:hint="eastAsia"/>
          <w:lang w:eastAsia="zh-CN"/>
        </w:rPr>
        <w:t>，</w:t>
      </w:r>
      <w:r>
        <w:rPr>
          <w:rFonts w:hint="default"/>
        </w:rPr>
        <w:t>特别是加快数字基础设施建设，推进数字化转型，提升产业智能化水平</w:t>
      </w:r>
      <w:r>
        <w:rPr>
          <w:rFonts w:hint="eastAsia"/>
          <w:lang w:eastAsia="zh-CN"/>
        </w:rPr>
        <w:t>、</w:t>
      </w:r>
      <w:r>
        <w:rPr>
          <w:rFonts w:hint="default"/>
        </w:rPr>
        <w:t>培养人才队伍</w:t>
      </w:r>
      <w:r>
        <w:rPr>
          <w:rFonts w:hint="eastAsia"/>
          <w:lang w:eastAsia="zh-CN"/>
        </w:rPr>
        <w:t>，</w:t>
      </w:r>
      <w:r>
        <w:rPr>
          <w:rFonts w:hint="eastAsia"/>
          <w:lang w:val="en-US" w:eastAsia="zh-CN"/>
        </w:rPr>
        <w:t>深入推动教育改革，</w:t>
      </w:r>
      <w:r>
        <w:rPr>
          <w:rFonts w:hint="default"/>
        </w:rPr>
        <w:t>提高教育质量，加强职业教育和终身教育，培养更多适应新产业、新业态需要的创新型和复合型人才</w:t>
      </w:r>
      <w:r>
        <w:rPr>
          <w:rFonts w:hint="eastAsia"/>
          <w:lang w:eastAsia="zh-CN"/>
        </w:rPr>
        <w:t>；</w:t>
      </w:r>
      <w:r>
        <w:rPr>
          <w:rFonts w:hint="eastAsia"/>
          <w:lang w:val="en-US" w:eastAsia="zh-CN"/>
        </w:rPr>
        <w:t>坚持</w:t>
      </w:r>
      <w:r>
        <w:rPr>
          <w:rFonts w:hint="default"/>
        </w:rPr>
        <w:t>绿色可持续发展</w:t>
      </w:r>
      <w:r>
        <w:rPr>
          <w:rFonts w:hint="eastAsia"/>
          <w:lang w:eastAsia="zh-CN"/>
        </w:rPr>
        <w:t>，</w:t>
      </w:r>
      <w:r>
        <w:rPr>
          <w:rFonts w:hint="default"/>
        </w:rPr>
        <w:t>推动产业向环保、节能、低碳方向转型，实施严格的环境保护措施</w:t>
      </w:r>
      <w:r>
        <w:rPr>
          <w:rFonts w:hint="eastAsia"/>
          <w:lang w:eastAsia="zh-CN"/>
        </w:rPr>
        <w:t>；</w:t>
      </w:r>
      <w:r>
        <w:rPr>
          <w:rFonts w:hint="eastAsia"/>
          <w:lang w:val="en-US" w:eastAsia="zh-CN"/>
        </w:rPr>
        <w:t>最后，</w:t>
      </w:r>
      <w:r>
        <w:rPr>
          <w:rFonts w:hint="default"/>
        </w:rPr>
        <w:t>加强政策支持和服务</w:t>
      </w:r>
      <w:r>
        <w:rPr>
          <w:rFonts w:hint="eastAsia"/>
          <w:lang w:eastAsia="zh-CN"/>
        </w:rPr>
        <w:t>，</w:t>
      </w:r>
      <w:r>
        <w:rPr>
          <w:rFonts w:hint="default"/>
        </w:rPr>
        <w:t>制定符合现代化产业体系发展需要的政策，提供财政、税收、金融等方面的支持。</w:t>
      </w:r>
    </w:p>
    <w:p>
      <w:pPr>
        <w:bidi w:val="0"/>
        <w:ind w:left="420" w:leftChars="0" w:firstLine="420" w:firstLineChars="0"/>
        <w:rPr>
          <w:rFonts w:hint="default" w:eastAsiaTheme="minorEastAsia"/>
          <w:lang w:val="en-US" w:eastAsia="zh-CN"/>
        </w:rPr>
      </w:pPr>
    </w:p>
    <w:p>
      <w:pPr>
        <w:pStyle w:val="2"/>
        <w:numPr>
          <w:ilvl w:val="0"/>
          <w:numId w:val="1"/>
        </w:numPr>
        <w:bidi w:val="0"/>
        <w:ind w:left="-420" w:leftChars="0" w:firstLine="420" w:firstLineChars="0"/>
      </w:pPr>
      <w:r>
        <w:t>参考文献</w:t>
      </w:r>
    </w:p>
    <w:p>
      <w:pPr>
        <w:widowControl w:val="0"/>
        <w:numPr>
          <w:ilvl w:val="0"/>
          <w:numId w:val="5"/>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"https://www.stats.gov.cn/sj/ndsj/2023/indexch.htm" </w:instrText>
      </w:r>
      <w:r>
        <w:rPr>
          <w:rFonts w:ascii="宋体" w:hAnsi="宋体" w:eastAsia="宋体" w:cs="宋体"/>
          <w:sz w:val="24"/>
          <w:szCs w:val="24"/>
        </w:rPr>
        <w:fldChar w:fldCharType="separate"/>
      </w:r>
      <w:r>
        <w:rPr>
          <w:rStyle w:val="7"/>
          <w:rFonts w:ascii="宋体" w:hAnsi="宋体" w:eastAsia="宋体" w:cs="宋体"/>
          <w:sz w:val="24"/>
          <w:szCs w:val="24"/>
        </w:rPr>
        <w:t>中国统计年鉴—2023 (stats.gov.cn)</w:t>
      </w:r>
      <w:r>
        <w:rPr>
          <w:rFonts w:ascii="宋体" w:hAnsi="宋体" w:eastAsia="宋体" w:cs="宋体"/>
          <w:sz w:val="24"/>
          <w:szCs w:val="24"/>
        </w:rPr>
        <w:fldChar w:fldCharType="end"/>
      </w:r>
    </w:p>
    <w:p>
      <w:pPr>
        <w:widowControl w:val="0"/>
        <w:numPr>
          <w:ilvl w:val="0"/>
          <w:numId w:val="5"/>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"https://www.gov.cn/xinwen/2016-03/17/content_5054992.htm" </w:instrText>
      </w:r>
      <w:r>
        <w:rPr>
          <w:rFonts w:ascii="宋体" w:hAnsi="宋体" w:eastAsia="宋体" w:cs="宋体"/>
          <w:sz w:val="24"/>
          <w:szCs w:val="24"/>
        </w:rPr>
        <w:fldChar w:fldCharType="separate"/>
      </w:r>
      <w:r>
        <w:rPr>
          <w:rStyle w:val="7"/>
          <w:rFonts w:ascii="宋体" w:hAnsi="宋体" w:eastAsia="宋体" w:cs="宋体"/>
          <w:sz w:val="24"/>
          <w:szCs w:val="24"/>
        </w:rPr>
        <w:t>中华人民共和国国民经济和社会发展第十三个五年规划纲要_滚动新闻_中国政府网 (www.gov.cn)</w:t>
      </w:r>
      <w:r>
        <w:rPr>
          <w:rFonts w:ascii="宋体" w:hAnsi="宋体" w:eastAsia="宋体" w:cs="宋体"/>
          <w:sz w:val="24"/>
          <w:szCs w:val="24"/>
        </w:rPr>
        <w:fldChar w:fldCharType="end"/>
      </w:r>
    </w:p>
    <w:p>
      <w:pPr>
        <w:widowControl w:val="0"/>
        <w:numPr>
          <w:ilvl w:val="0"/>
          <w:numId w:val="5"/>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"https://www.ndrc.gov.cn/fggz/cyfz/zcyfz/202304/t20230428_1355220.html" \l ":~:text=%E7%8E%B0%E4%BB%A3%E5%8C%96%E4%BA%A7%E4%B8%9A%E4%BD%93%E7%B3%BB%E6%98%AF,%E4%BA%A7%E5%8A%9B%E7%9A%84%E5%9F%BA%E6%9C%AC%E8%BD%BD%E4%BD%93%E3%80%82" </w:instrText>
      </w:r>
      <w:r>
        <w:rPr>
          <w:rFonts w:ascii="宋体" w:hAnsi="宋体" w:eastAsia="宋体" w:cs="宋体"/>
          <w:sz w:val="24"/>
          <w:szCs w:val="24"/>
        </w:rPr>
        <w:fldChar w:fldCharType="separate"/>
      </w:r>
      <w:r>
        <w:rPr>
          <w:rStyle w:val="7"/>
          <w:rFonts w:ascii="宋体" w:hAnsi="宋体" w:eastAsia="宋体" w:cs="宋体"/>
          <w:sz w:val="24"/>
          <w:szCs w:val="24"/>
        </w:rPr>
        <w:t>【现代化产业体系建设进入快车道】-国家发展和改革委员会 (ndrc.gov.cn)</w:t>
      </w:r>
      <w:r>
        <w:rPr>
          <w:rFonts w:ascii="宋体" w:hAnsi="宋体" w:eastAsia="宋体" w:cs="宋体"/>
          <w:sz w:val="24"/>
          <w:szCs w:val="24"/>
        </w:rPr>
        <w:fldChar w:fldCharType="end"/>
      </w:r>
    </w:p>
    <w:p>
      <w:pPr>
        <w:widowControl w:val="0"/>
        <w:numPr>
          <w:ilvl w:val="0"/>
          <w:numId w:val="5"/>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"http://finance-people.com.cn/news/1584926227" </w:instrText>
      </w:r>
      <w:r>
        <w:rPr>
          <w:rFonts w:ascii="宋体" w:hAnsi="宋体" w:eastAsia="宋体" w:cs="宋体"/>
          <w:sz w:val="24"/>
          <w:szCs w:val="24"/>
        </w:rPr>
        <w:fldChar w:fldCharType="separate"/>
      </w:r>
      <w:r>
        <w:rPr>
          <w:rStyle w:val="7"/>
          <w:rFonts w:ascii="宋体" w:hAnsi="宋体" w:eastAsia="宋体" w:cs="宋体"/>
          <w:sz w:val="24"/>
          <w:szCs w:val="24"/>
        </w:rPr>
        <w:t>陈世清:对称经济学 术语表(一)_人民经济网 (finance-people.com.cn)</w:t>
      </w:r>
      <w:r>
        <w:rPr>
          <w:rFonts w:ascii="宋体" w:hAnsi="宋体" w:eastAsia="宋体" w:cs="宋体"/>
          <w:sz w:val="24"/>
          <w:szCs w:val="24"/>
        </w:rPr>
        <w:fldChar w:fldCharType="end"/>
      </w:r>
    </w:p>
    <w:p>
      <w:pPr>
        <w:widowControl w:val="0"/>
        <w:numPr>
          <w:ilvl w:val="0"/>
          <w:numId w:val="0"/>
        </w:numPr>
        <w:tabs>
          <w:tab w:val="left" w:pos="420"/>
        </w:tabs>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8F891"/>
    <w:multiLevelType w:val="singleLevel"/>
    <w:tmpl w:val="BF08F891"/>
    <w:lvl w:ilvl="0" w:tentative="0">
      <w:start w:val="1"/>
      <w:numFmt w:val="decimal"/>
      <w:lvlText w:val="[%1]"/>
      <w:lvlJc w:val="left"/>
      <w:pPr>
        <w:tabs>
          <w:tab w:val="left" w:pos="312"/>
        </w:tabs>
      </w:pPr>
    </w:lvl>
  </w:abstractNum>
  <w:abstractNum w:abstractNumId="1">
    <w:nsid w:val="EAF5EB39"/>
    <w:multiLevelType w:val="singleLevel"/>
    <w:tmpl w:val="EAF5EB39"/>
    <w:lvl w:ilvl="0" w:tentative="0">
      <w:start w:val="1"/>
      <w:numFmt w:val="chineseCounting"/>
      <w:suff w:val="nothing"/>
      <w:lvlText w:val="%1、"/>
      <w:lvlJc w:val="left"/>
      <w:pPr>
        <w:ind w:left="-420" w:firstLine="420"/>
      </w:pPr>
      <w:rPr>
        <w:rFonts w:hint="eastAsia"/>
      </w:rPr>
    </w:lvl>
  </w:abstractNum>
  <w:abstractNum w:abstractNumId="2">
    <w:nsid w:val="F325E04D"/>
    <w:multiLevelType w:val="singleLevel"/>
    <w:tmpl w:val="F325E04D"/>
    <w:lvl w:ilvl="0" w:tentative="0">
      <w:start w:val="1"/>
      <w:numFmt w:val="decimal"/>
      <w:lvlText w:val="(%1)"/>
      <w:lvlJc w:val="left"/>
      <w:pPr>
        <w:ind w:left="845" w:hanging="425"/>
      </w:pPr>
      <w:rPr>
        <w:rFonts w:hint="default"/>
      </w:rPr>
    </w:lvl>
  </w:abstractNum>
  <w:abstractNum w:abstractNumId="3">
    <w:nsid w:val="5689652A"/>
    <w:multiLevelType w:val="singleLevel"/>
    <w:tmpl w:val="5689652A"/>
    <w:lvl w:ilvl="0" w:tentative="0">
      <w:start w:val="1"/>
      <w:numFmt w:val="decimal"/>
      <w:lvlText w:val="(%1)"/>
      <w:lvlJc w:val="left"/>
      <w:pPr>
        <w:ind w:left="845" w:hanging="425"/>
      </w:pPr>
      <w:rPr>
        <w:rFonts w:hint="default"/>
      </w:rPr>
    </w:lvl>
  </w:abstractNum>
  <w:abstractNum w:abstractNumId="4">
    <w:nsid w:val="6F4FE76F"/>
    <w:multiLevelType w:val="singleLevel"/>
    <w:tmpl w:val="6F4FE76F"/>
    <w:lvl w:ilvl="0" w:tentative="0">
      <w:start w:val="1"/>
      <w:numFmt w:val="decimal"/>
      <w:lvlText w:val="%1."/>
      <w:lvlJc w:val="left"/>
      <w:pPr>
        <w:ind w:left="635" w:hanging="425"/>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5ODE1ODc3MDJmY2IzNjQ4ZmI1NDcxMzJjN2IwNDYifQ=="/>
  </w:docVars>
  <w:rsids>
    <w:rsidRoot w:val="44A7128E"/>
    <w:rsid w:val="101B49B8"/>
    <w:rsid w:val="33164172"/>
    <w:rsid w:val="44A7128E"/>
    <w:rsid w:val="45DD0D39"/>
    <w:rsid w:val="5B8D1AC1"/>
    <w:rsid w:val="61882403"/>
    <w:rsid w:val="7DD37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7">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1978-2022</a:t>
            </a:r>
            <a:r>
              <a:t>国内</a:t>
            </a:r>
            <a:r>
              <a:rPr lang="en-US" altLang="zh-CN"/>
              <a:t>GDP</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GDP（亿元）</c:v>
                </c:pt>
              </c:strCache>
            </c:strRef>
          </c:tx>
          <c:spPr>
            <a:ln w="28575" cap="rnd">
              <a:solidFill>
                <a:schemeClr val="accent1"/>
              </a:solidFill>
              <a:round/>
            </a:ln>
            <a:effectLst/>
          </c:spPr>
          <c:marker>
            <c:symbol val="none"/>
          </c:marker>
          <c:dLbls>
            <c:delete val="1"/>
          </c:dLbls>
          <c:cat>
            <c:numRef>
              <c:f>Sheet1!$A$2:$A$10</c:f>
              <c:numCache>
                <c:formatCode>General</c:formatCode>
                <c:ptCount val="9"/>
                <c:pt idx="0">
                  <c:v>1978</c:v>
                </c:pt>
                <c:pt idx="1">
                  <c:v>1982</c:v>
                </c:pt>
                <c:pt idx="2">
                  <c:v>1987</c:v>
                </c:pt>
                <c:pt idx="3">
                  <c:v>1992</c:v>
                </c:pt>
                <c:pt idx="4">
                  <c:v>1997</c:v>
                </c:pt>
                <c:pt idx="5">
                  <c:v>2002</c:v>
                </c:pt>
                <c:pt idx="6">
                  <c:v>2007</c:v>
                </c:pt>
                <c:pt idx="7">
                  <c:v>2012</c:v>
                </c:pt>
                <c:pt idx="8">
                  <c:v>2017</c:v>
                </c:pt>
              </c:numCache>
            </c:numRef>
          </c:cat>
          <c:val>
            <c:numRef>
              <c:f>Sheet1!$B$2:$B$12</c:f>
              <c:numCache>
                <c:formatCode>General</c:formatCode>
                <c:ptCount val="11"/>
                <c:pt idx="0">
                  <c:v>3678.7</c:v>
                </c:pt>
                <c:pt idx="1">
                  <c:v>5373.4</c:v>
                </c:pt>
                <c:pt idx="2">
                  <c:v>12174.6</c:v>
                </c:pt>
                <c:pt idx="3">
                  <c:v>27194.5</c:v>
                </c:pt>
                <c:pt idx="4" c:formatCode="0.0_ ">
                  <c:v>79715</c:v>
                </c:pt>
                <c:pt idx="5">
                  <c:v>121717.4</c:v>
                </c:pt>
                <c:pt idx="6">
                  <c:v>270092.3</c:v>
                </c:pt>
                <c:pt idx="7" c:formatCode="0.0_ ">
                  <c:v>538580</c:v>
                </c:pt>
                <c:pt idx="8">
                  <c:v>832035.9</c:v>
                </c:pt>
                <c:pt idx="9">
                  <c:v>1210207.2</c:v>
                </c:pt>
              </c:numCache>
            </c:numRef>
          </c:val>
          <c:smooth val="0"/>
        </c:ser>
        <c:ser>
          <c:idx val="2"/>
          <c:order val="2"/>
          <c:tx>
            <c:strRef>
              <c:f>Sheet1!$D$1</c:f>
              <c:strCache>
                <c:ptCount val="1"/>
                <c:pt idx="0">
                  <c:v/>
                </c:pt>
              </c:strCache>
            </c:strRef>
          </c:tx>
          <c:spPr>
            <a:ln w="28575" cap="rnd">
              <a:solidFill>
                <a:schemeClr val="accent3"/>
              </a:solidFill>
              <a:round/>
            </a:ln>
            <a:effectLst/>
          </c:spPr>
          <c:marker>
            <c:symbol val="none"/>
          </c:marker>
          <c:dLbls>
            <c:delete val="1"/>
          </c:dLbls>
          <c:cat>
            <c:numRef>
              <c:f>Sheet1!$A$2:$A$10</c:f>
              <c:numCache>
                <c:formatCode>General</c:formatCode>
                <c:ptCount val="9"/>
                <c:pt idx="0">
                  <c:v>1978</c:v>
                </c:pt>
                <c:pt idx="1">
                  <c:v>1982</c:v>
                </c:pt>
                <c:pt idx="2">
                  <c:v>1987</c:v>
                </c:pt>
                <c:pt idx="3">
                  <c:v>1992</c:v>
                </c:pt>
                <c:pt idx="4">
                  <c:v>1997</c:v>
                </c:pt>
                <c:pt idx="5">
                  <c:v>2002</c:v>
                </c:pt>
                <c:pt idx="6">
                  <c:v>2007</c:v>
                </c:pt>
                <c:pt idx="7">
                  <c:v>2012</c:v>
                </c:pt>
                <c:pt idx="8">
                  <c:v>2017</c:v>
                </c:pt>
              </c:numCache>
            </c:numRef>
          </c:cat>
          <c:val>
            <c:numRef>
              <c:f>Sheet1!$D$2:$D$12</c:f>
              <c:numCache>
                <c:formatCode>General</c:formatCode>
                <c:ptCount val="11"/>
              </c:numCache>
            </c:numRef>
          </c:val>
          <c:smooth val="0"/>
        </c:ser>
        <c:dLbls>
          <c:showLegendKey val="0"/>
          <c:showVal val="0"/>
          <c:showCatName val="0"/>
          <c:showSerName val="0"/>
          <c:showPercent val="0"/>
          <c:showBubbleSize val="0"/>
        </c:dLbls>
        <c:marker val="0"/>
        <c:smooth val="0"/>
        <c:axId val="374773833"/>
        <c:axId val="77290579"/>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
                      </c:pt>
                    </c:strCache>
                  </c:strRef>
                </c:tx>
                <c:spPr>
                  <a:ln w="28575" cap="rnd">
                    <a:solidFill>
                      <a:schemeClr val="accent2"/>
                    </a:solidFill>
                    <a:round/>
                  </a:ln>
                  <a:effectLst/>
                </c:spPr>
                <c:marker>
                  <c:symbol val="none"/>
                </c:marker>
                <c:dLbls>
                  <c:delete val="1"/>
                </c:dLbls>
                <c:cat>
                  <c:numRef>
                    <c:extLst>
                      <c:ext uri="{02D57815-91ED-43cb-92C2-25804820EDAC}">
                        <c15:fullRef>
                          <c15:sqref/>
                        </c15:fullRef>
                        <c15:formulaRef>
                          <c15:sqref>Sheet1!$A$2:$A$10</c15:sqref>
                        </c15:formulaRef>
                      </c:ext>
                    </c:extLst>
                    <c:numCache>
                      <c:formatCode>General</c:formatCode>
                      <c:ptCount val="9"/>
                      <c:pt idx="0">
                        <c:v>1978</c:v>
                      </c:pt>
                      <c:pt idx="1">
                        <c:v>1982</c:v>
                      </c:pt>
                      <c:pt idx="2">
                        <c:v>1987</c:v>
                      </c:pt>
                      <c:pt idx="3">
                        <c:v>1992</c:v>
                      </c:pt>
                      <c:pt idx="4">
                        <c:v>1997</c:v>
                      </c:pt>
                      <c:pt idx="5">
                        <c:v>2002</c:v>
                      </c:pt>
                      <c:pt idx="6">
                        <c:v>2007</c:v>
                      </c:pt>
                      <c:pt idx="7">
                        <c:v>2012</c:v>
                      </c:pt>
                      <c:pt idx="8">
                        <c:v>2017</c:v>
                      </c:pt>
                    </c:numCache>
                  </c:numRef>
                </c:cat>
                <c:val>
                  <c:numRef>
                    <c:extLst>
                      <c:ext uri="{02D57815-91ED-43cb-92C2-25804820EDAC}">
                        <c15:formulaRef>
                          <c15:sqref>Sheet1!$C$2:$C$12</c15:sqref>
                        </c15:formulaRef>
                      </c:ext>
                    </c:extLst>
                    <c:numCache>
                      <c:formatCode>General</c:formatCode>
                      <c:ptCount val="11"/>
                    </c:numCache>
                  </c:numRef>
                </c:val>
                <c:smooth val="0"/>
              </c15:ser>
            </c15:filteredLineSeries>
          </c:ext>
        </c:extLst>
      </c:lineChart>
      <c:catAx>
        <c:axId val="37477383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290579"/>
        <c:crosses val="autoZero"/>
        <c:auto val="0"/>
        <c:lblAlgn val="ctr"/>
        <c:lblOffset val="100"/>
        <c:noMultiLvlLbl val="0"/>
      </c:catAx>
      <c:valAx>
        <c:axId val="7729057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4773833"/>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2024-02-15T07:48:00Z</dcterms:created>
  <dc:creator>此去经年·应是良辰</dc:creator>
  <cp:lastModifiedBy>此去经年·应是良辰</cp:lastModifiedBy>
  <dcterms:modified xsi:type="dcterms:W3CDTF">2024-02-20T05:31:36Z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36B83382A9C244DEA3B02D773687EE6B_11</vt:lpwstr>
  </property>
</Properties>
</file>