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val="0"/>
          <w:sz w:val="24"/>
        </w:rPr>
      </w:pPr>
      <w:r>
        <w:rPr>
          <w:rFonts w:hint="default"/>
          <w:b w:val="0"/>
          <w:sz w:val="24"/>
        </w:rPr>
        <w:t>累计因子</w:t>
      </w:r>
    </w:p>
    <w:p>
      <w:pPr>
        <w:numPr>
          <w:ilvl w:val="0"/>
          <w:numId w:val="1"/>
        </w:numPr>
        <w:rPr>
          <w:rFonts w:hint="default"/>
          <w:b/>
          <w:bCs w:val="0"/>
          <w:sz w:val="24"/>
        </w:rPr>
      </w:pPr>
      <w:r>
        <w:rPr>
          <w:rFonts w:hint="default"/>
          <w:b/>
          <w:bCs w:val="0"/>
          <w:sz w:val="24"/>
        </w:rPr>
        <w:t>王军成, 杨毓枢, 陈嘉浪,等. MCNP模拟研究γ射线散射对屏蔽检测结果的影响[J]. 科技视界, 2020, 000(007):202-205.</w:t>
      </w:r>
    </w:p>
    <w:p>
      <w:pPr>
        <w:numPr>
          <w:ilvl w:val="0"/>
          <w:numId w:val="0"/>
        </w:numPr>
        <w:ind w:firstLine="420" w:firstLineChars="0"/>
        <w:rPr>
          <w:rFonts w:hint="default"/>
          <w:b w:val="0"/>
          <w:sz w:val="24"/>
        </w:rPr>
      </w:pPr>
      <w:r>
        <w:rPr>
          <w:rFonts w:hint="default"/>
          <w:b w:val="0"/>
          <w:sz w:val="24"/>
        </w:rPr>
        <w:t>研究内容：</w:t>
      </w:r>
    </w:p>
    <w:p>
      <w:pPr>
        <w:numPr>
          <w:ilvl w:val="0"/>
          <w:numId w:val="0"/>
        </w:numPr>
        <w:ind w:firstLine="420" w:firstLineChars="0"/>
        <w:rPr>
          <w:rFonts w:hint="default"/>
          <w:b w:val="0"/>
          <w:sz w:val="24"/>
        </w:rPr>
      </w:pPr>
      <w:r>
        <w:rPr>
          <w:rFonts w:hint="default"/>
          <w:b w:val="0"/>
          <w:sz w:val="24"/>
        </w:rPr>
        <w:t>用 MCNP4C 程序模拟了 γ 射线经铅(11.34g/cm3)、铁(7.86 g/cm3)、混凝土(2.35g/cm3)及水(1.00g/cm3)在有准直器及无准直器情况下屏蔽后剂量率随这些屏蔽材料的厚度的变化关系。MCNP是由美国的洛斯阿拉莫斯实验室研制出来的大型多功能蒙特卡罗计算程序，能够计算复杂结构中的中子、光子、电子及它们的耦合输运问题。</w:t>
      </w:r>
    </w:p>
    <w:p>
      <w:pPr>
        <w:numPr>
          <w:ilvl w:val="0"/>
          <w:numId w:val="0"/>
        </w:numPr>
        <w:ind w:firstLine="420" w:firstLineChars="0"/>
        <w:jc w:val="center"/>
        <w:rPr>
          <w:b w:val="0"/>
          <w:sz w:val="24"/>
        </w:rPr>
      </w:pPr>
      <w:r>
        <w:rPr>
          <w:b w:val="0"/>
          <w:sz w:val="24"/>
        </w:rPr>
        <w:drawing>
          <wp:inline distT="0" distB="0" distL="114300" distR="114300">
            <wp:extent cx="2399665" cy="1524635"/>
            <wp:effectExtent l="0" t="0" r="63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1807" r="1205" b="2161"/>
                    <a:stretch>
                      <a:fillRect/>
                    </a:stretch>
                  </pic:blipFill>
                  <pic:spPr>
                    <a:xfrm>
                      <a:off x="0" y="0"/>
                      <a:ext cx="2399665" cy="1524635"/>
                    </a:xfrm>
                    <a:prstGeom prst="rect">
                      <a:avLst/>
                    </a:prstGeom>
                    <a:noFill/>
                    <a:ln>
                      <a:noFill/>
                    </a:ln>
                  </pic:spPr>
                </pic:pic>
              </a:graphicData>
            </a:graphic>
          </wp:inline>
        </w:drawing>
      </w:r>
    </w:p>
    <w:p>
      <w:pPr>
        <w:numPr>
          <w:ilvl w:val="0"/>
          <w:numId w:val="0"/>
        </w:numPr>
        <w:ind w:firstLine="420" w:firstLineChars="0"/>
        <w:jc w:val="center"/>
        <w:rPr>
          <w:rFonts w:hint="default"/>
          <w:b w:val="0"/>
          <w:sz w:val="24"/>
        </w:rPr>
      </w:pPr>
      <w:r>
        <w:rPr>
          <w:b w:val="0"/>
          <w:sz w:val="24"/>
        </w:rPr>
        <w:t>图</w:t>
      </w:r>
      <w:r>
        <w:rPr>
          <w:rFonts w:hint="default"/>
          <w:b w:val="0"/>
          <w:sz w:val="24"/>
        </w:rPr>
        <w:t>1 MCNP模拟示意图</w:t>
      </w:r>
    </w:p>
    <w:p>
      <w:pPr>
        <w:numPr>
          <w:ilvl w:val="0"/>
          <w:numId w:val="0"/>
        </w:numPr>
        <w:ind w:firstLine="420" w:firstLineChars="0"/>
        <w:rPr>
          <w:rFonts w:hint="default"/>
          <w:b w:val="0"/>
          <w:sz w:val="24"/>
        </w:rPr>
      </w:pPr>
      <w:r>
        <w:rPr>
          <w:rFonts w:hint="default"/>
          <w:b w:val="0"/>
          <w:sz w:val="24"/>
        </w:rPr>
        <w:t>研究结果：</w:t>
      </w:r>
    </w:p>
    <w:p>
      <w:pPr>
        <w:numPr>
          <w:ilvl w:val="0"/>
          <w:numId w:val="0"/>
        </w:numPr>
        <w:ind w:firstLine="420" w:firstLineChars="0"/>
        <w:rPr>
          <w:rFonts w:hint="default"/>
          <w:b w:val="0"/>
          <w:sz w:val="24"/>
        </w:rPr>
      </w:pPr>
      <w:r>
        <w:rPr>
          <w:rFonts w:hint="default"/>
          <w:b w:val="0"/>
          <w:sz w:val="24"/>
        </w:rPr>
        <w:t>1.给出了有无准直器剂量率随铅厚度的变化关系</w:t>
      </w:r>
      <w:r>
        <w:rPr>
          <w:rFonts w:hint="default"/>
          <w:b w:val="0"/>
          <w:sz w:val="24"/>
        </w:rPr>
        <w:t>，</w:t>
      </w:r>
      <w:r>
        <w:rPr>
          <w:rFonts w:hint="default"/>
          <w:b w:val="0"/>
          <w:sz w:val="24"/>
        </w:rPr>
        <w:t>γ 射线穿过屏蔽材料的过程中，部分 γ 射线被材料吸收，部分 γ 射线在材料中发生散射，不同的屏蔽材料对 γ 射线的吸收和散射概率不同</w:t>
      </w:r>
      <w:r>
        <w:rPr>
          <w:rFonts w:hint="default"/>
          <w:b w:val="0"/>
          <w:sz w:val="24"/>
        </w:rPr>
        <w:t>，</w:t>
      </w:r>
      <w:r>
        <w:rPr>
          <w:rFonts w:hint="default"/>
          <w:b w:val="0"/>
          <w:sz w:val="24"/>
        </w:rPr>
        <w:t>γ 射线穿过屏蔽材料的过程中，部分 γ 射线被材料吸收，部分 γ 射线在材料中发生散射，不同的屏蔽材料对 γ 射线的吸收和散射概率不同</w:t>
      </w:r>
      <w:r>
        <w:rPr>
          <w:rFonts w:hint="default"/>
          <w:b w:val="0"/>
          <w:sz w:val="24"/>
        </w:rPr>
        <w:t>；</w:t>
      </w:r>
    </w:p>
    <w:p>
      <w:pPr>
        <w:numPr>
          <w:ilvl w:val="0"/>
          <w:numId w:val="0"/>
        </w:numPr>
        <w:ind w:firstLine="420" w:firstLineChars="0"/>
        <w:rPr>
          <w:rFonts w:hint="default"/>
          <w:b w:val="0"/>
          <w:sz w:val="24"/>
        </w:rPr>
      </w:pPr>
      <w:r>
        <w:rPr>
          <w:rFonts w:hint="default"/>
          <w:b w:val="0"/>
          <w:sz w:val="24"/>
        </w:rPr>
        <w:t>2.给出了剂量率随准直器宽深比的变化关系；</w:t>
      </w:r>
    </w:p>
    <w:p>
      <w:pPr>
        <w:numPr>
          <w:ilvl w:val="0"/>
          <w:numId w:val="0"/>
        </w:numPr>
        <w:ind w:firstLine="420" w:firstLineChars="0"/>
        <w:rPr>
          <w:rFonts w:hint="default"/>
          <w:b w:val="0"/>
          <w:sz w:val="24"/>
        </w:rPr>
      </w:pPr>
      <w:r>
        <w:rPr>
          <w:rFonts w:hint="default"/>
          <w:b w:val="0"/>
          <w:sz w:val="24"/>
        </w:rPr>
        <w:t>3.将程序测量值与计算值（模型）进行比较，相互符合。</w:t>
      </w:r>
      <w:r>
        <w:rPr>
          <w:rFonts w:hint="default"/>
          <w:b w:val="0"/>
          <w:sz w:val="24"/>
        </w:rPr>
        <w:t>准直孔深宽比 &lt;1 时，随着深宽比增大准直器不仅不会起减小散射的作用，反而使散射的贡献增加；当准直器深宽比在 1~7 之间时，随着深宽比增大，散射对测量结果的影响会被迅速地抑制；当准直器深宽比 &gt;7 时，准直器可将散射的 γ 射线全部吸收；</w:t>
      </w:r>
    </w:p>
    <w:p>
      <w:pPr>
        <w:numPr>
          <w:ilvl w:val="0"/>
          <w:numId w:val="0"/>
        </w:numPr>
        <w:ind w:firstLine="420" w:firstLineChars="0"/>
        <w:rPr>
          <w:rFonts w:hint="default"/>
          <w:b w:val="0"/>
          <w:sz w:val="24"/>
        </w:rPr>
      </w:pPr>
      <w:r>
        <w:rPr>
          <w:rFonts w:hint="default"/>
          <w:b w:val="0"/>
          <w:sz w:val="24"/>
        </w:rPr>
        <w:t>4.</w:t>
      </w:r>
      <w:r>
        <w:rPr>
          <w:rFonts w:hint="default"/>
          <w:b w:val="0"/>
          <w:sz w:val="24"/>
        </w:rPr>
        <w:t>证明MCNP模拟 是研究 γ 射线散射的一种很好的方法。</w:t>
      </w:r>
    </w:p>
    <w:p>
      <w:pPr>
        <w:numPr>
          <w:ilvl w:val="0"/>
          <w:numId w:val="0"/>
        </w:numPr>
        <w:ind w:firstLine="420" w:firstLineChars="0"/>
        <w:rPr>
          <w:rFonts w:hint="default"/>
          <w:b w:val="0"/>
          <w:sz w:val="24"/>
        </w:rPr>
      </w:pPr>
    </w:p>
    <w:p>
      <w:pPr>
        <w:numPr>
          <w:ilvl w:val="0"/>
          <w:numId w:val="0"/>
        </w:numPr>
        <w:ind w:firstLine="420" w:firstLineChars="0"/>
        <w:rPr>
          <w:rFonts w:hint="default"/>
          <w:b w:val="0"/>
          <w:sz w:val="24"/>
        </w:rPr>
      </w:pPr>
    </w:p>
    <w:p>
      <w:pPr>
        <w:numPr>
          <w:ilvl w:val="0"/>
          <w:numId w:val="0"/>
        </w:numPr>
        <w:ind w:firstLine="420" w:firstLineChars="0"/>
        <w:rPr>
          <w:rFonts w:hint="default"/>
          <w:b w:val="0"/>
          <w:sz w:val="24"/>
        </w:rPr>
      </w:pPr>
    </w:p>
    <w:p>
      <w:pPr>
        <w:numPr>
          <w:ilvl w:val="0"/>
          <w:numId w:val="0"/>
        </w:numPr>
        <w:rPr>
          <w:rFonts w:hint="default"/>
          <w:b w:val="0"/>
          <w:sz w:val="24"/>
        </w:rPr>
      </w:pPr>
    </w:p>
    <w:p>
      <w:pPr>
        <w:numPr>
          <w:ilvl w:val="0"/>
          <w:numId w:val="0"/>
        </w:numPr>
        <w:ind w:firstLine="420" w:firstLineChars="0"/>
        <w:rPr>
          <w:rFonts w:hint="default"/>
          <w:b w:val="0"/>
          <w:sz w:val="24"/>
        </w:rPr>
      </w:pPr>
      <w:r>
        <w:rPr>
          <w:rFonts w:hint="default"/>
          <w:b/>
          <w:bCs w:val="0"/>
          <w:sz w:val="24"/>
        </w:rPr>
        <w:t>[2]</w:t>
      </w:r>
      <w:bookmarkStart w:id="0" w:name="_GoBack"/>
      <w:bookmarkEnd w:id="0"/>
      <w:r>
        <w:rPr>
          <w:rFonts w:hint="default"/>
          <w:b/>
          <w:bCs w:val="0"/>
          <w:sz w:val="24"/>
        </w:rPr>
        <w:t>赵原, 李华, 刘立业,等. 不同计算模型对水中γ射线吸收剂量累积因子的影响[J]. 辐射防护, 2019(4).</w:t>
      </w:r>
    </w:p>
    <w:p>
      <w:pPr>
        <w:numPr>
          <w:ilvl w:val="0"/>
          <w:numId w:val="0"/>
        </w:numPr>
        <w:ind w:firstLine="420" w:firstLineChars="0"/>
        <w:rPr>
          <w:rFonts w:hint="default"/>
          <w:b w:val="0"/>
          <w:sz w:val="24"/>
        </w:rPr>
      </w:pPr>
      <w:r>
        <w:rPr>
          <w:rFonts w:hint="default"/>
          <w:b w:val="0"/>
          <w:sz w:val="24"/>
        </w:rPr>
        <w:t>利用无限大介质模型计算得到的累积因子值， 在大多数情况下是偏保守的，通常现实中的介质尺寸并不是无限大的，此文基于无限大平板模型利用蒙特卡罗软件Geant4对介质水中的吸收剂量累积因子进行了计算，对两个模型之间的区别与联系进行了分析研究。</w:t>
      </w:r>
    </w:p>
    <w:p>
      <w:pPr>
        <w:numPr>
          <w:ilvl w:val="0"/>
          <w:numId w:val="0"/>
        </w:numPr>
        <w:jc w:val="center"/>
        <w:rPr>
          <w:b w:val="0"/>
          <w:sz w:val="24"/>
        </w:rPr>
      </w:pPr>
      <w:r>
        <w:rPr>
          <w:b w:val="0"/>
          <w:sz w:val="24"/>
        </w:rPr>
        <w:drawing>
          <wp:inline distT="0" distB="0" distL="114300" distR="114300">
            <wp:extent cx="2396490" cy="2084070"/>
            <wp:effectExtent l="0" t="0" r="381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396490" cy="2084070"/>
                    </a:xfrm>
                    <a:prstGeom prst="rect">
                      <a:avLst/>
                    </a:prstGeom>
                    <a:noFill/>
                    <a:ln>
                      <a:noFill/>
                    </a:ln>
                  </pic:spPr>
                </pic:pic>
              </a:graphicData>
            </a:graphic>
          </wp:inline>
        </w:drawing>
      </w:r>
    </w:p>
    <w:p>
      <w:pPr>
        <w:numPr>
          <w:ilvl w:val="0"/>
          <w:numId w:val="0"/>
        </w:numPr>
        <w:jc w:val="center"/>
        <w:rPr>
          <w:rFonts w:hint="default"/>
          <w:b w:val="0"/>
          <w:sz w:val="24"/>
        </w:rPr>
      </w:pPr>
      <w:r>
        <w:rPr>
          <w:b w:val="0"/>
          <w:sz w:val="24"/>
        </w:rPr>
        <w:t>图</w:t>
      </w:r>
      <w:r>
        <w:rPr>
          <w:rFonts w:hint="default"/>
          <w:b w:val="0"/>
          <w:sz w:val="24"/>
        </w:rPr>
        <w:t>2 无限大介质模型</w:t>
      </w:r>
    </w:p>
    <w:p>
      <w:pPr>
        <w:numPr>
          <w:ilvl w:val="0"/>
          <w:numId w:val="0"/>
        </w:numPr>
        <w:jc w:val="center"/>
        <w:rPr>
          <w:b w:val="0"/>
          <w:sz w:val="24"/>
        </w:rPr>
      </w:pPr>
      <w:r>
        <w:rPr>
          <w:b w:val="0"/>
          <w:sz w:val="24"/>
        </w:rPr>
        <w:drawing>
          <wp:inline distT="0" distB="0" distL="114300" distR="114300">
            <wp:extent cx="5465445" cy="1932940"/>
            <wp:effectExtent l="0" t="0" r="190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465445" cy="1932940"/>
                    </a:xfrm>
                    <a:prstGeom prst="rect">
                      <a:avLst/>
                    </a:prstGeom>
                    <a:noFill/>
                    <a:ln>
                      <a:noFill/>
                    </a:ln>
                  </pic:spPr>
                </pic:pic>
              </a:graphicData>
            </a:graphic>
          </wp:inline>
        </w:drawing>
      </w:r>
    </w:p>
    <w:p>
      <w:pPr>
        <w:numPr>
          <w:ilvl w:val="0"/>
          <w:numId w:val="0"/>
        </w:numPr>
        <w:jc w:val="center"/>
        <w:rPr>
          <w:rFonts w:hint="default"/>
          <w:b w:val="0"/>
          <w:sz w:val="24"/>
        </w:rPr>
      </w:pPr>
      <w:r>
        <w:rPr>
          <w:b w:val="0"/>
          <w:sz w:val="24"/>
        </w:rPr>
        <w:t>图</w:t>
      </w:r>
      <w:r>
        <w:rPr>
          <w:rFonts w:hint="default"/>
          <w:b w:val="0"/>
          <w:sz w:val="24"/>
        </w:rPr>
        <w:t>3 无限大平板模型</w:t>
      </w:r>
    </w:p>
    <w:p>
      <w:pPr>
        <w:numPr>
          <w:ilvl w:val="0"/>
          <w:numId w:val="0"/>
        </w:numPr>
        <w:ind w:firstLine="420" w:firstLineChars="0"/>
        <w:jc w:val="both"/>
        <w:rPr>
          <w:rFonts w:hint="default"/>
          <w:b w:val="0"/>
          <w:sz w:val="24"/>
        </w:rPr>
      </w:pPr>
      <w:r>
        <w:rPr>
          <w:rFonts w:hint="default"/>
          <w:b w:val="0"/>
          <w:sz w:val="24"/>
        </w:rPr>
        <w:t>结果：</w:t>
      </w:r>
    </w:p>
    <w:p>
      <w:pPr>
        <w:numPr>
          <w:ilvl w:val="0"/>
          <w:numId w:val="0"/>
        </w:numPr>
        <w:ind w:firstLine="420" w:firstLineChars="0"/>
        <w:jc w:val="both"/>
        <w:rPr>
          <w:rFonts w:hint="default"/>
          <w:b w:val="0"/>
          <w:bCs w:val="0"/>
          <w:sz w:val="24"/>
          <w:vertAlign w:val="baseline"/>
        </w:rPr>
      </w:pPr>
      <w:r>
        <w:rPr>
          <w:rFonts w:hint="default"/>
          <w:b w:val="0"/>
          <w:sz w:val="24"/>
        </w:rPr>
        <w:t>1.给出了无限大介质模型Geant4模型和参考标准的比较；</w:t>
      </w:r>
    </w:p>
    <w:p>
      <w:pPr>
        <w:numPr>
          <w:ilvl w:val="0"/>
          <w:numId w:val="0"/>
        </w:numPr>
        <w:ind w:firstLine="420" w:firstLineChars="0"/>
        <w:jc w:val="both"/>
        <w:rPr>
          <w:rFonts w:hint="default"/>
          <w:b w:val="0"/>
          <w:sz w:val="24"/>
        </w:rPr>
      </w:pPr>
      <w:r>
        <w:rPr>
          <w:rFonts w:hint="default"/>
          <w:b w:val="0"/>
          <w:sz w:val="24"/>
        </w:rPr>
        <w:t>2.给出了不同能量γ光子在0.5～10MFP（平均自由程）下，</w:t>
      </w:r>
      <w:r>
        <w:rPr>
          <w:rFonts w:hint="default"/>
          <w:b w:val="0"/>
          <w:sz w:val="24"/>
        </w:rPr>
        <w:t>B</w:t>
      </w:r>
      <w:r>
        <w:rPr>
          <w:rFonts w:hint="default"/>
          <w:b w:val="0"/>
          <w:sz w:val="24"/>
          <w:vertAlign w:val="subscript"/>
        </w:rPr>
        <w:t>1、2</w:t>
      </w:r>
      <w:r>
        <w:rPr>
          <w:rFonts w:hint="default"/>
          <w:b w:val="0"/>
          <w:sz w:val="24"/>
          <w:vertAlign w:val="baseline"/>
        </w:rPr>
        <w:t>/</w:t>
      </w:r>
      <w:r>
        <w:rPr>
          <w:rFonts w:hint="default"/>
          <w:b w:val="0"/>
          <w:bCs w:val="0"/>
          <w:sz w:val="24"/>
          <w:vertAlign w:val="baseline"/>
        </w:rPr>
        <w:t>B</w:t>
      </w:r>
      <w:r>
        <w:rPr>
          <w:rFonts w:hint="default"/>
          <w:b w:val="0"/>
          <w:bCs w:val="0"/>
          <w:sz w:val="24"/>
          <w:vertAlign w:val="subscript"/>
        </w:rPr>
        <w:t>0</w:t>
      </w:r>
      <w:r>
        <w:rPr>
          <w:rFonts w:hint="default"/>
          <w:b w:val="0"/>
          <w:bCs w:val="0"/>
          <w:sz w:val="24"/>
          <w:vertAlign w:val="baseline"/>
        </w:rPr>
        <w:t>随测量位置的变化</w:t>
      </w:r>
      <w:r>
        <w:rPr>
          <w:rFonts w:hint="default"/>
          <w:b w:val="0"/>
          <w:bCs w:val="0"/>
          <w:sz w:val="24"/>
          <w:vertAlign w:val="baseline"/>
        </w:rPr>
        <w:t>；</w:t>
      </w:r>
    </w:p>
    <w:p>
      <w:pPr>
        <w:numPr>
          <w:ilvl w:val="0"/>
          <w:numId w:val="0"/>
        </w:numPr>
        <w:ind w:firstLine="420" w:firstLineChars="0"/>
        <w:jc w:val="both"/>
        <w:rPr>
          <w:rFonts w:hint="default"/>
          <w:b w:val="0"/>
          <w:sz w:val="24"/>
        </w:rPr>
      </w:pPr>
      <w:r>
        <w:rPr>
          <w:rFonts w:hint="default"/>
          <w:b w:val="0"/>
          <w:sz w:val="24"/>
        </w:rPr>
        <w:t>3.给出了对趋于稳定的</w:t>
      </w:r>
      <w:r>
        <w:rPr>
          <w:rFonts w:hint="default"/>
          <w:b w:val="0"/>
          <w:sz w:val="24"/>
        </w:rPr>
        <w:t>B</w:t>
      </w:r>
      <w:r>
        <w:rPr>
          <w:rFonts w:hint="default"/>
          <w:b w:val="0"/>
          <w:sz w:val="24"/>
          <w:vertAlign w:val="subscript"/>
        </w:rPr>
        <w:t>1、2</w:t>
      </w:r>
      <w:r>
        <w:rPr>
          <w:rFonts w:hint="default"/>
          <w:b w:val="0"/>
          <w:sz w:val="24"/>
          <w:vertAlign w:val="baseline"/>
        </w:rPr>
        <w:t>*</w:t>
      </w:r>
      <w:r>
        <w:rPr>
          <w:rFonts w:hint="default"/>
          <w:b w:val="0"/>
          <w:sz w:val="24"/>
          <w:vertAlign w:val="baseline"/>
        </w:rPr>
        <w:t>/</w:t>
      </w:r>
      <w:r>
        <w:rPr>
          <w:rFonts w:hint="default"/>
          <w:b w:val="0"/>
          <w:bCs w:val="0"/>
          <w:sz w:val="24"/>
          <w:vertAlign w:val="baseline"/>
        </w:rPr>
        <w:t>B</w:t>
      </w:r>
      <w:r>
        <w:rPr>
          <w:rFonts w:hint="default"/>
          <w:b w:val="0"/>
          <w:bCs w:val="0"/>
          <w:sz w:val="24"/>
          <w:vertAlign w:val="subscript"/>
        </w:rPr>
        <w:t>0</w:t>
      </w:r>
      <w:r>
        <w:rPr>
          <w:rFonts w:hint="default"/>
          <w:b w:val="0"/>
          <w:bCs w:val="0"/>
          <w:sz w:val="24"/>
          <w:vertAlign w:val="baseline"/>
        </w:rPr>
        <w:t>随B</w:t>
      </w:r>
      <w:r>
        <w:rPr>
          <w:rFonts w:hint="default"/>
          <w:b w:val="0"/>
          <w:bCs w:val="0"/>
          <w:sz w:val="24"/>
          <w:vertAlign w:val="subscript"/>
        </w:rPr>
        <w:t>0</w:t>
      </w:r>
      <w:r>
        <w:rPr>
          <w:rFonts w:hint="default"/>
          <w:b w:val="0"/>
          <w:bCs w:val="0"/>
          <w:sz w:val="24"/>
          <w:vertAlign w:val="baseline"/>
        </w:rPr>
        <w:t>的拟合变化。</w:t>
      </w:r>
    </w:p>
    <w:p>
      <w:pPr>
        <w:numPr>
          <w:ilvl w:val="0"/>
          <w:numId w:val="0"/>
        </w:numPr>
        <w:ind w:firstLine="420" w:firstLineChars="0"/>
        <w:jc w:val="both"/>
        <w:rPr>
          <w:rFonts w:hint="default"/>
          <w:b w:val="0"/>
          <w:sz w:val="24"/>
        </w:rPr>
      </w:pPr>
      <w:r>
        <w:rPr>
          <w:rFonts w:hint="default"/>
          <w:b w:val="0"/>
          <w:sz w:val="24"/>
        </w:rPr>
        <w:t>结论：</w:t>
      </w:r>
    </w:p>
    <w:p>
      <w:pPr>
        <w:numPr>
          <w:ilvl w:val="0"/>
          <w:numId w:val="0"/>
        </w:numPr>
        <w:ind w:firstLine="420" w:firstLineChars="0"/>
        <w:jc w:val="both"/>
        <w:rPr>
          <w:rFonts w:hint="default"/>
          <w:b w:val="0"/>
          <w:sz w:val="24"/>
        </w:rPr>
      </w:pPr>
      <w:r>
        <w:rPr>
          <w:rFonts w:hint="default"/>
          <w:b w:val="0"/>
          <w:sz w:val="24"/>
        </w:rPr>
        <w:t>1.对于无限大介质，Geant4计算出的水中吸收剂量累积因子值与标准ANSI /ANS－6. 4. 3—1991给出的值差异不是太大，平均偏差为2. 3%，偏差的标准差为4. 8%。</w:t>
      </w:r>
    </w:p>
    <w:p>
      <w:pPr>
        <w:numPr>
          <w:ilvl w:val="0"/>
          <w:numId w:val="0"/>
        </w:numPr>
        <w:ind w:firstLine="420" w:firstLineChars="0"/>
        <w:jc w:val="both"/>
        <w:rPr>
          <w:rFonts w:hint="default"/>
          <w:b w:val="0"/>
          <w:bCs w:val="0"/>
          <w:sz w:val="24"/>
          <w:vertAlign w:val="baseline"/>
        </w:rPr>
      </w:pPr>
      <w:r>
        <w:rPr>
          <w:rFonts w:hint="default"/>
          <w:b w:val="0"/>
          <w:sz w:val="24"/>
        </w:rPr>
        <w:t>2.</w:t>
      </w:r>
      <w:r>
        <w:rPr>
          <w:rFonts w:hint="default"/>
          <w:b w:val="0"/>
          <w:sz w:val="24"/>
        </w:rPr>
        <w:t>B</w:t>
      </w:r>
      <w:r>
        <w:rPr>
          <w:rFonts w:hint="default"/>
          <w:b w:val="0"/>
          <w:sz w:val="24"/>
          <w:vertAlign w:val="subscript"/>
        </w:rPr>
        <w:t>1、2</w:t>
      </w:r>
      <w:r>
        <w:rPr>
          <w:rFonts w:hint="default"/>
          <w:b w:val="0"/>
          <w:sz w:val="24"/>
          <w:vertAlign w:val="baseline"/>
        </w:rPr>
        <w:t>/</w:t>
      </w:r>
      <w:r>
        <w:rPr>
          <w:rFonts w:hint="default"/>
          <w:b w:val="0"/>
          <w:bCs w:val="0"/>
          <w:sz w:val="24"/>
          <w:vertAlign w:val="baseline"/>
        </w:rPr>
        <w:t>B</w:t>
      </w:r>
      <w:r>
        <w:rPr>
          <w:rFonts w:hint="default"/>
          <w:b w:val="0"/>
          <w:bCs w:val="0"/>
          <w:sz w:val="24"/>
          <w:vertAlign w:val="subscript"/>
        </w:rPr>
        <w:t>0</w:t>
      </w:r>
      <w:r>
        <w:rPr>
          <w:rFonts w:hint="default"/>
          <w:b w:val="0"/>
          <w:bCs w:val="0"/>
          <w:sz w:val="24"/>
          <w:vertAlign w:val="baseline"/>
        </w:rPr>
        <w:t>基本小于1，MFP&gt;1时，随探测距离增大而减小最终趋于稳定。MFP&lt;1时，若gamma光子能量稍大，那么因为平板 b 模型受来自点源两侧屏蔽散射光子的影响，而且当屏蔽体较薄时，b 模型的反散射屏蔽体比相对应的球状反散射屏蔽体体积大，此时B2 /B0略大于1；</w:t>
      </w:r>
    </w:p>
    <w:p>
      <w:pPr>
        <w:numPr>
          <w:ilvl w:val="0"/>
          <w:numId w:val="0"/>
        </w:numPr>
        <w:ind w:firstLine="420" w:firstLineChars="0"/>
        <w:jc w:val="both"/>
        <w:rPr>
          <w:rFonts w:hint="default"/>
          <w:b w:val="0"/>
          <w:bCs w:val="0"/>
          <w:sz w:val="24"/>
          <w:vertAlign w:val="baseline"/>
        </w:rPr>
      </w:pPr>
      <w:r>
        <w:rPr>
          <w:rFonts w:hint="default"/>
          <w:b w:val="0"/>
          <w:bCs w:val="0"/>
          <w:sz w:val="24"/>
          <w:vertAlign w:val="baseline"/>
        </w:rPr>
        <w:t>3.</w:t>
      </w:r>
      <w:r>
        <w:rPr>
          <w:rFonts w:hint="default"/>
          <w:b w:val="0"/>
          <w:sz w:val="24"/>
        </w:rPr>
        <w:t>给出了B</w:t>
      </w:r>
      <w:r>
        <w:rPr>
          <w:rFonts w:hint="default"/>
          <w:b w:val="0"/>
          <w:sz w:val="24"/>
          <w:vertAlign w:val="subscript"/>
        </w:rPr>
        <w:t>1、2</w:t>
      </w:r>
      <w:r>
        <w:rPr>
          <w:rFonts w:hint="default"/>
          <w:b w:val="0"/>
          <w:sz w:val="24"/>
          <w:vertAlign w:val="baseline"/>
        </w:rPr>
        <w:t>*/</w:t>
      </w:r>
      <w:r>
        <w:rPr>
          <w:rFonts w:hint="default"/>
          <w:b w:val="0"/>
          <w:bCs w:val="0"/>
          <w:sz w:val="24"/>
          <w:vertAlign w:val="baseline"/>
        </w:rPr>
        <w:t>B</w:t>
      </w:r>
      <w:r>
        <w:rPr>
          <w:rFonts w:hint="default"/>
          <w:b w:val="0"/>
          <w:bCs w:val="0"/>
          <w:sz w:val="24"/>
          <w:vertAlign w:val="subscript"/>
        </w:rPr>
        <w:t>0</w:t>
      </w:r>
      <w:r>
        <w:rPr>
          <w:rFonts w:hint="default"/>
          <w:b w:val="0"/>
          <w:bCs w:val="0"/>
          <w:sz w:val="24"/>
          <w:vertAlign w:val="baseline"/>
        </w:rPr>
        <w:t>随B</w:t>
      </w:r>
      <w:r>
        <w:rPr>
          <w:rFonts w:hint="default"/>
          <w:b w:val="0"/>
          <w:bCs w:val="0"/>
          <w:sz w:val="24"/>
          <w:vertAlign w:val="subscript"/>
        </w:rPr>
        <w:t>0</w:t>
      </w:r>
      <w:r>
        <w:rPr>
          <w:rFonts w:hint="default"/>
          <w:b w:val="0"/>
          <w:bCs w:val="0"/>
          <w:sz w:val="24"/>
          <w:vertAlign w:val="baseline"/>
        </w:rPr>
        <w:t>的拟合</w:t>
      </w:r>
      <w:r>
        <w:rPr>
          <w:rFonts w:hint="default"/>
          <w:b w:val="0"/>
          <w:bCs w:val="0"/>
          <w:sz w:val="24"/>
          <w:vertAlign w:val="baseline"/>
        </w:rPr>
        <w:t>曲线。</w:t>
      </w:r>
    </w:p>
    <w:p>
      <w:pPr>
        <w:numPr>
          <w:ilvl w:val="0"/>
          <w:numId w:val="0"/>
        </w:numPr>
        <w:ind w:firstLine="420" w:firstLineChars="0"/>
        <w:jc w:val="both"/>
        <w:rPr>
          <w:rFonts w:hint="default"/>
          <w:b w:val="0"/>
          <w:bCs w:val="0"/>
          <w:sz w:val="24"/>
          <w:vertAlign w:val="baseline"/>
        </w:rPr>
      </w:pPr>
    </w:p>
    <w:p>
      <w:pPr>
        <w:numPr>
          <w:ilvl w:val="0"/>
          <w:numId w:val="0"/>
        </w:numPr>
        <w:jc w:val="both"/>
        <w:rPr>
          <w:rFonts w:hint="default"/>
          <w:b w:val="0"/>
          <w:bCs w:val="0"/>
          <w:sz w:val="24"/>
          <w:vertAlign w:val="baseline"/>
        </w:rPr>
      </w:pPr>
    </w:p>
    <w:p>
      <w:pPr>
        <w:numPr>
          <w:ilvl w:val="0"/>
          <w:numId w:val="0"/>
        </w:numPr>
        <w:jc w:val="both"/>
        <w:rPr>
          <w:rFonts w:hint="default"/>
          <w:b/>
          <w:bCs w:val="0"/>
          <w:sz w:val="24"/>
          <w:vertAlign w:val="baseline"/>
        </w:rPr>
      </w:pPr>
      <w:r>
        <w:rPr>
          <w:rFonts w:hint="default"/>
          <w:b/>
          <w:bCs w:val="0"/>
          <w:sz w:val="24"/>
          <w:vertAlign w:val="baseline"/>
        </w:rPr>
        <w:t>[3]李雪琴, 彭建亮, 陈栋梁,等. 辐照装置屏蔽厚度计算的方法研究与评价[J]. 中国辐射卫生, 2013, 22(2):157-159.</w:t>
      </w:r>
    </w:p>
    <w:p>
      <w:pPr>
        <w:numPr>
          <w:ilvl w:val="0"/>
          <w:numId w:val="0"/>
        </w:numPr>
        <w:ind w:firstLine="420" w:firstLineChars="0"/>
        <w:jc w:val="both"/>
        <w:rPr>
          <w:rFonts w:hint="default"/>
          <w:b w:val="0"/>
          <w:bCs w:val="0"/>
          <w:sz w:val="24"/>
          <w:vertAlign w:val="baseline"/>
        </w:rPr>
      </w:pPr>
      <w:r>
        <w:rPr>
          <w:rFonts w:hint="default"/>
          <w:b w:val="0"/>
          <w:bCs w:val="0"/>
          <w:sz w:val="24"/>
          <w:vertAlign w:val="baseline"/>
        </w:rPr>
        <w:t>对直接计算法、减弱倍数法、半减弱层厚度法三种计算方法的结果进行比较。结果表明半减弱层厚度法算得的结果最保守（算得剂量率最大）。</w:t>
      </w:r>
    </w:p>
    <w:p>
      <w:pPr>
        <w:numPr>
          <w:ilvl w:val="0"/>
          <w:numId w:val="0"/>
        </w:numPr>
        <w:ind w:firstLine="420" w:firstLineChars="0"/>
        <w:jc w:val="both"/>
        <w:rPr>
          <w:rFonts w:hint="default"/>
          <w:b w:val="0"/>
          <w:bCs w:val="0"/>
          <w:sz w:val="24"/>
          <w:vertAlign w:val="baseline"/>
        </w:rPr>
      </w:pPr>
      <w:r>
        <w:rPr>
          <w:rFonts w:hint="default"/>
          <w:b w:val="0"/>
          <w:bCs w:val="0"/>
          <w:sz w:val="24"/>
          <w:vertAlign w:val="baseline"/>
        </w:rPr>
        <w:t>对于辐照室选择防护墙厚度，从利益－代价分析来看，并不能认为越安全越好，应遵循辐射辐射防护最优化设计的原则，避免造成“防护过度”的现象。</w:t>
      </w:r>
    </w:p>
    <w:p>
      <w:pPr>
        <w:numPr>
          <w:ilvl w:val="0"/>
          <w:numId w:val="0"/>
        </w:numPr>
        <w:jc w:val="both"/>
        <w:rPr>
          <w:rFonts w:hint="default"/>
          <w:b w:val="0"/>
          <w:bCs w:val="0"/>
          <w:sz w:val="24"/>
          <w:vertAlign w:val="baseline"/>
        </w:rPr>
      </w:pPr>
    </w:p>
    <w:p>
      <w:pPr>
        <w:numPr>
          <w:ilvl w:val="0"/>
          <w:numId w:val="0"/>
        </w:numPr>
        <w:jc w:val="both"/>
        <w:rPr>
          <w:rFonts w:hint="default"/>
          <w:b w:val="0"/>
          <w:bCs w:val="0"/>
          <w:sz w:val="24"/>
          <w:vertAlign w:val="baseline"/>
        </w:rPr>
      </w:pPr>
    </w:p>
    <w:p>
      <w:pPr>
        <w:numPr>
          <w:ilvl w:val="0"/>
          <w:numId w:val="0"/>
        </w:numPr>
        <w:jc w:val="both"/>
        <w:rPr>
          <w:rFonts w:hint="default"/>
          <w:b/>
          <w:bCs w:val="0"/>
          <w:sz w:val="24"/>
          <w:vertAlign w:val="baseline"/>
        </w:rPr>
      </w:pPr>
      <w:r>
        <w:rPr>
          <w:rFonts w:hint="default"/>
          <w:b/>
          <w:bCs w:val="0"/>
          <w:sz w:val="24"/>
          <w:vertAlign w:val="baseline"/>
        </w:rPr>
        <w:t>[4]李善荣, 陆恒玉, 陶刚,等. 核辐射防护材料的研究进展[J]. 现代橡胶技术, 46(3):5.</w:t>
      </w:r>
    </w:p>
    <w:p>
      <w:pPr>
        <w:numPr>
          <w:ilvl w:val="0"/>
          <w:numId w:val="0"/>
        </w:numPr>
        <w:ind w:firstLine="420" w:firstLineChars="0"/>
        <w:jc w:val="both"/>
        <w:rPr>
          <w:rFonts w:hint="default"/>
          <w:b w:val="0"/>
          <w:bCs w:val="0"/>
          <w:sz w:val="24"/>
          <w:vertAlign w:val="baseline"/>
        </w:rPr>
      </w:pPr>
      <w:r>
        <w:rPr>
          <w:rFonts w:hint="default"/>
          <w:b w:val="0"/>
          <w:bCs w:val="0"/>
          <w:sz w:val="24"/>
          <w:vertAlign w:val="baseline"/>
        </w:rPr>
        <w:t>综述文章。</w:t>
      </w:r>
    </w:p>
    <w:p>
      <w:pPr>
        <w:numPr>
          <w:ilvl w:val="0"/>
          <w:numId w:val="0"/>
        </w:numPr>
        <w:ind w:firstLine="420" w:firstLineChars="0"/>
        <w:jc w:val="both"/>
        <w:rPr>
          <w:rFonts w:hint="default"/>
          <w:b w:val="0"/>
          <w:bCs w:val="0"/>
          <w:sz w:val="24"/>
          <w:vertAlign w:val="baseline"/>
        </w:rPr>
      </w:pPr>
      <w:r>
        <w:rPr>
          <w:rFonts w:hint="default"/>
          <w:b w:val="0"/>
          <w:bCs w:val="0"/>
          <w:sz w:val="24"/>
          <w:vertAlign w:val="baseline"/>
        </w:rPr>
        <w:t>介绍了核技术的应用与危害（引言）以及国内外核防护材料的研究现状，分别介绍了不同辐射的防护材料研究进展。</w:t>
      </w:r>
    </w:p>
    <w:p>
      <w:pPr>
        <w:numPr>
          <w:ilvl w:val="0"/>
          <w:numId w:val="0"/>
        </w:numPr>
        <w:ind w:firstLine="420" w:firstLineChars="0"/>
        <w:jc w:val="both"/>
        <w:rPr>
          <w:rFonts w:hint="default"/>
          <w:b w:val="0"/>
          <w:bCs w:val="0"/>
          <w:sz w:val="24"/>
          <w:vertAlign w:val="baseline"/>
        </w:rPr>
      </w:pPr>
      <w:r>
        <w:rPr>
          <w:rFonts w:hint="default"/>
          <w:b w:val="0"/>
          <w:bCs w:val="0"/>
          <w:sz w:val="24"/>
          <w:vertAlign w:val="baseline"/>
        </w:rPr>
        <w:t>对于X/γ射线，屏蔽材料也针对性地以如下金属合金材料、高分子复合材料、有机玻璃和混凝土等几类为主，以满足核电、放射医疗、航空电子、辐照加工等核技术运用领域的辐射防护。对于中子的防护，含氢元素较高的水、烯烃聚合物、石蜡等截面大的材料都能使快中子有效慢化和吸收，含锂和含硼的化合物、稀土元素等物质也能有效吸收快中子慢化下来的热中子。此外中子与物质非弹性碰撞还会产生gamma光子，因此对中子的防护实际上是n-gamma混合场射粒子的防护。</w:t>
      </w:r>
    </w:p>
    <w:p>
      <w:pPr>
        <w:numPr>
          <w:ilvl w:val="0"/>
          <w:numId w:val="0"/>
        </w:numPr>
        <w:ind w:firstLine="420" w:firstLineChars="0"/>
        <w:jc w:val="both"/>
        <w:rPr>
          <w:rFonts w:hint="default"/>
          <w:b w:val="0"/>
          <w:bCs w:val="0"/>
          <w:sz w:val="24"/>
          <w:vertAlign w:val="baseline"/>
        </w:rPr>
      </w:pPr>
      <w:r>
        <w:rPr>
          <w:rFonts w:hint="default"/>
          <w:b w:val="0"/>
          <w:bCs w:val="0"/>
          <w:sz w:val="24"/>
          <w:vertAlign w:val="baseline"/>
        </w:rPr>
        <w:t>此外由于柔性屏蔽材料具有柔韧性、比重小，可以任意弯曲、反复折叠、剪裁和使用方便等特点，其应用受到广泛关注。近些年来研究较多的是以具有核辐射防护功能的微粒作为填料，以聚合物作为基体的复合材料为研究方向。</w:t>
      </w:r>
    </w:p>
    <w:p>
      <w:pPr>
        <w:numPr>
          <w:ilvl w:val="0"/>
          <w:numId w:val="0"/>
        </w:numPr>
        <w:jc w:val="both"/>
        <w:rPr>
          <w:rFonts w:hint="default"/>
          <w:b w:val="0"/>
          <w:bCs w:val="0"/>
          <w:sz w:val="24"/>
          <w:vertAlign w:val="baseline"/>
        </w:rPr>
      </w:pPr>
    </w:p>
    <w:p>
      <w:pPr>
        <w:numPr>
          <w:ilvl w:val="0"/>
          <w:numId w:val="0"/>
        </w:numPr>
        <w:jc w:val="both"/>
        <w:rPr>
          <w:rFonts w:hint="default"/>
          <w:b/>
          <w:bCs w:val="0"/>
          <w:sz w:val="24"/>
          <w:vertAlign w:val="baseline"/>
        </w:rPr>
      </w:pPr>
      <w:r>
        <w:rPr>
          <w:rFonts w:hint="default"/>
          <w:b/>
          <w:bCs w:val="0"/>
          <w:sz w:val="24"/>
          <w:vertAlign w:val="baseline"/>
        </w:rPr>
        <w:t>[5]陆宁. 核辐射防护服研制[J]. 现代橡胶技术, 2020, v.46;No.216(03):10-13.</w:t>
      </w:r>
    </w:p>
    <w:p>
      <w:pPr>
        <w:numPr>
          <w:ilvl w:val="0"/>
          <w:numId w:val="0"/>
        </w:numPr>
        <w:ind w:firstLine="420" w:firstLineChars="0"/>
        <w:jc w:val="both"/>
        <w:rPr>
          <w:rFonts w:hint="default"/>
          <w:b w:val="0"/>
          <w:bCs w:val="0"/>
          <w:sz w:val="24"/>
          <w:vertAlign w:val="baseline"/>
        </w:rPr>
      </w:pPr>
      <w:r>
        <w:rPr>
          <w:rFonts w:hint="default"/>
          <w:b w:val="0"/>
          <w:bCs w:val="0"/>
          <w:sz w:val="24"/>
          <w:vertAlign w:val="baseline"/>
        </w:rPr>
        <w:t>综述文章。</w:t>
      </w:r>
    </w:p>
    <w:p>
      <w:pPr>
        <w:numPr>
          <w:ilvl w:val="0"/>
          <w:numId w:val="0"/>
        </w:numPr>
        <w:ind w:firstLine="420" w:firstLineChars="0"/>
        <w:jc w:val="both"/>
        <w:rPr>
          <w:rFonts w:hint="default"/>
          <w:b w:val="0"/>
          <w:bCs w:val="0"/>
          <w:sz w:val="24"/>
          <w:vertAlign w:val="baseline"/>
        </w:rPr>
      </w:pPr>
      <w:r>
        <w:rPr>
          <w:rFonts w:hint="default"/>
          <w:b w:val="0"/>
          <w:bCs w:val="0"/>
          <w:sz w:val="24"/>
          <w:vertAlign w:val="baseline"/>
        </w:rPr>
        <w:t>以辐射源应用的广泛性和防护重要性、核辐射防护的复杂性、对生物体危害的严重性为基础，引出研制专用核辐射防护服的必要性以及应在核辐射防护服配备检测器材。</w:t>
      </w:r>
    </w:p>
    <w:p>
      <w:pPr>
        <w:numPr>
          <w:ilvl w:val="0"/>
          <w:numId w:val="0"/>
        </w:numPr>
        <w:ind w:firstLine="420" w:firstLineChars="0"/>
        <w:jc w:val="both"/>
        <w:rPr>
          <w:rFonts w:hint="default"/>
          <w:b w:val="0"/>
          <w:bCs w:val="0"/>
          <w:sz w:val="24"/>
          <w:vertAlign w:val="baseline"/>
        </w:rPr>
      </w:pPr>
      <w:r>
        <w:rPr>
          <w:rFonts w:hint="default"/>
          <w:b w:val="0"/>
          <w:bCs w:val="0"/>
          <w:sz w:val="24"/>
          <w:vertAlign w:val="baseline"/>
        </w:rPr>
        <w:t>介绍了不同射线的常用屏蔽材料。</w:t>
      </w:r>
    </w:p>
    <w:p>
      <w:pPr>
        <w:numPr>
          <w:ilvl w:val="0"/>
          <w:numId w:val="0"/>
        </w:numPr>
        <w:ind w:firstLine="420" w:firstLineChars="0"/>
        <w:jc w:val="both"/>
        <w:rPr>
          <w:rFonts w:hint="default"/>
          <w:b w:val="0"/>
          <w:bCs w:val="0"/>
          <w:sz w:val="24"/>
          <w:vertAlign w:val="baseline"/>
        </w:rPr>
      </w:pPr>
      <w:r>
        <w:rPr>
          <w:rFonts w:hint="default"/>
          <w:b w:val="0"/>
          <w:bCs w:val="0"/>
          <w:sz w:val="24"/>
          <w:vertAlign w:val="baseline"/>
        </w:rPr>
        <w:t>α射线屏蔽材料：氦核质量大，运动过程中产生电离的能力最大，运动中能量迅速下降，穿透力最弱。α射线的电离粒子必须隔离在体外，隔绝式防毒衣就可以起到很好作用。（一般衰变系产生，4～8MeV）。</w:t>
      </w:r>
    </w:p>
    <w:p>
      <w:pPr>
        <w:numPr>
          <w:ilvl w:val="0"/>
          <w:numId w:val="0"/>
        </w:numPr>
        <w:ind w:firstLine="420" w:firstLineChars="0"/>
        <w:jc w:val="both"/>
        <w:rPr>
          <w:rFonts w:hint="default"/>
          <w:b w:val="0"/>
          <w:bCs w:val="0"/>
          <w:sz w:val="24"/>
          <w:vertAlign w:val="baseline"/>
        </w:rPr>
      </w:pPr>
      <w:r>
        <w:rPr>
          <w:rFonts w:hint="default"/>
          <w:b w:val="0"/>
          <w:bCs w:val="0"/>
          <w:sz w:val="24"/>
          <w:vertAlign w:val="baseline"/>
        </w:rPr>
        <w:t>β射线屏蔽材料：β射线是高能电子流。它与物质作用时，部分能量转变成 X 射线（韧致辐射）。韧致辐射量与屏蔽物质原子序数 Z 的平方成正比。所以屏蔽高能β射线时，前面使用有机玻璃，后面是原子序数高的金属。</w:t>
      </w:r>
    </w:p>
    <w:p>
      <w:pPr>
        <w:numPr>
          <w:ilvl w:val="0"/>
          <w:numId w:val="0"/>
        </w:numPr>
        <w:ind w:firstLine="420" w:firstLineChars="0"/>
        <w:jc w:val="both"/>
        <w:rPr>
          <w:rFonts w:hint="default"/>
          <w:b w:val="0"/>
          <w:bCs w:val="0"/>
          <w:sz w:val="24"/>
          <w:vertAlign w:val="baseline"/>
        </w:rPr>
      </w:pPr>
      <w:r>
        <w:rPr>
          <w:rFonts w:hint="default"/>
          <w:b w:val="0"/>
          <w:bCs w:val="0"/>
          <w:sz w:val="24"/>
          <w:vertAlign w:val="baseline"/>
        </w:rPr>
        <w:t>X射线和γ射线屏蔽材料：高能光子流主要产生光电效应、康普顿散射和电子对效应三种作用。光电效应产生几率与屏蔽材料原子序数４次方成反比；康普顿散射效应与屏蔽材料的原子序数成反比；电子对产生与屏蔽材料原子序数平方成反比。屏蔽</w:t>
      </w:r>
      <w:r>
        <w:rPr>
          <w:rFonts w:hint="default"/>
          <w:b w:val="0"/>
          <w:bCs w:val="0"/>
          <w:sz w:val="24"/>
          <w:vertAlign w:val="baseline"/>
        </w:rPr>
        <w:t>X射线和γ射线应该选择原子序数高的元素</w:t>
      </w:r>
      <w:r>
        <w:rPr>
          <w:rFonts w:hint="default"/>
          <w:b w:val="0"/>
          <w:bCs w:val="0"/>
          <w:sz w:val="24"/>
          <w:vertAlign w:val="baseline"/>
        </w:rPr>
        <w:t>。</w:t>
      </w:r>
    </w:p>
    <w:p>
      <w:pPr>
        <w:numPr>
          <w:ilvl w:val="0"/>
          <w:numId w:val="0"/>
        </w:numPr>
        <w:ind w:firstLine="420" w:firstLineChars="0"/>
        <w:jc w:val="both"/>
        <w:rPr>
          <w:rFonts w:hint="default"/>
          <w:b w:val="0"/>
          <w:bCs w:val="0"/>
          <w:sz w:val="24"/>
          <w:vertAlign w:val="baseline"/>
        </w:rPr>
      </w:pPr>
      <w:r>
        <w:rPr>
          <w:rFonts w:hint="default"/>
          <w:b w:val="0"/>
          <w:bCs w:val="0"/>
          <w:sz w:val="24"/>
          <w:vertAlign w:val="baseline"/>
        </w:rPr>
        <w:t>中子流屏蔽材料：中子流的散射和吸收与中子能量有关。一般中子流分三种：慢中子能量为5keV（其中 0.25keV 称热中子）以下；中能中子能量为 5～10keV；快中子能量为 0.1～500MeV。中子穿透力特别强， 吸收中子能力最强的是原子序数低的元素，含氢多的元素如水、石腊、聚乙烯等高分子材料、轻金属硼、碳化硼等都是很好的中子流屏蔽材料。</w:t>
      </w:r>
    </w:p>
    <w:p>
      <w:pPr>
        <w:numPr>
          <w:ilvl w:val="0"/>
          <w:numId w:val="0"/>
        </w:numPr>
        <w:ind w:firstLine="420" w:firstLineChars="0"/>
        <w:jc w:val="both"/>
        <w:rPr>
          <w:rFonts w:hint="default"/>
          <w:b w:val="0"/>
          <w:bCs w:val="0"/>
          <w:sz w:val="24"/>
          <w:vertAlign w:val="baseline"/>
        </w:rPr>
      </w:pPr>
      <w:r>
        <w:rPr>
          <w:rFonts w:hint="default"/>
          <w:b w:val="0"/>
          <w:bCs w:val="0"/>
          <w:sz w:val="24"/>
          <w:vertAlign w:val="baseline"/>
        </w:rPr>
        <w:t>论述由于通常遇到的核辐射往往不是一种射线，所以制造屏蔽层也要复合多种屏蔽材料。</w:t>
      </w:r>
    </w:p>
    <w:p>
      <w:pPr>
        <w:numPr>
          <w:ilvl w:val="0"/>
          <w:numId w:val="0"/>
        </w:numPr>
        <w:ind w:firstLine="420" w:firstLineChars="0"/>
        <w:jc w:val="both"/>
        <w:rPr>
          <w:rFonts w:hint="default"/>
          <w:b w:val="0"/>
          <w:bCs w:val="0"/>
          <w:sz w:val="24"/>
          <w:vertAlign w:val="baseline"/>
        </w:rPr>
      </w:pPr>
      <w:r>
        <w:rPr>
          <w:rFonts w:hint="default"/>
          <w:b w:val="0"/>
          <w:bCs w:val="0"/>
          <w:sz w:val="24"/>
          <w:vertAlign w:val="baseline"/>
        </w:rPr>
        <w:t>介绍了制造防护服的各种材料，以及防护服结构和防护整体性的设计。</w:t>
      </w:r>
    </w:p>
    <w:p>
      <w:pPr>
        <w:numPr>
          <w:ilvl w:val="0"/>
          <w:numId w:val="0"/>
        </w:numPr>
        <w:jc w:val="both"/>
        <w:rPr>
          <w:rFonts w:hint="default"/>
          <w:b w:val="0"/>
          <w:bCs w:val="0"/>
          <w:sz w:val="24"/>
          <w:vertAlign w:val="baseline"/>
        </w:rPr>
      </w:pPr>
    </w:p>
    <w:p>
      <w:pPr>
        <w:numPr>
          <w:ilvl w:val="0"/>
          <w:numId w:val="0"/>
        </w:numPr>
        <w:jc w:val="both"/>
        <w:rPr>
          <w:rFonts w:hint="default"/>
          <w:b w:val="0"/>
          <w:bCs/>
          <w:sz w:val="24"/>
          <w:vertAlign w:val="baseline"/>
        </w:rPr>
      </w:pPr>
      <w:r>
        <w:rPr>
          <w:rFonts w:hint="default"/>
          <w:b/>
          <w:bCs w:val="0"/>
          <w:sz w:val="24"/>
          <w:vertAlign w:val="baseline"/>
        </w:rPr>
        <w:t xml:space="preserve">[6]李华, 赵原, 刘立业,等. 介质尺寸对水中γ射线吸收剂量累积因子的影响[J]. </w:t>
      </w:r>
      <w:r>
        <w:rPr>
          <w:rFonts w:hint="default"/>
          <w:b w:val="0"/>
          <w:bCs/>
          <w:sz w:val="24"/>
          <w:vertAlign w:val="baseline"/>
        </w:rPr>
        <w:t>清华大学学报：自然科学版, 2017, 57(5):5.</w:t>
      </w:r>
    </w:p>
    <w:p>
      <w:pPr>
        <w:numPr>
          <w:ilvl w:val="0"/>
          <w:numId w:val="0"/>
        </w:numPr>
        <w:ind w:firstLine="420" w:firstLineChars="0"/>
        <w:jc w:val="both"/>
        <w:rPr>
          <w:rFonts w:hint="default"/>
          <w:b w:val="0"/>
          <w:bCs w:val="0"/>
          <w:sz w:val="24"/>
          <w:vertAlign w:val="baseline"/>
        </w:rPr>
      </w:pPr>
      <w:r>
        <w:rPr>
          <w:rFonts w:hint="default"/>
          <w:b w:val="0"/>
          <w:bCs w:val="0"/>
          <w:sz w:val="24"/>
          <w:vertAlign w:val="baseline"/>
        </w:rPr>
        <w:t>研究内容：</w:t>
      </w:r>
    </w:p>
    <w:p>
      <w:pPr>
        <w:numPr>
          <w:ilvl w:val="0"/>
          <w:numId w:val="0"/>
        </w:numPr>
        <w:ind w:firstLine="420" w:firstLineChars="0"/>
        <w:jc w:val="both"/>
        <w:rPr>
          <w:rFonts w:hint="default"/>
          <w:b w:val="0"/>
          <w:bCs w:val="0"/>
          <w:sz w:val="24"/>
          <w:vertAlign w:val="baseline"/>
        </w:rPr>
      </w:pPr>
      <w:r>
        <w:rPr>
          <w:rFonts w:hint="default"/>
          <w:b w:val="0"/>
          <w:bCs w:val="0"/>
          <w:sz w:val="24"/>
          <w:vertAlign w:val="baseline"/>
        </w:rPr>
        <w:t>基于蒙特卡罗方法MCNP对圆柱模型对水中的γ射线吸收剂量累积因子随介质尺寸的变化进行了研究。</w:t>
      </w:r>
    </w:p>
    <w:p>
      <w:pPr>
        <w:numPr>
          <w:ilvl w:val="0"/>
          <w:numId w:val="0"/>
        </w:numPr>
        <w:jc w:val="center"/>
        <w:rPr>
          <w:b w:val="0"/>
          <w:sz w:val="24"/>
        </w:rPr>
      </w:pPr>
      <w:r>
        <w:rPr>
          <w:b w:val="0"/>
          <w:sz w:val="24"/>
        </w:rPr>
        <w:drawing>
          <wp:inline distT="0" distB="0" distL="114300" distR="114300">
            <wp:extent cx="5006975" cy="1438275"/>
            <wp:effectExtent l="0" t="0" r="317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rcRect r="3370"/>
                    <a:stretch>
                      <a:fillRect/>
                    </a:stretch>
                  </pic:blipFill>
                  <pic:spPr>
                    <a:xfrm>
                      <a:off x="0" y="0"/>
                      <a:ext cx="5006975" cy="1438275"/>
                    </a:xfrm>
                    <a:prstGeom prst="rect">
                      <a:avLst/>
                    </a:prstGeom>
                    <a:noFill/>
                    <a:ln>
                      <a:noFill/>
                    </a:ln>
                  </pic:spPr>
                </pic:pic>
              </a:graphicData>
            </a:graphic>
          </wp:inline>
        </w:drawing>
      </w:r>
    </w:p>
    <w:p>
      <w:pPr>
        <w:numPr>
          <w:ilvl w:val="0"/>
          <w:numId w:val="0"/>
        </w:numPr>
        <w:ind w:firstLine="420" w:firstLineChars="0"/>
        <w:jc w:val="center"/>
        <w:rPr>
          <w:rFonts w:hint="default"/>
          <w:b w:val="0"/>
          <w:bCs w:val="0"/>
          <w:sz w:val="24"/>
          <w:vertAlign w:val="baseline"/>
        </w:rPr>
      </w:pPr>
      <w:r>
        <w:rPr>
          <w:b w:val="0"/>
          <w:sz w:val="24"/>
        </w:rPr>
        <w:t>图</w:t>
      </w:r>
      <w:r>
        <w:rPr>
          <w:rFonts w:hint="default"/>
          <w:b w:val="0"/>
          <w:sz w:val="24"/>
        </w:rPr>
        <w:t>4 圆柱模型</w:t>
      </w:r>
    </w:p>
    <w:p>
      <w:pPr>
        <w:numPr>
          <w:ilvl w:val="0"/>
          <w:numId w:val="0"/>
        </w:numPr>
        <w:ind w:firstLine="420" w:firstLineChars="0"/>
        <w:jc w:val="both"/>
        <w:rPr>
          <w:rFonts w:hint="default"/>
          <w:b w:val="0"/>
          <w:bCs w:val="0"/>
          <w:sz w:val="24"/>
          <w:vertAlign w:val="baseline"/>
        </w:rPr>
      </w:pPr>
      <w:r>
        <w:rPr>
          <w:rFonts w:hint="default"/>
          <w:b w:val="0"/>
          <w:bCs w:val="0"/>
          <w:sz w:val="24"/>
          <w:vertAlign w:val="baseline"/>
        </w:rPr>
        <w:t>结果：</w:t>
      </w:r>
    </w:p>
    <w:p>
      <w:pPr>
        <w:numPr>
          <w:ilvl w:val="0"/>
          <w:numId w:val="0"/>
        </w:numPr>
        <w:ind w:firstLine="420" w:firstLineChars="0"/>
        <w:jc w:val="both"/>
        <w:rPr>
          <w:rFonts w:hint="default"/>
          <w:b w:val="0"/>
          <w:sz w:val="24"/>
        </w:rPr>
      </w:pPr>
      <w:r>
        <w:rPr>
          <w:rFonts w:hint="default"/>
          <w:b w:val="0"/>
          <w:sz w:val="24"/>
        </w:rPr>
        <w:t>给出了不同厚度T下累计因子随半径R的变化。</w:t>
      </w:r>
    </w:p>
    <w:p>
      <w:pPr>
        <w:numPr>
          <w:ilvl w:val="0"/>
          <w:numId w:val="0"/>
        </w:numPr>
        <w:ind w:firstLine="420" w:firstLineChars="0"/>
        <w:jc w:val="both"/>
        <w:rPr>
          <w:rFonts w:hint="default"/>
          <w:b w:val="0"/>
          <w:sz w:val="24"/>
        </w:rPr>
      </w:pPr>
      <w:r>
        <w:rPr>
          <w:rFonts w:hint="default"/>
          <w:b w:val="0"/>
          <w:sz w:val="24"/>
        </w:rPr>
        <w:t>结论：</w:t>
      </w:r>
    </w:p>
    <w:p>
      <w:pPr>
        <w:numPr>
          <w:ilvl w:val="0"/>
          <w:numId w:val="0"/>
        </w:numPr>
        <w:ind w:firstLine="420" w:firstLineChars="0"/>
        <w:jc w:val="both"/>
        <w:rPr>
          <w:rFonts w:hint="default"/>
          <w:b w:val="0"/>
          <w:sz w:val="24"/>
        </w:rPr>
      </w:pPr>
      <w:r>
        <w:rPr>
          <w:rFonts w:hint="default"/>
          <w:b w:val="0"/>
          <w:sz w:val="24"/>
        </w:rPr>
        <w:t>1.对于不同的能量 Ｅ 和介质厚度Ｔ，累积因子值都会随着半径Ｒ 的增大而先增大，后趋于稳定值。</w:t>
      </w:r>
    </w:p>
    <w:p>
      <w:pPr>
        <w:numPr>
          <w:ilvl w:val="0"/>
          <w:numId w:val="0"/>
        </w:numPr>
        <w:ind w:firstLine="420" w:firstLineChars="0"/>
        <w:jc w:val="both"/>
        <w:rPr>
          <w:rFonts w:hint="default"/>
          <w:b w:val="0"/>
          <w:sz w:val="24"/>
        </w:rPr>
      </w:pPr>
      <w:r>
        <w:rPr>
          <w:rFonts w:hint="default"/>
          <w:b w:val="0"/>
          <w:sz w:val="24"/>
        </w:rPr>
        <w:t>2.累积因子开始趋于稳定值时所对应的Ｒ</w:t>
      </w:r>
      <w:r>
        <w:rPr>
          <w:rFonts w:hint="default"/>
          <w:b w:val="0"/>
          <w:sz w:val="24"/>
          <w:vertAlign w:val="subscript"/>
        </w:rPr>
        <w:t>ｗ</w:t>
      </w:r>
      <w:r>
        <w:rPr>
          <w:rFonts w:hint="default"/>
          <w:b w:val="0"/>
          <w:sz w:val="24"/>
        </w:rPr>
        <w:t>与ｄ</w:t>
      </w:r>
      <w:r>
        <w:rPr>
          <w:rFonts w:hint="default"/>
          <w:b w:val="0"/>
          <w:sz w:val="24"/>
          <w:vertAlign w:val="subscript"/>
        </w:rPr>
        <w:t>ｓ</w:t>
      </w:r>
      <w:r>
        <w:rPr>
          <w:rFonts w:hint="default"/>
          <w:b w:val="0"/>
          <w:sz w:val="24"/>
        </w:rPr>
        <w:t>密切相关。一般来说，当ｄｓ≤４λ 时，Ｒｗ＝１６λ，即当介质尺寸大于或等于１６λ时可认为介质近似无限大，当４λ＜ｄｓ≤３２λ 时，Ｒｗ＝３２λ，当ｄｓ＞３２λ 时，Ｒｗ＝６４λ，Ｒｗ 值还与ｄｍ 值有关，一般ｄｍ 值越小，累积因子值越早趋于稳定值。</w:t>
      </w:r>
    </w:p>
    <w:p>
      <w:pPr>
        <w:numPr>
          <w:ilvl w:val="0"/>
          <w:numId w:val="0"/>
        </w:numPr>
        <w:ind w:firstLine="420" w:firstLineChars="0"/>
        <w:jc w:val="both"/>
        <w:rPr>
          <w:rFonts w:hint="default"/>
          <w:b w:val="0"/>
          <w:sz w:val="24"/>
        </w:rPr>
      </w:pPr>
      <w:r>
        <w:rPr>
          <w:rFonts w:hint="default"/>
          <w:b w:val="0"/>
          <w:sz w:val="24"/>
        </w:rPr>
        <w:t>3.在累积因子未到达稳定值前，其数值随介质尺寸的变化有较大变化，在一定尺寸范围内，该变化符合线性规律，且随着介质厚度的增大，符合线性变化规律对应的尺寸范围也会增大。</w:t>
      </w:r>
    </w:p>
    <w:p>
      <w:pPr>
        <w:numPr>
          <w:ilvl w:val="0"/>
          <w:numId w:val="0"/>
        </w:numPr>
        <w:jc w:val="both"/>
        <w:rPr>
          <w:rFonts w:hint="default"/>
          <w:b w:val="0"/>
          <w:bCs w:val="0"/>
          <w:sz w:val="24"/>
          <w:vertAlign w:val="baseline"/>
        </w:rPr>
      </w:pPr>
    </w:p>
    <w:p>
      <w:pPr>
        <w:numPr>
          <w:ilvl w:val="0"/>
          <w:numId w:val="0"/>
        </w:numPr>
        <w:jc w:val="both"/>
        <w:rPr>
          <w:rFonts w:hint="default"/>
          <w:b w:val="0"/>
          <w:bCs w:val="0"/>
          <w:sz w:val="24"/>
          <w:vertAlign w:val="baseline"/>
        </w:rPr>
      </w:pPr>
    </w:p>
    <w:p>
      <w:pPr>
        <w:numPr>
          <w:ilvl w:val="0"/>
          <w:numId w:val="0"/>
        </w:numPr>
        <w:jc w:val="both"/>
        <w:rPr>
          <w:rFonts w:hint="default"/>
          <w:b/>
          <w:bCs/>
          <w:sz w:val="24"/>
          <w:vertAlign w:val="baseline"/>
        </w:rPr>
      </w:pPr>
      <w:r>
        <w:rPr>
          <w:rFonts w:hint="default"/>
          <w:b/>
          <w:bCs/>
          <w:sz w:val="24"/>
          <w:vertAlign w:val="baseline"/>
        </w:rPr>
        <w:t>[7]周文明, 战景明, 郝杰. 两种不同经验公式法计算累积因子的比较[J]. 中国辐射卫生, 2017(4).</w:t>
      </w:r>
    </w:p>
    <w:p>
      <w:pPr>
        <w:numPr>
          <w:ilvl w:val="0"/>
          <w:numId w:val="0"/>
        </w:numPr>
        <w:ind w:firstLine="420" w:firstLineChars="0"/>
        <w:jc w:val="both"/>
        <w:rPr>
          <w:rFonts w:hint="default"/>
          <w:b w:val="0"/>
          <w:bCs w:val="0"/>
          <w:sz w:val="24"/>
          <w:vertAlign w:val="baseline"/>
        </w:rPr>
      </w:pPr>
      <w:r>
        <w:rPr>
          <w:rFonts w:hint="default"/>
          <w:b w:val="0"/>
          <w:bCs w:val="0"/>
          <w:sz w:val="24"/>
          <w:vertAlign w:val="baseline"/>
        </w:rPr>
        <w:t>对泰勒公式和伯杰公式计算累计因子进行比较，在辐射屏蔽设计中，μ</w:t>
      </w:r>
      <w:r>
        <w:rPr>
          <w:rFonts w:hint="default"/>
          <w:b w:val="0"/>
          <w:bCs w:val="0"/>
          <w:sz w:val="24"/>
          <w:vertAlign w:val="subscript"/>
        </w:rPr>
        <w:t>d</w:t>
      </w:r>
      <w:r>
        <w:rPr>
          <w:rFonts w:hint="default"/>
          <w:b w:val="0"/>
          <w:bCs w:val="0"/>
          <w:sz w:val="24"/>
          <w:vertAlign w:val="baseline"/>
        </w:rPr>
        <w:t xml:space="preserve"> 在 1～20 之间时，利用伯杰公式计算137 Cs和60 Co放射源的累积因子所需屏蔽厚度较泰勒公式小。</w:t>
      </w:r>
    </w:p>
    <w:p>
      <w:pPr>
        <w:numPr>
          <w:ilvl w:val="0"/>
          <w:numId w:val="0"/>
        </w:numPr>
        <w:jc w:val="both"/>
        <w:rPr>
          <w:rFonts w:hint="default"/>
          <w:b w:val="0"/>
          <w:bCs w:val="0"/>
          <w:sz w:val="24"/>
          <w:vertAlign w:val="baseline"/>
        </w:rPr>
      </w:pPr>
    </w:p>
    <w:p>
      <w:pPr>
        <w:numPr>
          <w:ilvl w:val="0"/>
          <w:numId w:val="0"/>
        </w:numPr>
        <w:jc w:val="both"/>
        <w:rPr>
          <w:rFonts w:hint="default"/>
          <w:b w:val="0"/>
          <w:bCs w:val="0"/>
          <w:sz w:val="24"/>
          <w:vertAlign w:val="baseline"/>
        </w:rPr>
      </w:pPr>
    </w:p>
    <w:p>
      <w:pPr>
        <w:numPr>
          <w:ilvl w:val="0"/>
          <w:numId w:val="0"/>
        </w:numPr>
        <w:jc w:val="both"/>
        <w:rPr>
          <w:rFonts w:hint="default"/>
          <w:b/>
          <w:bCs/>
          <w:sz w:val="24"/>
          <w:vertAlign w:val="baseline"/>
        </w:rPr>
      </w:pPr>
      <w:r>
        <w:rPr>
          <w:rFonts w:hint="default"/>
          <w:b/>
          <w:bCs/>
          <w:sz w:val="24"/>
          <w:vertAlign w:val="baseline"/>
        </w:rPr>
        <w:t>[8]向辉云, 奚月明, 张巍,等. 某工业γ射线探伤室的屏蔽设计与监测评价[J]. 大众科技, 22(6):4.</w:t>
      </w:r>
    </w:p>
    <w:p>
      <w:pPr>
        <w:numPr>
          <w:ilvl w:val="0"/>
          <w:numId w:val="0"/>
        </w:numPr>
        <w:ind w:firstLine="420" w:firstLineChars="0"/>
        <w:jc w:val="both"/>
        <w:rPr>
          <w:rFonts w:hint="default"/>
          <w:b w:val="0"/>
          <w:bCs w:val="0"/>
          <w:sz w:val="24"/>
          <w:vertAlign w:val="baseline"/>
        </w:rPr>
      </w:pPr>
      <w:r>
        <w:rPr>
          <w:rFonts w:hint="default"/>
          <w:b w:val="0"/>
          <w:bCs w:val="0"/>
          <w:sz w:val="24"/>
          <w:vertAlign w:val="baseline"/>
        </w:rPr>
        <w:t>计算了一个实际γ射线探伤室有无屏蔽情况的当量剂量率，减弱倍数，透射比等参数。</w:t>
      </w:r>
    </w:p>
    <w:p>
      <w:pPr>
        <w:numPr>
          <w:ilvl w:val="0"/>
          <w:numId w:val="0"/>
        </w:numPr>
        <w:ind w:firstLine="420" w:firstLineChars="0"/>
        <w:jc w:val="both"/>
        <w:rPr>
          <w:rFonts w:hint="default"/>
          <w:b w:val="0"/>
          <w:bCs w:val="0"/>
          <w:sz w:val="24"/>
          <w:vertAlign w:val="baseline"/>
        </w:rPr>
      </w:pPr>
      <w:r>
        <w:rPr>
          <w:rFonts w:hint="default"/>
          <w:b w:val="0"/>
          <w:bCs w:val="0"/>
          <w:sz w:val="24"/>
          <w:vertAlign w:val="baseline"/>
        </w:rPr>
        <w:t>无屏蔽时γ辐射空气吸收剂量率：</w:t>
      </w:r>
    </w:p>
    <w:p>
      <w:pPr>
        <w:numPr>
          <w:ilvl w:val="0"/>
          <w:numId w:val="0"/>
        </w:numPr>
        <w:jc w:val="both"/>
        <w:rPr>
          <w:rFonts w:hint="default"/>
          <w:b w:val="0"/>
          <w:bCs w:val="0"/>
          <w:sz w:val="24"/>
          <w:vertAlign w:val="baseline"/>
        </w:rPr>
      </w:pPr>
      <m:oMathPara>
        <m:oMath>
          <m:r>
            <m:rPr>
              <m:sty m:val="p"/>
            </m:rPr>
            <w:rPr>
              <w:rFonts w:hint="eastAsia" w:ascii="DejaVu Math TeX Gyre" w:hAnsi="DejaVu Math TeX Gyre" w:eastAsiaTheme="minorEastAsia" w:cstheme="minorBidi"/>
              <w:kern w:val="2"/>
              <w:sz w:val="24"/>
              <w:szCs w:val="24"/>
              <w:vertAlign w:val="baseline"/>
              <w:lang w:eastAsia="zh-CN" w:bidi="ar-SA"/>
            </w:rPr>
            <m:t>H_2=\frac{A\Gamma _k}{r^2}</m:t>
          </m:r>
        </m:oMath>
      </m:oMathPara>
    </w:p>
    <w:p>
      <w:pPr>
        <w:numPr>
          <w:ilvl w:val="0"/>
          <w:numId w:val="0"/>
        </w:numPr>
        <w:jc w:val="both"/>
        <w:rPr>
          <w:rFonts w:hint="default"/>
          <w:b w:val="0"/>
          <w:bCs w:val="0"/>
          <w:sz w:val="24"/>
          <w:vertAlign w:val="baseline"/>
        </w:rPr>
      </w:pPr>
    </w:p>
    <w:p>
      <w:pPr>
        <w:numPr>
          <w:ilvl w:val="0"/>
          <w:numId w:val="0"/>
        </w:numPr>
        <w:ind w:firstLine="420" w:firstLineChars="0"/>
        <w:jc w:val="both"/>
        <w:rPr>
          <w:rFonts w:hint="default"/>
          <w:b w:val="0"/>
          <w:bCs w:val="0"/>
          <w:sz w:val="24"/>
          <w:vertAlign w:val="baseline"/>
        </w:rPr>
      </w:pPr>
      <w:r>
        <w:rPr>
          <w:rFonts w:hint="default"/>
          <w:b w:val="0"/>
          <w:bCs w:val="0"/>
          <w:sz w:val="24"/>
          <w:vertAlign w:val="baseline"/>
        </w:rPr>
        <w:t>在γ射线的探伤作业中，对辐射源设置屏蔽层，参考点处由于辐射源造成的当量剂量率为:</w:t>
      </w:r>
    </w:p>
    <w:p>
      <w:pPr>
        <w:numPr>
          <w:ilvl w:val="0"/>
          <w:numId w:val="0"/>
        </w:numPr>
        <w:ind w:firstLine="420" w:firstLineChars="0"/>
        <w:jc w:val="both"/>
        <w:rPr>
          <w:rFonts w:hint="default"/>
          <w:b w:val="0"/>
          <w:bCs w:val="0"/>
          <w:sz w:val="24"/>
          <w:vertAlign w:val="baseline"/>
        </w:rPr>
      </w:pPr>
      <m:oMathPara>
        <m:oMath>
          <m:r>
            <m:rPr>
              <m:sty m:val="p"/>
            </m:rPr>
            <w:rPr>
              <w:rFonts w:hint="eastAsia" w:ascii="DejaVu Math TeX Gyre" w:hAnsi="DejaVu Math TeX Gyre" w:eastAsiaTheme="minorEastAsia" w:cstheme="minorBidi"/>
              <w:kern w:val="2"/>
              <w:sz w:val="24"/>
              <w:szCs w:val="24"/>
              <w:vertAlign w:val="baseline"/>
              <w:lang w:eastAsia="zh-CN" w:bidi="ar-SA"/>
            </w:rPr>
            <m:t>H_3=\frac{1.45\times 10^5A\Gamma q}{r^2}</m:t>
          </m:r>
        </m:oMath>
      </m:oMathPara>
    </w:p>
    <w:p>
      <w:pPr>
        <w:numPr>
          <w:ilvl w:val="0"/>
          <w:numId w:val="0"/>
        </w:numPr>
        <w:jc w:val="both"/>
        <w:rPr>
          <w:rFonts w:hint="default"/>
          <w:b w:val="0"/>
          <w:bCs w:val="0"/>
          <w:sz w:val="24"/>
          <w:vertAlign w:val="baseline"/>
        </w:rPr>
      </w:pPr>
    </w:p>
    <w:p>
      <w:pPr>
        <w:numPr>
          <w:ilvl w:val="0"/>
          <w:numId w:val="0"/>
        </w:numPr>
        <w:jc w:val="both"/>
        <w:rPr>
          <w:rFonts w:hint="default"/>
          <w:b/>
          <w:bCs/>
          <w:sz w:val="24"/>
          <w:vertAlign w:val="baseline"/>
        </w:rPr>
      </w:pPr>
      <w:r>
        <w:rPr>
          <w:rFonts w:hint="default"/>
          <w:b/>
          <w:bCs/>
          <w:sz w:val="24"/>
          <w:vertAlign w:val="baseline"/>
        </w:rPr>
        <w:t>[9]袁祖培, 陈洁, 沈洁, et al. 射线防护复合材料的制备及性能研究[J]. 中原工学院学报, 2020, v.31;No.156(01):23-25+46.</w:t>
      </w:r>
    </w:p>
    <w:p>
      <w:pPr>
        <w:numPr>
          <w:ilvl w:val="0"/>
          <w:numId w:val="0"/>
        </w:numPr>
        <w:ind w:firstLine="420" w:firstLineChars="0"/>
        <w:jc w:val="both"/>
        <w:rPr>
          <w:rFonts w:hint="default"/>
          <w:b w:val="0"/>
          <w:bCs w:val="0"/>
          <w:sz w:val="24"/>
          <w:vertAlign w:val="baseline"/>
        </w:rPr>
      </w:pPr>
      <w:r>
        <w:rPr>
          <w:rFonts w:hint="default"/>
          <w:b w:val="0"/>
          <w:bCs w:val="0"/>
          <w:sz w:val="24"/>
          <w:vertAlign w:val="baseline"/>
        </w:rPr>
        <w:t>将以无铅型金属作为屏蔽剂，以天然胶为包覆载体，采用混炼－多辊压延的方式制备的防辐射复合材料，按照 ＧＢＺ／Ｔ１４７－２００２的规定对材料的拉伸强度、拉断伸长率、硬度进行了测试，并将其与美国Ａ型、Ｂ型两种防护材料的性能进行了对比。</w:t>
      </w:r>
    </w:p>
    <w:p>
      <w:pPr>
        <w:numPr>
          <w:ilvl w:val="0"/>
          <w:numId w:val="0"/>
        </w:numPr>
        <w:jc w:val="both"/>
        <w:rPr>
          <w:rFonts w:hint="default"/>
          <w:b w:val="0"/>
          <w:bCs w:val="0"/>
          <w:sz w:val="24"/>
          <w:vertAlign w:val="baseline"/>
        </w:rPr>
      </w:pPr>
    </w:p>
    <w:p>
      <w:pPr>
        <w:numPr>
          <w:ilvl w:val="0"/>
          <w:numId w:val="0"/>
        </w:numPr>
        <w:jc w:val="both"/>
        <w:rPr>
          <w:rFonts w:hint="default"/>
          <w:b/>
          <w:bCs/>
          <w:sz w:val="24"/>
          <w:vertAlign w:val="baseline"/>
        </w:rPr>
      </w:pPr>
      <w:r>
        <w:rPr>
          <w:rFonts w:hint="default"/>
          <w:b/>
          <w:bCs/>
          <w:sz w:val="24"/>
          <w:vertAlign w:val="baseline"/>
        </w:rPr>
        <w:t>[10]石勇, 陈宝, 张龙,等. 无铅复合屏蔽材料的研究[J]. 安全, 2019(12).</w:t>
      </w:r>
    </w:p>
    <w:p>
      <w:pPr>
        <w:numPr>
          <w:ilvl w:val="0"/>
          <w:numId w:val="0"/>
        </w:numPr>
        <w:ind w:firstLine="420" w:firstLineChars="0"/>
        <w:jc w:val="both"/>
        <w:rPr>
          <w:rFonts w:hint="default"/>
          <w:b w:val="0"/>
          <w:bCs w:val="0"/>
          <w:sz w:val="24"/>
          <w:vertAlign w:val="baseline"/>
        </w:rPr>
      </w:pPr>
      <w:r>
        <w:rPr>
          <w:rFonts w:hint="default"/>
          <w:b w:val="0"/>
          <w:bCs w:val="0"/>
          <w:sz w:val="24"/>
          <w:vertAlign w:val="baseline"/>
        </w:rPr>
        <w:t>论述铅的危害，提出用钨材料替代铅。</w:t>
      </w:r>
    </w:p>
    <w:p>
      <w:pPr>
        <w:numPr>
          <w:ilvl w:val="0"/>
          <w:numId w:val="0"/>
        </w:numPr>
        <w:jc w:val="both"/>
        <w:rPr>
          <w:rFonts w:hint="default"/>
          <w:b w:val="0"/>
          <w:bCs w:val="0"/>
          <w:sz w:val="24"/>
          <w:vertAlign w:val="baseline"/>
        </w:rPr>
      </w:pPr>
    </w:p>
    <w:p>
      <w:pPr>
        <w:numPr>
          <w:ilvl w:val="0"/>
          <w:numId w:val="0"/>
        </w:numPr>
        <w:jc w:val="both"/>
        <w:rPr>
          <w:rFonts w:hint="default"/>
          <w:b/>
          <w:bCs/>
          <w:sz w:val="24"/>
          <w:vertAlign w:val="baseline"/>
        </w:rPr>
      </w:pPr>
      <w:r>
        <w:rPr>
          <w:rFonts w:hint="default"/>
          <w:b/>
          <w:bCs/>
          <w:sz w:val="24"/>
          <w:vertAlign w:val="baseline"/>
        </w:rPr>
        <w:t>[11]杨彬, 王璞, 高莉,等. 圆柱体源与点源的照射量累积因子对比[J]. 辐射防护通讯, 2016, 36(003):13-18.</w:t>
      </w:r>
    </w:p>
    <w:p>
      <w:pPr>
        <w:numPr>
          <w:ilvl w:val="0"/>
          <w:numId w:val="0"/>
        </w:numPr>
        <w:ind w:firstLine="420" w:firstLineChars="0"/>
        <w:jc w:val="both"/>
        <w:rPr>
          <w:rFonts w:hint="default"/>
          <w:b w:val="0"/>
          <w:bCs w:val="0"/>
          <w:sz w:val="24"/>
          <w:vertAlign w:val="baseline"/>
        </w:rPr>
      </w:pPr>
      <w:r>
        <w:rPr>
          <w:rFonts w:hint="default"/>
          <w:b w:val="0"/>
          <w:bCs w:val="0"/>
          <w:sz w:val="24"/>
          <w:vertAlign w:val="baseline"/>
        </w:rPr>
        <w:t>拟合了圆柱体源与点源累计因子随光子平均自由程的变化。</w:t>
      </w:r>
    </w:p>
    <w:p>
      <w:pPr>
        <w:numPr>
          <w:ilvl w:val="0"/>
          <w:numId w:val="0"/>
        </w:numPr>
        <w:ind w:firstLine="420" w:firstLineChars="0"/>
        <w:jc w:val="both"/>
        <w:rPr>
          <w:rFonts w:hint="default"/>
          <w:b w:val="0"/>
          <w:bCs w:val="0"/>
          <w:sz w:val="24"/>
          <w:vertAlign w:val="baseline"/>
        </w:rPr>
      </w:pPr>
      <w:r>
        <w:rPr>
          <w:rFonts w:hint="default"/>
          <w:b w:val="0"/>
          <w:bCs w:val="0"/>
          <w:sz w:val="24"/>
          <w:vertAlign w:val="baseline"/>
        </w:rPr>
        <w:t>圆柱体源：</w:t>
      </w:r>
    </w:p>
    <w:p>
      <w:pPr>
        <w:numPr>
          <w:ilvl w:val="0"/>
          <w:numId w:val="0"/>
        </w:numPr>
        <w:jc w:val="center"/>
      </w:pPr>
      <w:r>
        <w:drawing>
          <wp:inline distT="0" distB="0" distL="114300" distR="114300">
            <wp:extent cx="1894205" cy="2111375"/>
            <wp:effectExtent l="0" t="0" r="10795" b="317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1894205" cy="2111375"/>
                    </a:xfrm>
                    <a:prstGeom prst="rect">
                      <a:avLst/>
                    </a:prstGeom>
                    <a:noFill/>
                    <a:ln>
                      <a:noFill/>
                    </a:ln>
                  </pic:spPr>
                </pic:pic>
              </a:graphicData>
            </a:graphic>
          </wp:inline>
        </w:drawing>
      </w:r>
    </w:p>
    <w:p>
      <w:pPr>
        <w:numPr>
          <w:ilvl w:val="0"/>
          <w:numId w:val="0"/>
        </w:numPr>
        <w:jc w:val="both"/>
        <w:rPr>
          <w:rFonts w:hint="default"/>
        </w:rPr>
      </w:pPr>
    </w:p>
    <w:p>
      <w:pPr>
        <w:numPr>
          <w:ilvl w:val="0"/>
          <w:numId w:val="0"/>
        </w:numPr>
        <w:jc w:val="both"/>
        <w:rPr>
          <w:rFonts w:hint="default"/>
          <w:b w:val="0"/>
          <w:bCs w:val="0"/>
          <w:sz w:val="24"/>
          <w:vertAlign w:val="baseline"/>
        </w:rPr>
      </w:pPr>
    </w:p>
    <w:p>
      <w:pPr>
        <w:numPr>
          <w:ilvl w:val="0"/>
          <w:numId w:val="0"/>
        </w:numPr>
        <w:jc w:val="both"/>
        <w:rPr>
          <w:rFonts w:hint="default"/>
          <w:b w:val="0"/>
          <w:bCs w:val="0"/>
          <w:sz w:val="24"/>
          <w:vertAlign w:val="baseline"/>
        </w:rPr>
      </w:pPr>
    </w:p>
    <w:p>
      <w:pPr>
        <w:numPr>
          <w:ilvl w:val="0"/>
          <w:numId w:val="0"/>
        </w:numPr>
        <w:jc w:val="both"/>
        <w:rPr>
          <w:rFonts w:hint="default"/>
          <w:b w:val="0"/>
          <w:bCs w:val="0"/>
          <w:sz w:val="24"/>
          <w:vertAlign w:val="baseline"/>
        </w:rPr>
      </w:pPr>
    </w:p>
    <w:p>
      <w:pPr>
        <w:numPr>
          <w:ilvl w:val="0"/>
          <w:numId w:val="0"/>
        </w:numPr>
        <w:jc w:val="both"/>
        <w:rPr>
          <w:rFonts w:hint="default"/>
          <w:b w:val="0"/>
          <w:bCs w:val="0"/>
          <w:sz w:val="24"/>
          <w:vertAlign w:val="baseline"/>
        </w:rPr>
      </w:pPr>
    </w:p>
    <w:p>
      <w:pPr>
        <w:numPr>
          <w:ilvl w:val="0"/>
          <w:numId w:val="0"/>
        </w:numPr>
        <w:jc w:val="both"/>
        <w:rPr>
          <w:rFonts w:hint="default"/>
          <w:b w:val="0"/>
          <w:bCs w:val="0"/>
          <w:sz w:val="24"/>
          <w:vertAlign w:val="baseline"/>
        </w:rPr>
      </w:pPr>
    </w:p>
    <w:p>
      <w:pPr>
        <w:numPr>
          <w:ilvl w:val="0"/>
          <w:numId w:val="0"/>
        </w:numPr>
        <w:jc w:val="both"/>
        <w:rPr>
          <w:rFonts w:hint="default"/>
          <w:b w:val="0"/>
          <w:bCs w:val="0"/>
          <w:sz w:val="24"/>
          <w:vertAlign w:val="baseline"/>
        </w:rPr>
      </w:pPr>
    </w:p>
    <w:p>
      <w:pPr>
        <w:numPr>
          <w:ilvl w:val="0"/>
          <w:numId w:val="0"/>
        </w:numPr>
        <w:jc w:val="both"/>
        <w:rPr>
          <w:rFonts w:hint="default"/>
          <w:b w:val="0"/>
          <w:bCs w:val="0"/>
          <w:sz w:val="24"/>
          <w:vertAlign w:val="baseline"/>
        </w:rPr>
      </w:pPr>
    </w:p>
    <w:p>
      <w:pPr>
        <w:numPr>
          <w:ilvl w:val="0"/>
          <w:numId w:val="0"/>
        </w:numPr>
        <w:jc w:val="both"/>
        <w:rPr>
          <w:rFonts w:hint="default"/>
          <w:b w:val="0"/>
          <w:bCs w:val="0"/>
          <w:sz w:val="24"/>
          <w:vertAlign w:val="baseline"/>
        </w:rPr>
      </w:pPr>
    </w:p>
    <w:p>
      <w:pPr>
        <w:numPr>
          <w:ilvl w:val="0"/>
          <w:numId w:val="0"/>
        </w:numPr>
        <w:jc w:val="both"/>
        <w:rPr>
          <w:rFonts w:hint="default"/>
          <w:b w:val="0"/>
          <w:bCs w:val="0"/>
          <w:sz w:val="24"/>
          <w:vertAlign w:val="baseline"/>
        </w:rPr>
      </w:pPr>
    </w:p>
    <w:p>
      <w:pPr>
        <w:numPr>
          <w:ilvl w:val="0"/>
          <w:numId w:val="0"/>
        </w:numPr>
        <w:jc w:val="both"/>
        <w:rPr>
          <w:rFonts w:hint="default"/>
          <w:b w:val="0"/>
          <w:bCs w:val="0"/>
          <w:sz w:val="24"/>
          <w:vertAlign w:val="baseline"/>
        </w:rPr>
      </w:pPr>
    </w:p>
    <w:p>
      <w:pPr>
        <w:numPr>
          <w:ilvl w:val="0"/>
          <w:numId w:val="0"/>
        </w:numPr>
        <w:jc w:val="both"/>
        <w:rPr>
          <w:rFonts w:hint="default"/>
          <w:b w:val="0"/>
          <w:bCs w:val="0"/>
          <w:sz w:val="24"/>
          <w:vertAlign w:val="baseli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DejaVu Math TeX Gyre">
    <w:panose1 w:val="02000503000000000000"/>
    <w:charset w:val="00"/>
    <w:family w:val="auto"/>
    <w:pitch w:val="default"/>
    <w:sig w:usb0="A10000EF" w:usb1="4201F9EE" w:usb2="02000000" w:usb3="00000000" w:csb0="60000193" w:csb1="0DD40000"/>
  </w:font>
  <w:font w:name="MS Mincho">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7C7AC2"/>
    <w:multiLevelType w:val="singleLevel"/>
    <w:tmpl w:val="CF7C7AC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ADBF19"/>
    <w:rsid w:val="5DADBF19"/>
    <w:rsid w:val="72FF3CB9"/>
    <w:rsid w:val="BFFBAA94"/>
    <w:rsid w:val="C7E7C72F"/>
    <w:rsid w:val="DCFF1E24"/>
    <w:rsid w:val="FEDF9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4"/>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2021-10-27T22:43:00Z</dcterms:created>
  <dc:creator>apricot</dc:creator>
  <cp:lastModifiedBy>朱铭浩</cp:lastModifiedBy>
  <dcterms:modified xsi:type="dcterms:W3CDTF">2021-10-27T22:50:18Z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