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2C71" w14:textId="0001AF9E" w:rsidR="007E70DB" w:rsidRDefault="007E70DB" w:rsidP="00A7157C">
      <w:pPr>
        <w:rPr>
          <w:rFonts w:hint="eastAsia"/>
        </w:rPr>
      </w:pPr>
    </w:p>
    <w:p w14:paraId="5BBAF6A5" w14:textId="04BB1DE8" w:rsidR="00371DCD" w:rsidRPr="00893485" w:rsidRDefault="00371DCD" w:rsidP="00A7157C">
      <w:pPr>
        <w:rPr>
          <w:b/>
          <w:bCs/>
          <w:sz w:val="28"/>
          <w:szCs w:val="28"/>
        </w:rPr>
      </w:pPr>
      <w:r w:rsidRPr="00893485">
        <w:rPr>
          <w:b/>
          <w:bCs/>
          <w:sz w:val="28"/>
          <w:szCs w:val="28"/>
        </w:rPr>
        <w:t>Aim and objectives</w:t>
      </w:r>
    </w:p>
    <w:p w14:paraId="366B2688" w14:textId="44D12237" w:rsidR="007E70DB" w:rsidRPr="00893485" w:rsidRDefault="007E70DB" w:rsidP="007E70DB">
      <w:pPr>
        <w:rPr>
          <w:sz w:val="28"/>
          <w:szCs w:val="28"/>
        </w:rPr>
      </w:pPr>
      <w:r w:rsidRPr="00893485">
        <w:rPr>
          <w:sz w:val="28"/>
          <w:szCs w:val="28"/>
        </w:rPr>
        <w:t xml:space="preserve">The aim of the project is to </w:t>
      </w:r>
      <w:r w:rsidR="00893485" w:rsidRPr="00893485">
        <w:rPr>
          <w:sz w:val="28"/>
          <w:szCs w:val="28"/>
        </w:rPr>
        <w:t>develop</w:t>
      </w:r>
      <w:r w:rsidR="00962D22" w:rsidRPr="00893485">
        <w:rPr>
          <w:sz w:val="28"/>
          <w:szCs w:val="28"/>
        </w:rPr>
        <w:t xml:space="preserve"> a</w:t>
      </w:r>
      <w:r w:rsidR="00893485" w:rsidRPr="00893485">
        <w:rPr>
          <w:sz w:val="28"/>
          <w:szCs w:val="28"/>
        </w:rPr>
        <w:t xml:space="preserve"> </w:t>
      </w:r>
      <w:r w:rsidR="00893485" w:rsidRPr="00893485">
        <w:rPr>
          <w:rFonts w:hint="eastAsia"/>
          <w:sz w:val="28"/>
          <w:szCs w:val="28"/>
        </w:rPr>
        <w:t>data</w:t>
      </w:r>
      <w:r w:rsidR="00962D22" w:rsidRPr="00893485">
        <w:rPr>
          <w:sz w:val="28"/>
          <w:szCs w:val="28"/>
        </w:rPr>
        <w:t xml:space="preserve"> </w:t>
      </w:r>
      <w:r w:rsidR="00893485" w:rsidRPr="00893485">
        <w:rPr>
          <w:sz w:val="28"/>
          <w:szCs w:val="28"/>
        </w:rPr>
        <w:t>visualization tool</w:t>
      </w:r>
      <w:r w:rsidR="00962D22" w:rsidRPr="00893485">
        <w:rPr>
          <w:sz w:val="28"/>
          <w:szCs w:val="28"/>
        </w:rPr>
        <w:t xml:space="preserve"> that highlights the key information contained within the datasets</w:t>
      </w:r>
      <w:r w:rsidR="00893485" w:rsidRPr="00893485">
        <w:rPr>
          <w:sz w:val="28"/>
          <w:szCs w:val="28"/>
        </w:rPr>
        <w:t xml:space="preserve"> to </w:t>
      </w:r>
      <w:r w:rsidRPr="00893485">
        <w:rPr>
          <w:sz w:val="28"/>
          <w:szCs w:val="28"/>
        </w:rPr>
        <w:t>be used by VCOSS and FSSI in summarising key characteristics to sector, government and other stakeholders.</w:t>
      </w:r>
      <w:r w:rsidR="00982105" w:rsidRPr="00893485">
        <w:rPr>
          <w:sz w:val="28"/>
          <w:szCs w:val="28"/>
        </w:rPr>
        <w:t xml:space="preserve"> This visualisation tool will assist FSSI to analyse  and explore the data to derive insights from it, make up their own analytical reports and make better informed decisions.</w:t>
      </w:r>
      <w:r w:rsidR="00962D22" w:rsidRPr="00893485">
        <w:rPr>
          <w:sz w:val="28"/>
          <w:szCs w:val="28"/>
        </w:rPr>
        <w:t xml:space="preserve"> </w:t>
      </w:r>
    </w:p>
    <w:p w14:paraId="261A66E2" w14:textId="1A592691" w:rsidR="00893485" w:rsidRPr="00893485" w:rsidRDefault="00893485" w:rsidP="007E70DB">
      <w:pPr>
        <w:rPr>
          <w:sz w:val="28"/>
          <w:szCs w:val="28"/>
        </w:rPr>
      </w:pPr>
    </w:p>
    <w:p w14:paraId="085EE299" w14:textId="38671723" w:rsidR="00820D15" w:rsidRPr="005E75B5" w:rsidRDefault="005E75B5" w:rsidP="005E75B5">
      <w:pPr>
        <w:jc w:val="both"/>
        <w:rPr>
          <w:b/>
          <w:bCs/>
          <w:sz w:val="28"/>
          <w:szCs w:val="28"/>
        </w:rPr>
      </w:pPr>
      <w:r w:rsidRPr="005E75B5">
        <w:rPr>
          <w:b/>
          <w:bCs/>
          <w:sz w:val="28"/>
          <w:szCs w:val="28"/>
        </w:rPr>
        <w:t>Literature Review</w:t>
      </w:r>
    </w:p>
    <w:p w14:paraId="6884CE1A" w14:textId="13BE2363" w:rsidR="00887AB9" w:rsidRDefault="005E75B5" w:rsidP="00FB20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an age of ‘big data’ </w:t>
      </w:r>
      <w:r w:rsidR="006E3E8E">
        <w:rPr>
          <w:sz w:val="28"/>
          <w:szCs w:val="28"/>
        </w:rPr>
        <w:t xml:space="preserve">, transformation </w:t>
      </w:r>
      <w:r w:rsidR="008E25F9">
        <w:rPr>
          <w:sz w:val="28"/>
          <w:szCs w:val="28"/>
        </w:rPr>
        <w:t>should be</w:t>
      </w:r>
      <w:r w:rsidR="006E3E8E">
        <w:rPr>
          <w:sz w:val="28"/>
          <w:szCs w:val="28"/>
        </w:rPr>
        <w:t xml:space="preserve"> taken place across social service sectors. Karannasios (2018) demonstrates that </w:t>
      </w:r>
      <w:r w:rsidR="004A604B">
        <w:rPr>
          <w:sz w:val="28"/>
          <w:szCs w:val="28"/>
        </w:rPr>
        <w:t xml:space="preserve">data and analytics can be considered as important as labour and capital for modern organisations. Community services sectors should value big data and analytics as some commercial organisations did. </w:t>
      </w:r>
      <w:r w:rsidR="008E25F9">
        <w:rPr>
          <w:sz w:val="28"/>
          <w:szCs w:val="28"/>
        </w:rPr>
        <w:t>As Young and Wessnitzer (2016) states that a good exploratory data analysis begins with the ability to describe and plot a data set. Thus, data visualisation is an important tool to r</w:t>
      </w:r>
      <w:r w:rsidR="00E111C6">
        <w:rPr>
          <w:sz w:val="28"/>
          <w:szCs w:val="28"/>
        </w:rPr>
        <w:t>eview the data with a visual way is essential to gain insights of the big data.</w:t>
      </w:r>
    </w:p>
    <w:p w14:paraId="0CA34DEB" w14:textId="77777777" w:rsidR="00E536AE" w:rsidRDefault="00E536AE" w:rsidP="00E536AE">
      <w:pPr>
        <w:jc w:val="both"/>
        <w:rPr>
          <w:sz w:val="28"/>
          <w:szCs w:val="28"/>
        </w:rPr>
      </w:pPr>
    </w:p>
    <w:p w14:paraId="60B48756" w14:textId="7BABE5FE" w:rsidR="00E536AE" w:rsidRDefault="00887AB9" w:rsidP="00E536A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Visualisation technologies are used to present big data in the form of tables, charts and graphics. </w:t>
      </w:r>
      <w:r w:rsidR="005B5F38">
        <w:rPr>
          <w:rFonts w:hint="eastAsia"/>
          <w:sz w:val="28"/>
          <w:szCs w:val="28"/>
        </w:rPr>
        <w:t>It</w:t>
      </w:r>
      <w:r w:rsidR="005B5F38">
        <w:rPr>
          <w:sz w:val="28"/>
          <w:szCs w:val="28"/>
        </w:rPr>
        <w:t xml:space="preserve"> is believed by experts that representing data visually </w:t>
      </w:r>
      <w:r w:rsidR="002E124E">
        <w:rPr>
          <w:sz w:val="28"/>
          <w:szCs w:val="28"/>
        </w:rPr>
        <w:t xml:space="preserve">makes it possible to communicate data effectively and gives people the opportunity to analyse and examine various datasets which would otherwise be difficult to understand (Kennedy &amp; </w:t>
      </w:r>
      <w:r w:rsidR="002E124E">
        <w:rPr>
          <w:rFonts w:hint="eastAsia"/>
          <w:sz w:val="28"/>
          <w:szCs w:val="28"/>
        </w:rPr>
        <w:t>All</w:t>
      </w:r>
      <w:r w:rsidR="002E124E">
        <w:rPr>
          <w:sz w:val="28"/>
          <w:szCs w:val="28"/>
        </w:rPr>
        <w:t xml:space="preserve">en 2017). </w:t>
      </w:r>
      <w:r w:rsidR="00E536AE">
        <w:rPr>
          <w:sz w:val="28"/>
          <w:szCs w:val="28"/>
        </w:rPr>
        <w:t xml:space="preserve">However, not all of visualisation tool is useful in analyzing big data of social service sectors. For example, </w:t>
      </w:r>
      <w:r w:rsidR="00E536AE">
        <w:rPr>
          <w:sz w:val="28"/>
          <w:szCs w:val="28"/>
        </w:rPr>
        <w:t xml:space="preserve">Tableau is a powerful visualization tool but it is not capable to represent large datasets. </w:t>
      </w:r>
    </w:p>
    <w:p w14:paraId="070B9163" w14:textId="77777777" w:rsidR="00E536AE" w:rsidRDefault="00E536AE" w:rsidP="00FB20ED">
      <w:pPr>
        <w:jc w:val="both"/>
        <w:rPr>
          <w:sz w:val="28"/>
          <w:szCs w:val="28"/>
        </w:rPr>
      </w:pPr>
    </w:p>
    <w:p w14:paraId="5BF5925C" w14:textId="6D80DFE4" w:rsidR="00E536AE" w:rsidRDefault="00B1093C" w:rsidP="00FB20E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good visualisation tool is able to explore data interactively with end users </w:t>
      </w:r>
      <w:r w:rsidR="00DB7D5D">
        <w:rPr>
          <w:sz w:val="28"/>
          <w:szCs w:val="28"/>
        </w:rPr>
        <w:t>and also assure t</w:t>
      </w:r>
      <w:r w:rsidR="00E536AE">
        <w:rPr>
          <w:sz w:val="28"/>
          <w:szCs w:val="28"/>
        </w:rPr>
        <w:t xml:space="preserve">he interaction quality of users with data visualisation </w:t>
      </w:r>
      <w:r w:rsidR="00DB7D5D">
        <w:rPr>
          <w:sz w:val="28"/>
          <w:szCs w:val="28"/>
        </w:rPr>
        <w:t>(Berinato 2016).</w:t>
      </w:r>
      <w:r w:rsidR="00DB7D5D">
        <w:rPr>
          <w:sz w:val="28"/>
          <w:szCs w:val="28"/>
        </w:rPr>
        <w:t xml:space="preserve"> </w:t>
      </w:r>
      <w:r w:rsidR="00E536AE">
        <w:rPr>
          <w:sz w:val="28"/>
          <w:szCs w:val="28"/>
        </w:rPr>
        <w:t>Tool designers should</w:t>
      </w:r>
      <w:r w:rsidR="00237522">
        <w:rPr>
          <w:sz w:val="28"/>
          <w:szCs w:val="28"/>
        </w:rPr>
        <w:t xml:space="preserve"> consider whether the user is able to adjust properties with the tool’s interface, explore relationships between attributes of their choice and look for links </w:t>
      </w:r>
      <w:r w:rsidR="00237522">
        <w:rPr>
          <w:sz w:val="28"/>
          <w:szCs w:val="28"/>
        </w:rPr>
        <w:lastRenderedPageBreak/>
        <w:t xml:space="preserve">between different data (Polack 2019). </w:t>
      </w:r>
      <w:r w:rsidR="004D17B1">
        <w:rPr>
          <w:sz w:val="28"/>
          <w:szCs w:val="28"/>
        </w:rPr>
        <w:t>For example, Reinvestment Fund’s Policy Map is a web-based mapping application that allows users to generate maps at the USA neighbourhood or national level using datasets on demographics, housing, education etc.</w:t>
      </w:r>
    </w:p>
    <w:p w14:paraId="50782949" w14:textId="2CD4C264" w:rsidR="002E124E" w:rsidRDefault="002E124E" w:rsidP="00FB20ED">
      <w:pPr>
        <w:jc w:val="both"/>
        <w:rPr>
          <w:sz w:val="28"/>
          <w:szCs w:val="28"/>
        </w:rPr>
      </w:pPr>
    </w:p>
    <w:p w14:paraId="6C1405F5" w14:textId="3D826614" w:rsidR="00FB20ED" w:rsidRDefault="00FB20ED" w:rsidP="00FB20ED">
      <w:pPr>
        <w:jc w:val="both"/>
        <w:rPr>
          <w:sz w:val="28"/>
          <w:szCs w:val="28"/>
        </w:rPr>
      </w:pPr>
    </w:p>
    <w:p w14:paraId="4E92EFF2" w14:textId="77777777" w:rsidR="00D82B5D" w:rsidRDefault="00D82B5D" w:rsidP="00FB20ED">
      <w:pPr>
        <w:jc w:val="both"/>
        <w:rPr>
          <w:sz w:val="28"/>
          <w:szCs w:val="28"/>
        </w:rPr>
      </w:pPr>
    </w:p>
    <w:p w14:paraId="36E6028F" w14:textId="77777777" w:rsidR="00FB20ED" w:rsidRDefault="00FB20ED" w:rsidP="00FB20ED">
      <w:pPr>
        <w:jc w:val="both"/>
      </w:pPr>
    </w:p>
    <w:p w14:paraId="5CCACF1C" w14:textId="77777777" w:rsidR="00893485" w:rsidRDefault="00893485" w:rsidP="00893485"/>
    <w:p w14:paraId="5FE26FC7" w14:textId="77777777" w:rsidR="00982105" w:rsidRDefault="00982105" w:rsidP="007E70DB"/>
    <w:p w14:paraId="16958CF6" w14:textId="77777777" w:rsidR="0050150F" w:rsidRDefault="0050150F" w:rsidP="007E70DB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1154DC5" w14:textId="0FEE83CA" w:rsidR="0050150F" w:rsidRDefault="0050150F" w:rsidP="0050150F">
      <w:pPr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Referen</w:t>
      </w:r>
      <w:r>
        <w:rPr>
          <w:sz w:val="28"/>
          <w:szCs w:val="28"/>
        </w:rPr>
        <w:t>ce List:</w:t>
      </w:r>
    </w:p>
    <w:p w14:paraId="414F56F5" w14:textId="77777777" w:rsidR="00B1093C" w:rsidRDefault="00152C9E" w:rsidP="00B1093C">
      <w:pPr>
        <w:jc w:val="both"/>
        <w:rPr>
          <w:sz w:val="28"/>
          <w:szCs w:val="28"/>
        </w:rPr>
      </w:pPr>
      <w:r w:rsidRPr="00152C9E">
        <w:rPr>
          <w:sz w:val="28"/>
          <w:szCs w:val="28"/>
        </w:rPr>
        <w:t xml:space="preserve">Berinato, S, </w:t>
      </w:r>
      <w:r w:rsidRPr="00152C9E">
        <w:rPr>
          <w:i/>
          <w:iCs/>
          <w:sz w:val="28"/>
          <w:szCs w:val="28"/>
        </w:rPr>
        <w:t>Visualizations That Really Work</w:t>
      </w:r>
      <w:r w:rsidRPr="00152C9E">
        <w:rPr>
          <w:sz w:val="28"/>
          <w:szCs w:val="28"/>
        </w:rPr>
        <w:t>, Harvard Business Review, 92–100, June 2016</w:t>
      </w:r>
    </w:p>
    <w:p w14:paraId="5B1D88BA" w14:textId="77777777" w:rsidR="00B1093C" w:rsidRDefault="00B1093C" w:rsidP="00B1093C">
      <w:pPr>
        <w:jc w:val="both"/>
        <w:rPr>
          <w:sz w:val="28"/>
          <w:szCs w:val="28"/>
        </w:rPr>
      </w:pPr>
    </w:p>
    <w:p w14:paraId="47CCA71C" w14:textId="1BC7CD59" w:rsidR="00B1093C" w:rsidRPr="00B1093C" w:rsidRDefault="00B1093C" w:rsidP="00B1093C">
      <w:pPr>
        <w:jc w:val="both"/>
        <w:rPr>
          <w:sz w:val="28"/>
          <w:szCs w:val="28"/>
        </w:rPr>
      </w:pPr>
      <w:r>
        <w:rPr>
          <w:rFonts w:ascii="Calibri" w:hAnsi="Calibri" w:cs="Calibri"/>
          <w:color w:val="000000"/>
          <w:sz w:val="27"/>
          <w:szCs w:val="27"/>
        </w:rPr>
        <w:t>Community services of the future An evidence review. (2018). [online] Available at: http://vcoss.org.au/wp-content/uploads/2018/02/Community-services-of-the-future-FSSI-2018-FINAL.pdf [Accessed 18 Apr. 2020].</w:t>
      </w:r>
    </w:p>
    <w:p w14:paraId="1133B212" w14:textId="77777777" w:rsidR="00B1093C" w:rsidRDefault="00B1093C" w:rsidP="00B1093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E165A7E" w14:textId="6C750A34" w:rsidR="0050150F" w:rsidRPr="0050150F" w:rsidRDefault="0050150F" w:rsidP="0050150F">
      <w:pPr>
        <w:jc w:val="both"/>
        <w:rPr>
          <w:sz w:val="28"/>
          <w:szCs w:val="28"/>
        </w:rPr>
      </w:pPr>
      <w:r w:rsidRPr="0050150F">
        <w:rPr>
          <w:sz w:val="28"/>
          <w:szCs w:val="28"/>
        </w:rPr>
        <w:t>Fielding, N.G., Lee, R.M. and Blank, G. (2016). The SAGE Handbook of Online Research Methods. [online] Google Books. SAGE. Available at: https://books.google.com.au/books?hl=en&amp;lr=&amp;id=IMWCDQAAQBAJ&amp;oi=fnd&amp;pg=PA307&amp;dq=data+visualisation+&amp;ots=79d-fEIGUD&amp;sig=M3xpg9xl0oNSrqa_T9aK6FIWZR4&amp;redir_esc=y#v=onepage&amp;q&amp;f=false [Accessed 17 Apr. 2020].</w:t>
      </w:r>
    </w:p>
    <w:p w14:paraId="58E61FC8" w14:textId="77777777" w:rsidR="00237522" w:rsidRDefault="00237522" w:rsidP="00237522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61D1C527" w14:textId="5802EAE7" w:rsidR="00237522" w:rsidRDefault="00237522" w:rsidP="00237522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Polack, N. (2019).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NHS Scotland Open Data: A data visualisation study about child health</w:t>
      </w:r>
      <w:r>
        <w:rPr>
          <w:rFonts w:ascii="Calibri" w:hAnsi="Calibri" w:cs="Calibri"/>
          <w:color w:val="000000"/>
          <w:sz w:val="27"/>
          <w:szCs w:val="27"/>
        </w:rPr>
        <w:t>. [online] Available at: http://www.cs.stir.ac.uk/courses/msc/projects/PastProjects/exemplars/Natalie_Polack.pdf [Accessed 18 Apr. 2020].</w:t>
      </w:r>
    </w:p>
    <w:p w14:paraId="02FA79D6" w14:textId="42997A98" w:rsidR="004D17B1" w:rsidRPr="004D17B1" w:rsidRDefault="004D17B1" w:rsidP="00237522">
      <w:pPr>
        <w:pStyle w:val="NormalWeb"/>
        <w:spacing w:before="0" w:beforeAutospacing="0" w:after="0" w:afterAutospacing="0" w:line="360" w:lineRule="atLeast"/>
        <w:rPr>
          <w:rFonts w:asciiTheme="minorHAnsi" w:eastAsiaTheme="minorEastAsia" w:hAnsiTheme="minorHAnsi" w:cstheme="minorBidi"/>
          <w:sz w:val="28"/>
          <w:szCs w:val="28"/>
        </w:rPr>
      </w:pPr>
      <w:r w:rsidRPr="004D17B1">
        <w:rPr>
          <w:rFonts w:asciiTheme="minorHAnsi" w:eastAsiaTheme="minorEastAsia" w:hAnsiTheme="minorHAnsi" w:cstheme="minorBidi"/>
          <w:sz w:val="28"/>
          <w:szCs w:val="28"/>
        </w:rPr>
        <w:lastRenderedPageBreak/>
        <w:t>PolicyMap. (n.d.). PolicyMap. [online] Available at: https://www.policymap.com/ [Accessed 18 Apr. 2020].</w:t>
      </w:r>
    </w:p>
    <w:p w14:paraId="02F677C2" w14:textId="77777777" w:rsidR="004D17B1" w:rsidRDefault="00237522" w:rsidP="004D17B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21A07B4F" w14:textId="6E711318" w:rsidR="00BD1030" w:rsidRPr="004D17B1" w:rsidRDefault="0050150F" w:rsidP="004D17B1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 w:rsidRPr="0050150F">
        <w:rPr>
          <w:rFonts w:asciiTheme="minorHAnsi" w:hAnsiTheme="minorHAnsi" w:cstheme="minorBidi"/>
          <w:sz w:val="28"/>
          <w:szCs w:val="28"/>
        </w:rPr>
        <w:t>Young, J. and Wessnitzer, J. (2016). Descriptive Statistics, Graphs, and Visualisation. Human–Computer Interaction Series, pp.37–56.</w:t>
      </w:r>
    </w:p>
    <w:p w14:paraId="088A22F1" w14:textId="1FB2D2E9" w:rsidR="007E70DB" w:rsidRPr="0050150F" w:rsidRDefault="007E70DB" w:rsidP="0050150F">
      <w:pPr>
        <w:jc w:val="both"/>
        <w:rPr>
          <w:sz w:val="28"/>
          <w:szCs w:val="28"/>
        </w:rPr>
      </w:pPr>
    </w:p>
    <w:p w14:paraId="7F916EAC" w14:textId="69293BED" w:rsidR="00815086" w:rsidRDefault="00815086" w:rsidP="00A7157C"/>
    <w:sectPr w:rsidR="0081508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E009F" w14:textId="77777777" w:rsidR="009161C5" w:rsidRDefault="009161C5" w:rsidP="00820D15">
      <w:pPr>
        <w:spacing w:after="0" w:line="240" w:lineRule="auto"/>
      </w:pPr>
      <w:r>
        <w:separator/>
      </w:r>
    </w:p>
  </w:endnote>
  <w:endnote w:type="continuationSeparator" w:id="0">
    <w:p w14:paraId="0E0CB86A" w14:textId="77777777" w:rsidR="009161C5" w:rsidRDefault="009161C5" w:rsidP="008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0BC9F" w14:textId="77777777" w:rsidR="009161C5" w:rsidRDefault="009161C5" w:rsidP="00820D15">
      <w:pPr>
        <w:spacing w:after="0" w:line="240" w:lineRule="auto"/>
      </w:pPr>
      <w:r>
        <w:separator/>
      </w:r>
    </w:p>
  </w:footnote>
  <w:footnote w:type="continuationSeparator" w:id="0">
    <w:p w14:paraId="4292F609" w14:textId="77777777" w:rsidR="009161C5" w:rsidRDefault="009161C5" w:rsidP="00820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C41B4"/>
    <w:multiLevelType w:val="hybridMultilevel"/>
    <w:tmpl w:val="0E52B33E"/>
    <w:lvl w:ilvl="0" w:tplc="F86A9C3A">
      <w:start w:val="4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19AD"/>
    <w:multiLevelType w:val="hybridMultilevel"/>
    <w:tmpl w:val="6B3428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A2"/>
    <w:rsid w:val="00152C9E"/>
    <w:rsid w:val="001609FE"/>
    <w:rsid w:val="002213B0"/>
    <w:rsid w:val="00237522"/>
    <w:rsid w:val="002E124E"/>
    <w:rsid w:val="00371DCD"/>
    <w:rsid w:val="003D0090"/>
    <w:rsid w:val="004A604B"/>
    <w:rsid w:val="004D17B1"/>
    <w:rsid w:val="0050150F"/>
    <w:rsid w:val="005401A2"/>
    <w:rsid w:val="00574C00"/>
    <w:rsid w:val="005B5F38"/>
    <w:rsid w:val="005E75B5"/>
    <w:rsid w:val="006D11DD"/>
    <w:rsid w:val="006E3E8E"/>
    <w:rsid w:val="00756309"/>
    <w:rsid w:val="007E70DB"/>
    <w:rsid w:val="00815086"/>
    <w:rsid w:val="00820D15"/>
    <w:rsid w:val="008626A5"/>
    <w:rsid w:val="00887AB9"/>
    <w:rsid w:val="00893485"/>
    <w:rsid w:val="008E25F9"/>
    <w:rsid w:val="009117B0"/>
    <w:rsid w:val="009161C5"/>
    <w:rsid w:val="00962D22"/>
    <w:rsid w:val="00982105"/>
    <w:rsid w:val="009B0C5F"/>
    <w:rsid w:val="00A7157C"/>
    <w:rsid w:val="00B05459"/>
    <w:rsid w:val="00B1093C"/>
    <w:rsid w:val="00BA5951"/>
    <w:rsid w:val="00BD1030"/>
    <w:rsid w:val="00D82B5D"/>
    <w:rsid w:val="00DB7D5D"/>
    <w:rsid w:val="00E111C6"/>
    <w:rsid w:val="00E536AE"/>
    <w:rsid w:val="00EC112F"/>
    <w:rsid w:val="00FB20ED"/>
    <w:rsid w:val="00FE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9AE6B"/>
  <w15:chartTrackingRefBased/>
  <w15:docId w15:val="{C819EF4E-604E-415D-AE9C-C62B87B6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150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090"/>
    <w:rPr>
      <w:rFonts w:ascii="Courier New" w:eastAsia="Times New Roman" w:hAnsi="Courier New" w:cs="Courier New"/>
      <w:sz w:val="20"/>
      <w:szCs w:val="20"/>
    </w:rPr>
  </w:style>
  <w:style w:type="character" w:customStyle="1" w:styleId="w8qarf">
    <w:name w:val="w8qarf"/>
    <w:basedOn w:val="DefaultParagraphFont"/>
    <w:rsid w:val="003D0090"/>
  </w:style>
  <w:style w:type="character" w:customStyle="1" w:styleId="zgwrf">
    <w:name w:val="zgwrf"/>
    <w:basedOn w:val="DefaultParagraphFont"/>
    <w:rsid w:val="003D0090"/>
  </w:style>
  <w:style w:type="paragraph" w:styleId="ListParagraph">
    <w:name w:val="List Paragraph"/>
    <w:basedOn w:val="Normal"/>
    <w:uiPriority w:val="34"/>
    <w:qFormat/>
    <w:rsid w:val="007E70DB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BD10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03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50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0D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D15"/>
  </w:style>
  <w:style w:type="paragraph" w:styleId="Footer">
    <w:name w:val="footer"/>
    <w:basedOn w:val="Normal"/>
    <w:link w:val="FooterChar"/>
    <w:uiPriority w:val="99"/>
    <w:unhideWhenUsed/>
    <w:rsid w:val="00820D1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D15"/>
  </w:style>
  <w:style w:type="paragraph" w:styleId="NormalWeb">
    <w:name w:val="Normal (Web)"/>
    <w:basedOn w:val="Normal"/>
    <w:uiPriority w:val="99"/>
    <w:unhideWhenUsed/>
    <w:rsid w:val="00B10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5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AD2FECAD0A484880450D78887CDE9B" ma:contentTypeVersion="8" ma:contentTypeDescription="Create a new document." ma:contentTypeScope="" ma:versionID="a446ef4be1fb530f544a430ec58039d3">
  <xsd:schema xmlns:xsd="http://www.w3.org/2001/XMLSchema" xmlns:xs="http://www.w3.org/2001/XMLSchema" xmlns:p="http://schemas.microsoft.com/office/2006/metadata/properties" xmlns:ns2="78bb7e01-156a-49d7-b0d1-bf5de749bfa9" targetNamespace="http://schemas.microsoft.com/office/2006/metadata/properties" ma:root="true" ma:fieldsID="f76595fd75d1b75942e6fb3f72405d3b" ns2:_="">
    <xsd:import namespace="78bb7e01-156a-49d7-b0d1-bf5de749bf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bb7e01-156a-49d7-b0d1-bf5de749bf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42257-A5E9-48CF-B060-EFBF0F167E50}"/>
</file>

<file path=customXml/itemProps2.xml><?xml version="1.0" encoding="utf-8"?>
<ds:datastoreItem xmlns:ds="http://schemas.openxmlformats.org/officeDocument/2006/customXml" ds:itemID="{5CFF0377-3F16-4AD7-AD05-FD8B9D7ECE5D}"/>
</file>

<file path=customXml/itemProps3.xml><?xml version="1.0" encoding="utf-8"?>
<ds:datastoreItem xmlns:ds="http://schemas.openxmlformats.org/officeDocument/2006/customXml" ds:itemID="{BDB4C67A-F20C-4D9F-A68F-500687B443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2020-04-07T13:52:00Z</dcterms:created>
  <dcterms:modified xsi:type="dcterms:W3CDTF">2020-04-18T02:09:00Z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0x010100ECAD2FECAD0A484880450D78887CDE9B</vt:lpwstr>
  </property>
</Properties>
</file>