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0B3559"/>
          <w:sz w:val="64"/>
          <w:szCs w:val="64"/>
        </w:rPr>
        <w:t xml:space="preserve">甲丁智能体</w:t>
      </w:r>
    </w:p>
    <w:p>
      <w:pPr>
        <w:spacing w:after="500"/>
        <w:jc w:val="center"/>
      </w:pPr>
      <w:r>
        <w:rPr>
          <w:b/>
          <w:bCs/>
          <w:color w:val="0E7C86"/>
          <w:sz w:val="40"/>
          <w:szCs w:val="40"/>
        </w:rPr>
        <w:t xml:space="preserve">（一期）技术架构与项目设计方案</w:t>
      </w:r>
    </w:p>
    <w:p>
      <w:pPr>
        <w:spacing w:after="80"/>
        <w:jc w:val="center"/>
      </w:pPr>
      <w:r>
        <w:rPr>
          <w:color w:val="4A5A6A"/>
          <w:sz w:val="24"/>
          <w:szCs w:val="24"/>
        </w:rPr>
        <w:t xml:space="preserve">医疗器械行业人员生产协同智能体</w:t>
      </w:r>
    </w:p>
    <w:p>
      <w:pPr>
        <w:spacing w:after="1600"/>
        <w:jc w:val="center"/>
      </w:pPr>
      <w:r>
        <w:rPr>
          <w:color w:val="4A5A6A"/>
          <w:sz w:val="22"/>
          <w:szCs w:val="22"/>
        </w:rPr>
        <w:t xml:space="preserve">车间主管 / 班组长生产人员协同场景 · 一期建设</w:t>
      </w:r>
    </w:p>
    <w:p>
      <w:pPr>
        <w:spacing w:after="40"/>
        <w:jc w:val="center"/>
      </w:pPr>
      <w:r>
        <w:rPr>
          <w:color w:val="1F2D3D"/>
          <w:sz w:val="21"/>
          <w:szCs w:val="21"/>
        </w:rPr>
        <w:t xml:space="preserve">编制单位：智能制造部 AI专项项目组</w:t>
      </w:r>
    </w:p>
    <w:p>
      <w:pPr>
        <w:spacing w:after="40"/>
        <w:jc w:val="center"/>
      </w:pPr>
      <w:r>
        <w:rPr>
          <w:color w:val="1F2D3D"/>
          <w:sz w:val="21"/>
          <w:szCs w:val="21"/>
        </w:rPr>
        <w:t xml:space="preserve">适用范围：脉通智造科技（集团）有限公司</w:t>
      </w:r>
    </w:p>
    <w:p>
      <w:pPr>
        <w:spacing w:after="40"/>
        <w:jc w:val="center"/>
      </w:pPr>
      <w:r>
        <w:rPr>
          <w:color w:val="1F2D3D"/>
          <w:sz w:val="21"/>
          <w:szCs w:val="21"/>
        </w:rPr>
        <w:t xml:space="preserve">文档版本：V1.2</w:t>
      </w:r>
    </w:p>
    <w:p>
      <w:pPr>
        <w:spacing w:after="40"/>
        <w:jc w:val="center"/>
      </w:pPr>
      <w:r>
        <w:rPr>
          <w:color w:val="1F2D3D"/>
          <w:sz w:val="21"/>
          <w:szCs w:val="21"/>
        </w:rPr>
        <w:t xml:space="preserve">日期：2026年9月</w:t>
      </w:r>
    </w:p>
    <w:p>
      <w:r>
        <w:br w:type="page"/>
      </w:r>
    </w:p>
    <w:p>
      <w:pPr>
        <w:pStyle w:val="Heading1"/>
        <w:pBdr>
          <w:bottom w:val="single" w:color="0E7C86" w:sz="6" w:space="4"/>
        </w:pBdr>
        <w:spacing w:after="200" w:before="400"/>
      </w:pPr>
      <w:r>
        <w:rPr>
          <w:b/>
          <w:bCs/>
          <w:color w:val="0B3559"/>
          <w:sz w:val="30"/>
          <w:szCs w:val="30"/>
        </w:rPr>
        <w:t xml:space="preserve">修订记录</w:t>
      </w:r>
    </w:p>
    <w:tbl>
      <w:tblPr>
        <w:tblW w:type="dxa" w:w="9026"/>
        <w:tblBorders>
          <w:top w:val="single" w:color="C9D2D8" w:sz="4"/>
          <w:left w:val="single" w:color="C9D2D8" w:sz="4"/>
          <w:bottom w:val="single" w:color="C9D2D8" w:sz="4"/>
          <w:right w:val="single" w:color="C9D2D8" w:sz="4"/>
          <w:insideH w:val="single" w:color="C9D2D8" w:sz="4"/>
          <w:insideV w:val="single" w:color="C9D2D8" w:sz="4"/>
        </w:tblBorders>
      </w:tblPr>
      <w:tblGrid>
        <w:gridCol w:w="1400"/>
        <w:gridCol w:w="1800"/>
        <w:gridCol w:w="5826"/>
      </w:tblGrid>
      <w:tr>
        <w:trPr>
          <w:tblHeader/>
        </w:trPr>
        <w:tc>
          <w:tcPr>
            <w:tcW w:type="dxa" w:w="1400"/>
            <w:shd w:fill="0B3559" w:val="clear"/>
            <w:tcMar>
              <w:top w:type="dxa" w:w="80"/>
              <w:left w:type="dxa" w:w="100"/>
              <w:bottom w:type="dxa" w:w="80"/>
              <w:right w:type="dxa" w:w="100"/>
            </w:tcMar>
            <w:vAlign w:val="center"/>
          </w:tcPr>
          <w:p>
            <w:pPr>
              <w:spacing w:after="0"/>
            </w:pPr>
            <w:r>
              <w:rPr>
                <w:b/>
                <w:bCs/>
                <w:color w:val="FFFFFF"/>
                <w:sz w:val="20"/>
                <w:szCs w:val="20"/>
              </w:rPr>
              <w:t xml:space="preserve">版本</w:t>
            </w:r>
          </w:p>
        </w:tc>
        <w:tc>
          <w:tcPr>
            <w:tcW w:type="dxa" w:w="1800"/>
            <w:shd w:fill="0B3559" w:val="clear"/>
            <w:tcMar>
              <w:top w:type="dxa" w:w="80"/>
              <w:left w:type="dxa" w:w="100"/>
              <w:bottom w:type="dxa" w:w="80"/>
              <w:right w:type="dxa" w:w="100"/>
            </w:tcMar>
            <w:vAlign w:val="center"/>
          </w:tcPr>
          <w:p>
            <w:pPr>
              <w:spacing w:after="0"/>
            </w:pPr>
            <w:r>
              <w:rPr>
                <w:b/>
                <w:bCs/>
                <w:color w:val="FFFFFF"/>
                <w:sz w:val="20"/>
                <w:szCs w:val="20"/>
              </w:rPr>
              <w:t xml:space="preserve">日期</w:t>
            </w:r>
          </w:p>
        </w:tc>
        <w:tc>
          <w:tcPr>
            <w:tcW w:type="dxa" w:w="5826"/>
            <w:shd w:fill="0B3559" w:val="clear"/>
            <w:tcMar>
              <w:top w:type="dxa" w:w="80"/>
              <w:left w:type="dxa" w:w="100"/>
              <w:bottom w:type="dxa" w:w="80"/>
              <w:right w:type="dxa" w:w="100"/>
            </w:tcMar>
            <w:vAlign w:val="center"/>
          </w:tcPr>
          <w:p>
            <w:pPr>
              <w:spacing w:after="0"/>
            </w:pPr>
            <w:r>
              <w:rPr>
                <w:b/>
                <w:bCs/>
                <w:color w:val="FFFFFF"/>
                <w:sz w:val="20"/>
                <w:szCs w:val="20"/>
              </w:rPr>
              <w:t xml:space="preserve">修订内容</w:t>
            </w:r>
          </w:p>
        </w:tc>
      </w:tr>
      <w:tr>
        <w:tc>
          <w:tcPr>
            <w:tcW w:type="dxa" w:w="1400"/>
            <w:tcMar>
              <w:top w:type="dxa" w:w="80"/>
              <w:left w:type="dxa" w:w="100"/>
              <w:bottom w:type="dxa" w:w="80"/>
              <w:right w:type="dxa" w:w="100"/>
            </w:tcMar>
            <w:vAlign w:val="center"/>
          </w:tcPr>
          <w:p>
            <w:pPr>
              <w:spacing w:after="0"/>
            </w:pPr>
            <w:r>
              <w:rPr>
                <w:b w:val="false"/>
                <w:bCs w:val="false"/>
                <w:color w:val="1F2D3D"/>
                <w:sz w:val="20"/>
                <w:szCs w:val="20"/>
              </w:rPr>
              <w:t xml:space="preserve">V1.0</w:t>
            </w:r>
          </w:p>
        </w:tc>
        <w:tc>
          <w:tcPr>
            <w:tcW w:type="dxa" w:w="1800"/>
            <w:tcMar>
              <w:top w:type="dxa" w:w="80"/>
              <w:left w:type="dxa" w:w="100"/>
              <w:bottom w:type="dxa" w:w="80"/>
              <w:right w:type="dxa" w:w="100"/>
            </w:tcMar>
            <w:vAlign w:val="center"/>
          </w:tcPr>
          <w:p>
            <w:pPr>
              <w:spacing w:after="0"/>
            </w:pPr>
            <w:r>
              <w:rPr>
                <w:b w:val="false"/>
                <w:bCs w:val="false"/>
                <w:color w:val="1F2D3D"/>
                <w:sz w:val="20"/>
                <w:szCs w:val="20"/>
              </w:rPr>
              <w:t xml:space="preserve">2026年8月</w:t>
            </w:r>
          </w:p>
        </w:tc>
        <w:tc>
          <w:tcPr>
            <w:tcW w:type="dxa" w:w="5826"/>
            <w:tcMar>
              <w:top w:type="dxa" w:w="80"/>
              <w:left w:type="dxa" w:w="100"/>
              <w:bottom w:type="dxa" w:w="80"/>
              <w:right w:type="dxa" w:w="100"/>
            </w:tcMar>
            <w:vAlign w:val="center"/>
          </w:tcPr>
          <w:p>
            <w:pPr>
              <w:spacing w:after="0"/>
            </w:pPr>
            <w:r>
              <w:rPr>
                <w:b w:val="false"/>
                <w:bCs w:val="false"/>
                <w:color w:val="1F2D3D"/>
                <w:sz w:val="20"/>
                <w:szCs w:val="20"/>
              </w:rPr>
              <w:t xml:space="preserve">初版：完成一期总体架构、数据架构、业务流程、模型编排、角色权限、部署与实施计划设计</w:t>
            </w:r>
          </w:p>
        </w:tc>
      </w:tr>
      <w:tr>
        <w:tc>
          <w:tcPr>
            <w:tcW w:type="dxa" w:w="14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V1.1</w:t>
            </w:r>
          </w:p>
        </w:tc>
        <w:tc>
          <w:tcPr>
            <w:tcW w:type="dxa" w:w="18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2026年9月</w:t>
            </w:r>
          </w:p>
        </w:tc>
        <w:tc>
          <w:tcPr>
            <w:tcW w:type="dxa" w:w="5826"/>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根据评审意见修订：①钉钉推送能力更正为独立的 dingtalk-service 服务，非APHR；②排班/请假/考勤信息统一由APHR完成，甲丁智能体改为接口获取，不再自行做Excel导入；③本地算力底座更正为一台ThinkPad PGX设备，不涉及“脉·智能工作台”平台资源；④新增登录与身份识别设计（区分生产人员/普通员工界面，SSO列入二期规划）；⑤新增管理后台独立入口设计（订单/排班/加班等主数据维护与前台大屏分离）</w:t>
            </w:r>
          </w:p>
        </w:tc>
      </w:tr>
      <w:tr>
        <w:tc>
          <w:tcPr>
            <w:tcW w:type="dxa" w:w="1400"/>
            <w:tcMar>
              <w:top w:type="dxa" w:w="80"/>
              <w:left w:type="dxa" w:w="100"/>
              <w:bottom w:type="dxa" w:w="80"/>
              <w:right w:type="dxa" w:w="100"/>
            </w:tcMar>
            <w:vAlign w:val="center"/>
          </w:tcPr>
          <w:p>
            <w:pPr>
              <w:spacing w:after="0"/>
            </w:pPr>
            <w:r>
              <w:rPr>
                <w:b w:val="false"/>
                <w:bCs w:val="false"/>
                <w:color w:val="1F2D3D"/>
                <w:sz w:val="20"/>
                <w:szCs w:val="20"/>
              </w:rPr>
              <w:t xml:space="preserve">V1.2</w:t>
            </w:r>
          </w:p>
        </w:tc>
        <w:tc>
          <w:tcPr>
            <w:tcW w:type="dxa" w:w="1800"/>
            <w:tcMar>
              <w:top w:type="dxa" w:w="80"/>
              <w:left w:type="dxa" w:w="100"/>
              <w:bottom w:type="dxa" w:w="80"/>
              <w:right w:type="dxa" w:w="100"/>
            </w:tcMar>
            <w:vAlign w:val="center"/>
          </w:tcPr>
          <w:p>
            <w:pPr>
              <w:spacing w:after="0"/>
            </w:pPr>
            <w:r>
              <w:rPr>
                <w:b w:val="false"/>
                <w:bCs w:val="false"/>
                <w:color w:val="1F2D3D"/>
                <w:sz w:val="20"/>
                <w:szCs w:val="20"/>
              </w:rPr>
              <w:t xml:space="preserve">2026年9月</w:t>
            </w:r>
          </w:p>
        </w:tc>
        <w:tc>
          <w:tcPr>
            <w:tcW w:type="dxa" w:w="5826"/>
            <w:tcMar>
              <w:top w:type="dxa" w:w="80"/>
              <w:left w:type="dxa" w:w="100"/>
              <w:bottom w:type="dxa" w:w="80"/>
              <w:right w:type="dxa" w:w="100"/>
            </w:tcMar>
            <w:vAlign w:val="center"/>
          </w:tcPr>
          <w:p>
            <w:pPr>
              <w:spacing w:after="0"/>
            </w:pPr>
            <w:r>
              <w:rPr>
                <w:b w:val="false"/>
                <w:bCs w:val="false"/>
                <w:color w:val="1F2D3D"/>
                <w:sz w:val="20"/>
                <w:szCs w:val="20"/>
              </w:rPr>
              <w:t xml:space="preserve">根据评审意见修订：①一线员工日评分明确为“甲丁智能体提供入口、APHR完成存储与管理”，评分结果写入APHR绩效体系；②加班申请审批流程明确为在甲丁智能体内完成报表查看、提交、审批全流程，审批通过后结果同步回写第三方加班审批系统与APHR对应记录；③新增4.4数据回写方案一节，并同步更新APHR只读原则为“以读取为主、日评分与加班记录需写入”</w:t>
            </w:r>
          </w:p>
        </w:tc>
      </w:tr>
    </w:tbl>
    <w:p>
      <w:r>
        <w:br w:type="page"/>
      </w:r>
    </w:p>
    <w:p>
      <w:pPr>
        <w:pStyle w:val="Heading1"/>
        <w:pBdr>
          <w:bottom w:val="single" w:color="0E7C86" w:sz="6" w:space="4"/>
        </w:pBdr>
        <w:spacing w:after="200" w:before="400"/>
      </w:pPr>
      <w:r>
        <w:rPr>
          <w:b/>
          <w:bCs/>
          <w:color w:val="0B3559"/>
          <w:sz w:val="30"/>
          <w:szCs w:val="30"/>
        </w:rPr>
        <w:t xml:space="preserve">一、项目背景与目标</w:t>
      </w:r>
    </w:p>
    <w:p>
      <w:pPr>
        <w:pStyle w:val="Heading2"/>
        <w:spacing w:after="140" w:before="280"/>
      </w:pPr>
      <w:r>
        <w:rPr>
          <w:b/>
          <w:bCs/>
          <w:color w:val="0E7C86"/>
          <w:sz w:val="25"/>
          <w:szCs w:val="25"/>
        </w:rPr>
        <w:t xml:space="preserve">1.1 项目背景</w:t>
      </w:r>
    </w:p>
    <w:p>
      <w:pPr>
        <w:spacing w:after="160" w:line="320"/>
      </w:pPr>
      <w:r>
        <w:rPr>
          <w:color w:val="1F2D3D"/>
          <w:sz w:val="21"/>
          <w:szCs w:val="21"/>
        </w:rPr>
        <w:t xml:space="preserve">甲丁智能体是面向医疗器械制造场景的人员/生产协同智能体，目标是把“订单—人岗匹配—生产任务推荐”这一高频、强规则的车间管理动作，从人工经验驱动升级为数据与AI辅助驱动，并逐步承接加班、员工评价、生产数据记录等一线管理事务。</w:t>
      </w:r>
    </w:p>
    <w:p>
      <w:pPr>
        <w:spacing w:after="160" w:line="320"/>
      </w:pPr>
      <w:r>
        <w:rPr>
          <w:color w:val="1F2D3D"/>
          <w:sz w:val="21"/>
          <w:szCs w:val="21"/>
        </w:rPr>
        <w:t xml:space="preserve">项目建设在现有IT与AI基础设施之上展开，避免另起炉灶：本地Docker部署的 vLLM 双模型（Qwen2.5-14B-AWQ、Gemma-31B-AWQ，部署于ThinkPad PGX设备）与 Dify 已投入使用；APHR（AccuPath人力资源系统）已沉淀员工基础信息、岗位技能标签、组织架构，以及排班/请假/考勤数据；独立部署的 dingtalk-service 钉钉推送服务已经建成，可直接复用。</w:t>
      </w:r>
    </w:p>
    <w:p>
      <w:pPr>
        <w:pStyle w:val="Heading2"/>
        <w:spacing w:after="140" w:before="280"/>
      </w:pPr>
      <w:r>
        <w:rPr>
          <w:b/>
          <w:bCs/>
          <w:color w:val="0E7C86"/>
          <w:sz w:val="25"/>
          <w:szCs w:val="25"/>
        </w:rPr>
        <w:t xml:space="preserve">1.2 一期建设目标</w:t>
      </w:r>
    </w:p>
    <w:p>
      <w:pPr>
        <w:spacing w:after="160" w:line="320"/>
      </w:pPr>
      <w:r>
        <w:rPr>
          <w:color w:val="1F2D3D"/>
          <w:sz w:val="21"/>
          <w:szCs w:val="21"/>
        </w:rPr>
        <w:t xml:space="preserve">一期聚焦车间主管与班组长两类角色，核心目标是让“订单来了该派谁干活”这件事从主管凭经验判断，变成系统基于岗位技能、排班状态、合规约束自动推荐、人工确认。围绕这一核心场景，一期需要交付以下能力：</w:t>
      </w:r>
    </w:p>
    <w:p>
      <w:pPr>
        <w:pStyle w:val="ListParagraph"/>
        <w:numPr>
          <w:ilvl w:val="0"/>
          <w:numId w:val="2"/>
        </w:numPr>
        <w:spacing w:after="80" w:line="300"/>
      </w:pPr>
      <w:r>
        <w:rPr>
          <w:color w:val="1F2D3D"/>
          <w:sz w:val="21"/>
          <w:szCs w:val="21"/>
        </w:rPr>
        <w:t xml:space="preserve">订单—人岗智能匹配推荐：依据预设的员工岗位技能画像，结合订单需求，向班组长/主管推荐可用人员，辅助生产任务排产；</w:t>
      </w:r>
    </w:p>
    <w:p>
      <w:pPr>
        <w:pStyle w:val="ListParagraph"/>
        <w:numPr>
          <w:ilvl w:val="0"/>
          <w:numId w:val="2"/>
        </w:numPr>
        <w:spacing w:after="80" w:line="300"/>
      </w:pPr>
      <w:r>
        <w:rPr>
          <w:color w:val="1F2D3D"/>
          <w:sz w:val="21"/>
          <w:szCs w:val="21"/>
        </w:rPr>
        <w:t xml:space="preserve">员工排班、请假、考勤信息看板：数据统一在APHR完成记录与维护，甲丁智能体通过接口从APHR获取展示所需数据，不在自身系统内重复实现考勤处理逻辑；</w:t>
      </w:r>
    </w:p>
    <w:p>
      <w:pPr>
        <w:pStyle w:val="ListParagraph"/>
        <w:numPr>
          <w:ilvl w:val="0"/>
          <w:numId w:val="2"/>
        </w:numPr>
        <w:spacing w:after="80" w:line="300"/>
      </w:pPr>
      <w:r>
        <w:rPr>
          <w:color w:val="1F2D3D"/>
          <w:sz w:val="21"/>
          <w:szCs w:val="21"/>
        </w:rPr>
        <w:t xml:space="preserve">加班申请审批流程：按规则向第三方系统提交加班申请（第三方接口开发需要一定周期，一期先打通内部流转，接口就绪后再对接）；</w:t>
      </w:r>
    </w:p>
    <w:p>
      <w:pPr>
        <w:pStyle w:val="ListParagraph"/>
        <w:numPr>
          <w:ilvl w:val="0"/>
          <w:numId w:val="2"/>
        </w:numPr>
        <w:spacing w:after="80" w:line="300"/>
      </w:pPr>
      <w:r>
        <w:rPr>
          <w:color w:val="1F2D3D"/>
          <w:sz w:val="21"/>
          <w:szCs w:val="21"/>
        </w:rPr>
        <w:t xml:space="preserve">一线员工日评分：由班组长对一线员工进行每日评分（主观评分+特殊情况备注）；</w:t>
      </w:r>
    </w:p>
    <w:p>
      <w:pPr>
        <w:pStyle w:val="ListParagraph"/>
        <w:numPr>
          <w:ilvl w:val="0"/>
          <w:numId w:val="2"/>
        </w:numPr>
        <w:spacing w:after="80" w:line="300"/>
      </w:pPr>
      <w:r>
        <w:rPr>
          <w:color w:val="1F2D3D"/>
          <w:sz w:val="21"/>
          <w:szCs w:val="21"/>
        </w:rPr>
        <w:t xml:space="preserve">生产数据记录：记录合格率、不良品数量及不良类型，来源为手工填报，后续切换为SAP底表定时同步；</w:t>
      </w:r>
    </w:p>
    <w:p>
      <w:pPr>
        <w:pStyle w:val="ListParagraph"/>
        <w:numPr>
          <w:ilvl w:val="0"/>
          <w:numId w:val="2"/>
        </w:numPr>
        <w:spacing w:after="80" w:line="300"/>
      </w:pPr>
      <w:r>
        <w:rPr>
          <w:color w:val="1F2D3D"/>
          <w:sz w:val="21"/>
          <w:szCs w:val="21"/>
        </w:rPr>
        <w:t xml:space="preserve">面向班组长/主管的数字化大屏与独立的管理后台：大屏承担科技感与医疗行业调性兼具的展示与推送职责，管理后台承担订单、排班、加班等主数据的维护职责，两者入口分离；同时需要按生产人员/普通员工区分登录后的界面。</w:t>
      </w:r>
    </w:p>
    <w:p>
      <w:pPr>
        <w:pStyle w:val="Heading2"/>
        <w:spacing w:after="140" w:before="280"/>
      </w:pPr>
      <w:r>
        <w:rPr>
          <w:b/>
          <w:bCs/>
          <w:color w:val="0E7C86"/>
          <w:sz w:val="25"/>
          <w:szCs w:val="25"/>
        </w:rPr>
        <w:t xml:space="preserve">1.3 远期演进方向</w:t>
      </w:r>
    </w:p>
    <w:p>
      <w:pPr>
        <w:spacing w:after="160" w:line="320"/>
      </w:pPr>
      <w:r>
        <w:rPr>
          <w:color w:val="1F2D3D"/>
          <w:sz w:val="21"/>
          <w:szCs w:val="21"/>
        </w:rPr>
        <w:t xml:space="preserve">一期验证“数据可用、流程可跑通”之后，甲丁智能体将逐步扩展为全员级企业人力资源智能体：面向更多角色开放自然语言统计问答能力（例如“本科以上学历有多少人”可直接返回数据和图表），并随着加班审批、SAP等接口陆续打通，逐步减少人工录入环节，登录方式也将从一期的过渡方案切换为企业统一SSO。本方案在架构设计上为这一演进路径预留了扩展点，详见第十一章。</w:t>
      </w:r>
    </w:p>
    <w:p>
      <w:pPr>
        <w:pStyle w:val="Heading1"/>
        <w:pBdr>
          <w:bottom w:val="single" w:color="0E7C86" w:sz="6" w:space="4"/>
        </w:pBdr>
        <w:spacing w:after="200" w:before="400"/>
      </w:pPr>
      <w:r>
        <w:rPr>
          <w:b/>
          <w:bCs/>
          <w:color w:val="0B3559"/>
          <w:sz w:val="30"/>
          <w:szCs w:val="30"/>
        </w:rPr>
        <w:t xml:space="preserve">二、总体架构设计</w:t>
      </w:r>
    </w:p>
    <w:p>
      <w:pPr>
        <w:pStyle w:val="Heading2"/>
        <w:spacing w:after="140" w:before="280"/>
      </w:pPr>
      <w:r>
        <w:rPr>
          <w:b/>
          <w:bCs/>
          <w:color w:val="0E7C86"/>
          <w:sz w:val="25"/>
          <w:szCs w:val="25"/>
        </w:rPr>
        <w:t xml:space="preserve">2.1 分层架构总览</w:t>
      </w:r>
    </w:p>
    <w:p>
      <w:pPr>
        <w:spacing w:after="160" w:line="320"/>
      </w:pPr>
      <w:r>
        <w:rPr>
          <w:color w:val="1F2D3D"/>
          <w:sz w:val="21"/>
          <w:szCs w:val="21"/>
        </w:rPr>
        <w:t xml:space="preserve">甲丁智能体采用五层架构：数据接入与存储层、模型服务层、智能体编排层、业务服务层、展示与推送层。分层的核心考虑是把“确定性强、强合规要求”的人岗匹配与审批逻辑，和“语义理解、自然语言交互”的大模型能力解耦——前者由规则引擎/自研后端承担，后者由大模型承担，两者通过编排层协同，而不是把生产排班这类强规则决策直接交给大模型输出。</w:t>
      </w:r>
    </w:p>
    <w:p>
      <w:pPr>
        <w:pStyle w:val="Heading2"/>
        <w:spacing w:after="140" w:before="280"/>
      </w:pPr>
      <w:r>
        <w:rPr>
          <w:b/>
          <w:bCs/>
          <w:color w:val="0E7C86"/>
          <w:sz w:val="25"/>
          <w:szCs w:val="25"/>
        </w:rPr>
        <w:t xml:space="preserve">2.2 各层职责说明</w:t>
      </w:r>
    </w:p>
    <w:tbl>
      <w:tblPr>
        <w:tblW w:type="dxa" w:w="9026"/>
        <w:tblBorders>
          <w:top w:val="single" w:color="C9D2D8" w:sz="4"/>
          <w:left w:val="single" w:color="C9D2D8" w:sz="4"/>
          <w:bottom w:val="single" w:color="C9D2D8" w:sz="4"/>
          <w:right w:val="single" w:color="C9D2D8" w:sz="4"/>
          <w:insideH w:val="single" w:color="C9D2D8" w:sz="4"/>
          <w:insideV w:val="single" w:color="C9D2D8" w:sz="4"/>
        </w:tblBorders>
      </w:tblPr>
      <w:tblGrid>
        <w:gridCol w:w="1800"/>
        <w:gridCol w:w="3800"/>
        <w:gridCol w:w="3426"/>
      </w:tblGrid>
      <w:tr>
        <w:trPr>
          <w:tblHeader/>
        </w:trPr>
        <w:tc>
          <w:tcPr>
            <w:tcW w:type="dxa" w:w="1800"/>
            <w:shd w:fill="0B3559" w:val="clear"/>
            <w:tcMar>
              <w:top w:type="dxa" w:w="80"/>
              <w:left w:type="dxa" w:w="100"/>
              <w:bottom w:type="dxa" w:w="80"/>
              <w:right w:type="dxa" w:w="100"/>
            </w:tcMar>
            <w:vAlign w:val="center"/>
          </w:tcPr>
          <w:p>
            <w:pPr>
              <w:spacing w:after="0"/>
            </w:pPr>
            <w:r>
              <w:rPr>
                <w:b/>
                <w:bCs/>
                <w:color w:val="FFFFFF"/>
                <w:sz w:val="20"/>
                <w:szCs w:val="20"/>
              </w:rPr>
              <w:t xml:space="preserve">分层</w:t>
            </w:r>
          </w:p>
        </w:tc>
        <w:tc>
          <w:tcPr>
            <w:tcW w:type="dxa" w:w="3800"/>
            <w:shd w:fill="0B3559" w:val="clear"/>
            <w:tcMar>
              <w:top w:type="dxa" w:w="80"/>
              <w:left w:type="dxa" w:w="100"/>
              <w:bottom w:type="dxa" w:w="80"/>
              <w:right w:type="dxa" w:w="100"/>
            </w:tcMar>
            <w:vAlign w:val="center"/>
          </w:tcPr>
          <w:p>
            <w:pPr>
              <w:spacing w:after="0"/>
            </w:pPr>
            <w:r>
              <w:rPr>
                <w:b/>
                <w:bCs/>
                <w:color w:val="FFFFFF"/>
                <w:sz w:val="20"/>
                <w:szCs w:val="20"/>
              </w:rPr>
              <w:t xml:space="preserve">职责</w:t>
            </w:r>
          </w:p>
        </w:tc>
        <w:tc>
          <w:tcPr>
            <w:tcW w:type="dxa" w:w="3426"/>
            <w:shd w:fill="0B3559" w:val="clear"/>
            <w:tcMar>
              <w:top w:type="dxa" w:w="80"/>
              <w:left w:type="dxa" w:w="100"/>
              <w:bottom w:type="dxa" w:w="80"/>
              <w:right w:type="dxa" w:w="100"/>
            </w:tcMar>
            <w:vAlign w:val="center"/>
          </w:tcPr>
          <w:p>
            <w:pPr>
              <w:spacing w:after="0"/>
            </w:pPr>
            <w:r>
              <w:rPr>
                <w:b/>
                <w:bCs/>
                <w:color w:val="FFFFFF"/>
                <w:sz w:val="20"/>
                <w:szCs w:val="20"/>
              </w:rPr>
              <w:t xml:space="preserve">关键组件</w:t>
            </w:r>
          </w:p>
        </w:tc>
      </w:tr>
      <w:tr>
        <w:tc>
          <w:tcPr>
            <w:tcW w:type="dxa" w:w="1800"/>
            <w:tcMar>
              <w:top w:type="dxa" w:w="80"/>
              <w:left w:type="dxa" w:w="100"/>
              <w:bottom w:type="dxa" w:w="80"/>
              <w:right w:type="dxa" w:w="100"/>
            </w:tcMar>
            <w:vAlign w:val="center"/>
          </w:tcPr>
          <w:p>
            <w:pPr>
              <w:spacing w:after="0"/>
            </w:pPr>
            <w:r>
              <w:rPr>
                <w:b w:val="false"/>
                <w:bCs w:val="false"/>
                <w:color w:val="1F2D3D"/>
                <w:sz w:val="20"/>
                <w:szCs w:val="20"/>
              </w:rPr>
              <w:t xml:space="preserve">数据接入与存储层</w:t>
            </w:r>
          </w:p>
        </w:tc>
        <w:tc>
          <w:tcPr>
            <w:tcW w:type="dxa" w:w="3800"/>
            <w:tcMar>
              <w:top w:type="dxa" w:w="80"/>
              <w:left w:type="dxa" w:w="100"/>
              <w:bottom w:type="dxa" w:w="80"/>
              <w:right w:type="dxa" w:w="100"/>
            </w:tcMar>
            <w:vAlign w:val="center"/>
          </w:tcPr>
          <w:p>
            <w:pPr>
              <w:spacing w:after="0"/>
            </w:pPr>
            <w:r>
              <w:rPr>
                <w:b w:val="false"/>
                <w:bCs w:val="false"/>
                <w:color w:val="1F2D3D"/>
                <w:sz w:val="20"/>
                <w:szCs w:val="20"/>
              </w:rPr>
              <w:t xml:space="preserve">汇聚各数据源，承载甲丁智能体自有业务数据</w:t>
            </w:r>
          </w:p>
        </w:tc>
        <w:tc>
          <w:tcPr>
            <w:tcW w:type="dxa" w:w="3426"/>
            <w:tcMar>
              <w:top w:type="dxa" w:w="80"/>
              <w:left w:type="dxa" w:w="100"/>
              <w:bottom w:type="dxa" w:w="80"/>
              <w:right w:type="dxa" w:w="100"/>
            </w:tcMar>
            <w:vAlign w:val="center"/>
          </w:tcPr>
          <w:p>
            <w:pPr>
              <w:spacing w:after="0"/>
            </w:pPr>
            <w:r>
              <w:rPr>
                <w:b w:val="false"/>
                <w:bCs w:val="false"/>
                <w:color w:val="1F2D3D"/>
                <w:sz w:val="20"/>
                <w:szCs w:val="20"/>
              </w:rPr>
              <w:t xml:space="preserve">自有MySQL库、APHR接口（人事/技能/组织/排班/请假/考勤）、dingtalk-service、SAP同步（二期）、第三方加班审批API（二期）</w:t>
            </w:r>
          </w:p>
        </w:tc>
      </w:tr>
      <w:tr>
        <w:tc>
          <w:tcPr>
            <w:tcW w:type="dxa" w:w="18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模型服务层</w:t>
            </w:r>
          </w:p>
        </w:tc>
        <w:tc>
          <w:tcPr>
            <w:tcW w:type="dxa" w:w="38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本地化模型推理能力，供上层按需调用</w:t>
            </w:r>
          </w:p>
        </w:tc>
        <w:tc>
          <w:tcPr>
            <w:tcW w:type="dxa" w:w="3426"/>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Docker vLLM（部署于ThinkPad PGX）：Qwen2.5-14B-AWQ / Gemma-31B-AWQ</w:t>
            </w:r>
          </w:p>
        </w:tc>
      </w:tr>
      <w:tr>
        <w:tc>
          <w:tcPr>
            <w:tcW w:type="dxa" w:w="1800"/>
            <w:tcMar>
              <w:top w:type="dxa" w:w="80"/>
              <w:left w:type="dxa" w:w="100"/>
              <w:bottom w:type="dxa" w:w="80"/>
              <w:right w:type="dxa" w:w="100"/>
            </w:tcMar>
            <w:vAlign w:val="center"/>
          </w:tcPr>
          <w:p>
            <w:pPr>
              <w:spacing w:after="0"/>
            </w:pPr>
            <w:r>
              <w:rPr>
                <w:b w:val="false"/>
                <w:bCs w:val="false"/>
                <w:color w:val="1F2D3D"/>
                <w:sz w:val="20"/>
                <w:szCs w:val="20"/>
              </w:rPr>
              <w:t xml:space="preserve">智能体编排层</w:t>
            </w:r>
          </w:p>
        </w:tc>
        <w:tc>
          <w:tcPr>
            <w:tcW w:type="dxa" w:w="3800"/>
            <w:tcMar>
              <w:top w:type="dxa" w:w="80"/>
              <w:left w:type="dxa" w:w="100"/>
              <w:bottom w:type="dxa" w:w="80"/>
              <w:right w:type="dxa" w:w="100"/>
            </w:tcMar>
            <w:vAlign w:val="center"/>
          </w:tcPr>
          <w:p>
            <w:pPr>
              <w:spacing w:after="0"/>
            </w:pPr>
            <w:r>
              <w:rPr>
                <w:b w:val="false"/>
                <w:bCs w:val="false"/>
                <w:color w:val="1F2D3D"/>
                <w:sz w:val="20"/>
                <w:szCs w:val="20"/>
              </w:rPr>
              <w:t xml:space="preserve">承接核心业务规则与模型调用编排</w:t>
            </w:r>
          </w:p>
        </w:tc>
        <w:tc>
          <w:tcPr>
            <w:tcW w:type="dxa" w:w="3426"/>
            <w:tcMar>
              <w:top w:type="dxa" w:w="80"/>
              <w:left w:type="dxa" w:w="100"/>
              <w:bottom w:type="dxa" w:w="80"/>
              <w:right w:type="dxa" w:w="100"/>
            </w:tcMar>
            <w:vAlign w:val="center"/>
          </w:tcPr>
          <w:p>
            <w:pPr>
              <w:spacing w:after="0"/>
            </w:pPr>
            <w:r>
              <w:rPr>
                <w:b w:val="false"/>
                <w:bCs w:val="false"/>
                <w:color w:val="1F2D3D"/>
                <w:sz w:val="20"/>
                <w:szCs w:val="20"/>
              </w:rPr>
              <w:t xml:space="preserve">自研FastAPI+规则引擎（核心匹配）、Dify工作流（轻量问答/催办）、模型路由、任务调度</w:t>
            </w:r>
          </w:p>
        </w:tc>
      </w:tr>
      <w:tr>
        <w:tc>
          <w:tcPr>
            <w:tcW w:type="dxa" w:w="18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业务服务层</w:t>
            </w:r>
          </w:p>
        </w:tc>
        <w:tc>
          <w:tcPr>
            <w:tcW w:type="dxa" w:w="38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对外暴露的功能服务</w:t>
            </w:r>
          </w:p>
        </w:tc>
        <w:tc>
          <w:tcPr>
            <w:tcW w:type="dxa" w:w="3426"/>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人岗匹配推荐、排班考勤看板、加班审批、日评分、生产数据、角色权限与登录身份</w:t>
            </w:r>
          </w:p>
        </w:tc>
      </w:tr>
      <w:tr>
        <w:tc>
          <w:tcPr>
            <w:tcW w:type="dxa" w:w="1800"/>
            <w:tcMar>
              <w:top w:type="dxa" w:w="80"/>
              <w:left w:type="dxa" w:w="100"/>
              <w:bottom w:type="dxa" w:w="80"/>
              <w:right w:type="dxa" w:w="100"/>
            </w:tcMar>
            <w:vAlign w:val="center"/>
          </w:tcPr>
          <w:p>
            <w:pPr>
              <w:spacing w:after="0"/>
            </w:pPr>
            <w:r>
              <w:rPr>
                <w:b w:val="false"/>
                <w:bCs w:val="false"/>
                <w:color w:val="1F2D3D"/>
                <w:sz w:val="20"/>
                <w:szCs w:val="20"/>
              </w:rPr>
              <w:t xml:space="preserve">展示与推送层</w:t>
            </w:r>
          </w:p>
        </w:tc>
        <w:tc>
          <w:tcPr>
            <w:tcW w:type="dxa" w:w="3800"/>
            <w:tcMar>
              <w:top w:type="dxa" w:w="80"/>
              <w:left w:type="dxa" w:w="100"/>
              <w:bottom w:type="dxa" w:w="80"/>
              <w:right w:type="dxa" w:w="100"/>
            </w:tcMar>
            <w:vAlign w:val="center"/>
          </w:tcPr>
          <w:p>
            <w:pPr>
              <w:spacing w:after="0"/>
            </w:pPr>
            <w:r>
              <w:rPr>
                <w:b w:val="false"/>
                <w:bCs w:val="false"/>
                <w:color w:val="1F2D3D"/>
                <w:sz w:val="20"/>
                <w:szCs w:val="20"/>
              </w:rPr>
              <w:t xml:space="preserve">面向用户的交互入口</w:t>
            </w:r>
          </w:p>
        </w:tc>
        <w:tc>
          <w:tcPr>
            <w:tcW w:type="dxa" w:w="3426"/>
            <w:tcMar>
              <w:top w:type="dxa" w:w="80"/>
              <w:left w:type="dxa" w:w="100"/>
              <w:bottom w:type="dxa" w:w="80"/>
              <w:right w:type="dxa" w:w="100"/>
            </w:tcMar>
            <w:vAlign w:val="center"/>
          </w:tcPr>
          <w:p>
            <w:pPr>
              <w:spacing w:after="0"/>
            </w:pPr>
            <w:r>
              <w:rPr>
                <w:b w:val="false"/>
                <w:bCs w:val="false"/>
                <w:color w:val="1F2D3D"/>
                <w:sz w:val="20"/>
                <w:szCs w:val="20"/>
              </w:rPr>
              <w:t xml:space="preserve">Web数字化大屏、管理后台（独立入口）、钉钉推送（dingtalk-service）、邮箱推送</w:t>
            </w:r>
          </w:p>
        </w:tc>
      </w:tr>
    </w:tbl>
    <w:p>
      <w:pPr>
        <w:spacing w:after="200"/>
      </w:pPr>
    </w:p>
    <w:p>
      <w:pPr>
        <w:pStyle w:val="Heading2"/>
        <w:spacing w:after="140" w:before="280"/>
      </w:pPr>
      <w:r>
        <w:rPr>
          <w:b/>
          <w:bCs/>
          <w:color w:val="0E7C86"/>
          <w:sz w:val="25"/>
          <w:szCs w:val="25"/>
        </w:rPr>
        <w:t xml:space="preserve">2.3 架构图</w:t>
      </w:r>
    </w:p>
    <w:p>
      <w:pPr>
        <w:spacing w:after="200" w:before="100"/>
        <w:jc w:val="center"/>
      </w:pPr>
      <w:r>
        <w:drawing>
          <wp:inline distT="0" distB="0" distL="0" distR="0">
            <wp:extent cx="55245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238625"/>
                    </a:xfrm>
                    <a:prstGeom prst="rect">
                      <a:avLst/>
                    </a:prstGeom>
                  </pic:spPr>
                </pic:pic>
              </a:graphicData>
            </a:graphic>
          </wp:inline>
        </w:drawing>
      </w:r>
    </w:p>
    <w:p>
      <w:pPr>
        <w:pStyle w:val="Heading2"/>
        <w:spacing w:after="140" w:before="280"/>
      </w:pPr>
      <w:r>
        <w:rPr>
          <w:b/>
          <w:bCs/>
          <w:color w:val="0E7C86"/>
          <w:sz w:val="25"/>
          <w:szCs w:val="25"/>
        </w:rPr>
        <w:t xml:space="preserve">2.4 设计原则</w:t>
      </w:r>
    </w:p>
    <w:p>
      <w:pPr>
        <w:pStyle w:val="ListParagraph"/>
        <w:numPr>
          <w:ilvl w:val="0"/>
          <w:numId w:val="3"/>
        </w:numPr>
        <w:spacing w:after="80" w:line="300"/>
      </w:pPr>
      <w:r>
        <w:rPr>
          <w:color w:val="1F2D3D"/>
          <w:sz w:val="21"/>
          <w:szCs w:val="21"/>
        </w:rPr>
        <w:t xml:space="preserve">规则优先，模型辅助：涉及人员排班、加班合规这类强规则、强可解释性要求的场景（医疗器械行业对生产记录可追溯性要求高），核心决策逻辑用规则引擎/约束求解实现，大模型负责生成解释文案、处理自然语言交互，不直接输出排班结果，避免幻觉风险；</w:t>
      </w:r>
    </w:p>
    <w:p>
      <w:pPr>
        <w:pStyle w:val="ListParagraph"/>
        <w:numPr>
          <w:ilvl w:val="0"/>
          <w:numId w:val="3"/>
        </w:numPr>
        <w:spacing w:after="80" w:line="300"/>
      </w:pPr>
      <w:r>
        <w:rPr>
          <w:color w:val="1F2D3D"/>
          <w:sz w:val="21"/>
          <w:szCs w:val="21"/>
        </w:rPr>
        <w:t xml:space="preserve">复用优先，避免重复建设：数据源优先复用APHR（人事、技能、组织架构、排班/请假/考勤，以只读为主），与已建成的dingtalk-service钉钉推送服务，模型服务复用本地已部署在ThinkPad PGX设备上的Docker vLLM能力；员工日评分、加班记录等归属人事档案范畴的数据最终归档到APHR，甲丁智能体不重复保存，避免同一类数据出现两个权威来源；</w:t>
      </w:r>
    </w:p>
    <w:p>
      <w:pPr>
        <w:pStyle w:val="ListParagraph"/>
        <w:numPr>
          <w:ilvl w:val="0"/>
          <w:numId w:val="3"/>
        </w:numPr>
        <w:spacing w:after="80" w:line="300"/>
      </w:pPr>
      <w:r>
        <w:rPr>
          <w:color w:val="1F2D3D"/>
          <w:sz w:val="21"/>
          <w:szCs w:val="21"/>
        </w:rPr>
        <w:t xml:space="preserve">接口预留，渐进式对接：加班审批、SAP等外部系统当前多为人工/半自动方式接入，架构上按“手工录入/流转—API对接”两个成熟度预留统一的数据接入层，后续切换不影响上层业务逻辑；</w:t>
      </w:r>
    </w:p>
    <w:p>
      <w:pPr>
        <w:pStyle w:val="ListParagraph"/>
        <w:numPr>
          <w:ilvl w:val="0"/>
          <w:numId w:val="3"/>
        </w:numPr>
        <w:spacing w:after="80" w:line="300"/>
      </w:pPr>
      <w:r>
        <w:rPr>
          <w:color w:val="1F2D3D"/>
          <w:sz w:val="21"/>
          <w:szCs w:val="21"/>
        </w:rPr>
        <w:t xml:space="preserve">前后台分离，按用户类型适配界面：管理后台（订单、排班、加班等主数据维护）与前台大屏/操作界面分离，且登录后按生产人员/普通员工区分界面形态，为二期SSO接入预留统一身份入口；</w:t>
      </w:r>
    </w:p>
    <w:p>
      <w:pPr>
        <w:pStyle w:val="ListParagraph"/>
        <w:numPr>
          <w:ilvl w:val="0"/>
          <w:numId w:val="3"/>
        </w:numPr>
        <w:spacing w:after="80" w:line="300"/>
      </w:pPr>
      <w:r>
        <w:rPr>
          <w:color w:val="1F2D3D"/>
          <w:sz w:val="21"/>
          <w:szCs w:val="21"/>
        </w:rPr>
        <w:t xml:space="preserve">轻量运维，匹配团队现状：甲丁智能体项目由IT单人牵头运维，技术栈与部署环境尽量与APHR保持一致，避免引入过多异构组件增加运维负担。</w:t>
      </w:r>
    </w:p>
    <w:p>
      <w:pPr>
        <w:pStyle w:val="Heading1"/>
        <w:pBdr>
          <w:bottom w:val="single" w:color="0E7C86" w:sz="6" w:space="4"/>
        </w:pBdr>
        <w:spacing w:after="200" w:before="400"/>
      </w:pPr>
      <w:r>
        <w:rPr>
          <w:b/>
          <w:bCs/>
          <w:color w:val="0B3559"/>
          <w:sz w:val="30"/>
          <w:szCs w:val="30"/>
        </w:rPr>
        <w:t xml:space="preserve">三、现有基础设施与复用策略</w:t>
      </w:r>
    </w:p>
    <w:p>
      <w:pPr>
        <w:spacing w:after="160" w:line="320"/>
      </w:pPr>
      <w:r>
        <w:rPr>
          <w:color w:val="1F2D3D"/>
          <w:sz w:val="21"/>
          <w:szCs w:val="21"/>
        </w:rPr>
        <w:t xml:space="preserve">为降低重复建设成本，甲丁智能体在以下方面直接复用现有基础设施与数据资产：</w:t>
      </w:r>
    </w:p>
    <w:tbl>
      <w:tblPr>
        <w:tblW w:type="dxa" w:w="9026"/>
        <w:tblBorders>
          <w:top w:val="single" w:color="C9D2D8" w:sz="4"/>
          <w:left w:val="single" w:color="C9D2D8" w:sz="4"/>
          <w:bottom w:val="single" w:color="C9D2D8" w:sz="4"/>
          <w:right w:val="single" w:color="C9D2D8" w:sz="4"/>
          <w:insideH w:val="single" w:color="C9D2D8" w:sz="4"/>
          <w:insideV w:val="single" w:color="C9D2D8" w:sz="4"/>
        </w:tblBorders>
      </w:tblPr>
      <w:tblGrid>
        <w:gridCol w:w="2200"/>
        <w:gridCol w:w="3600"/>
        <w:gridCol w:w="3226"/>
      </w:tblGrid>
      <w:tr>
        <w:trPr>
          <w:tblHeader/>
        </w:trPr>
        <w:tc>
          <w:tcPr>
            <w:tcW w:type="dxa" w:w="2200"/>
            <w:shd w:fill="0B3559" w:val="clear"/>
            <w:tcMar>
              <w:top w:type="dxa" w:w="80"/>
              <w:left w:type="dxa" w:w="100"/>
              <w:bottom w:type="dxa" w:w="80"/>
              <w:right w:type="dxa" w:w="100"/>
            </w:tcMar>
            <w:vAlign w:val="center"/>
          </w:tcPr>
          <w:p>
            <w:pPr>
              <w:spacing w:after="0"/>
            </w:pPr>
            <w:r>
              <w:rPr>
                <w:b/>
                <w:bCs/>
                <w:color w:val="FFFFFF"/>
                <w:sz w:val="20"/>
                <w:szCs w:val="20"/>
              </w:rPr>
              <w:t xml:space="preserve">资源/系统</w:t>
            </w:r>
          </w:p>
        </w:tc>
        <w:tc>
          <w:tcPr>
            <w:tcW w:type="dxa" w:w="3600"/>
            <w:shd w:fill="0B3559" w:val="clear"/>
            <w:tcMar>
              <w:top w:type="dxa" w:w="80"/>
              <w:left w:type="dxa" w:w="100"/>
              <w:bottom w:type="dxa" w:w="80"/>
              <w:right w:type="dxa" w:w="100"/>
            </w:tcMar>
            <w:vAlign w:val="center"/>
          </w:tcPr>
          <w:p>
            <w:pPr>
              <w:spacing w:after="0"/>
            </w:pPr>
            <w:r>
              <w:rPr>
                <w:b/>
                <w:bCs/>
                <w:color w:val="FFFFFF"/>
                <w:sz w:val="20"/>
                <w:szCs w:val="20"/>
              </w:rPr>
              <w:t xml:space="preserve">现状</w:t>
            </w:r>
          </w:p>
        </w:tc>
        <w:tc>
          <w:tcPr>
            <w:tcW w:type="dxa" w:w="3226"/>
            <w:shd w:fill="0B3559" w:val="clear"/>
            <w:tcMar>
              <w:top w:type="dxa" w:w="80"/>
              <w:left w:type="dxa" w:w="100"/>
              <w:bottom w:type="dxa" w:w="80"/>
              <w:right w:type="dxa" w:w="100"/>
            </w:tcMar>
            <w:vAlign w:val="center"/>
          </w:tcPr>
          <w:p>
            <w:pPr>
              <w:spacing w:after="0"/>
            </w:pPr>
            <w:r>
              <w:rPr>
                <w:b/>
                <w:bCs/>
                <w:color w:val="FFFFFF"/>
                <w:sz w:val="20"/>
                <w:szCs w:val="20"/>
              </w:rPr>
              <w:t xml:space="preserve">在本项目中的角色</w:t>
            </w:r>
          </w:p>
        </w:tc>
      </w:tr>
      <w:tr>
        <w:tc>
          <w:tcPr>
            <w:tcW w:type="dxa" w:w="2200"/>
            <w:tcMar>
              <w:top w:type="dxa" w:w="80"/>
              <w:left w:type="dxa" w:w="100"/>
              <w:bottom w:type="dxa" w:w="80"/>
              <w:right w:type="dxa" w:w="100"/>
            </w:tcMar>
            <w:vAlign w:val="center"/>
          </w:tcPr>
          <w:p>
            <w:pPr>
              <w:spacing w:after="0"/>
            </w:pPr>
            <w:r>
              <w:rPr>
                <w:b w:val="false"/>
                <w:bCs w:val="false"/>
                <w:color w:val="1F2D3D"/>
                <w:sz w:val="20"/>
                <w:szCs w:val="20"/>
              </w:rPr>
              <w:t xml:space="preserve">本地Docker vLLM</w:t>
            </w:r>
          </w:p>
        </w:tc>
        <w:tc>
          <w:tcPr>
            <w:tcW w:type="dxa" w:w="3600"/>
            <w:tcMar>
              <w:top w:type="dxa" w:w="80"/>
              <w:left w:type="dxa" w:w="100"/>
              <w:bottom w:type="dxa" w:w="80"/>
              <w:right w:type="dxa" w:w="100"/>
            </w:tcMar>
            <w:vAlign w:val="center"/>
          </w:tcPr>
          <w:p>
            <w:pPr>
              <w:spacing w:after="0"/>
            </w:pPr>
            <w:r>
              <w:rPr>
                <w:b w:val="false"/>
                <w:bCs w:val="false"/>
                <w:color w:val="1F2D3D"/>
                <w:sz w:val="20"/>
                <w:szCs w:val="20"/>
              </w:rPr>
              <w:t xml:space="preserve">已在本地ThinkPad PGX设备上部署 Qwen2.5-14B-AWQ、Gemma-31B-AWQ 两个模型服务</w:t>
            </w:r>
          </w:p>
        </w:tc>
        <w:tc>
          <w:tcPr>
            <w:tcW w:type="dxa" w:w="3226"/>
            <w:tcMar>
              <w:top w:type="dxa" w:w="80"/>
              <w:left w:type="dxa" w:w="100"/>
              <w:bottom w:type="dxa" w:w="80"/>
              <w:right w:type="dxa" w:w="100"/>
            </w:tcMar>
            <w:vAlign w:val="center"/>
          </w:tcPr>
          <w:p>
            <w:pPr>
              <w:spacing w:after="0"/>
            </w:pPr>
            <w:r>
              <w:rPr>
                <w:b w:val="false"/>
                <w:bCs w:val="false"/>
                <w:color w:val="1F2D3D"/>
                <w:sz w:val="20"/>
                <w:szCs w:val="20"/>
              </w:rPr>
              <w:t xml:space="preserve">作为模型服务层，供智能体编排层按场景路由调用</w:t>
            </w:r>
          </w:p>
        </w:tc>
      </w:tr>
      <w:tr>
        <w:tc>
          <w:tcPr>
            <w:tcW w:type="dxa" w:w="22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Dify</w:t>
            </w:r>
          </w:p>
        </w:tc>
        <w:tc>
          <w:tcPr>
            <w:tcW w:type="dxa" w:w="36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已部署，可用于业务流程与轻量问答的编排</w:t>
            </w:r>
          </w:p>
        </w:tc>
        <w:tc>
          <w:tcPr>
            <w:tcW w:type="dxa" w:w="3226"/>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承担轻量问答、催办类交互的工作流编排</w:t>
            </w:r>
          </w:p>
        </w:tc>
      </w:tr>
      <w:tr>
        <w:tc>
          <w:tcPr>
            <w:tcW w:type="dxa" w:w="2200"/>
            <w:tcMar>
              <w:top w:type="dxa" w:w="80"/>
              <w:left w:type="dxa" w:w="100"/>
              <w:bottom w:type="dxa" w:w="80"/>
              <w:right w:type="dxa" w:w="100"/>
            </w:tcMar>
            <w:vAlign w:val="center"/>
          </w:tcPr>
          <w:p>
            <w:pPr>
              <w:spacing w:after="0"/>
            </w:pPr>
            <w:r>
              <w:rPr>
                <w:b w:val="false"/>
                <w:bCs w:val="false"/>
                <w:color w:val="1F2D3D"/>
                <w:sz w:val="20"/>
                <w:szCs w:val="20"/>
              </w:rPr>
              <w:t xml:space="preserve">APHR系统</w:t>
            </w:r>
          </w:p>
        </w:tc>
        <w:tc>
          <w:tcPr>
            <w:tcW w:type="dxa" w:w="3600"/>
            <w:tcMar>
              <w:top w:type="dxa" w:w="80"/>
              <w:left w:type="dxa" w:w="100"/>
              <w:bottom w:type="dxa" w:w="80"/>
              <w:right w:type="dxa" w:w="100"/>
            </w:tcMar>
            <w:vAlign w:val="center"/>
          </w:tcPr>
          <w:p>
            <w:pPr>
              <w:spacing w:after="0"/>
            </w:pPr>
            <w:r>
              <w:rPr>
                <w:b w:val="false"/>
                <w:bCs w:val="false"/>
                <w:color w:val="1F2D3D"/>
                <w:sz w:val="20"/>
                <w:szCs w:val="20"/>
              </w:rPr>
              <w:t xml:space="preserve">已建成，覆盖员工生命周期、岗位技能标签、组织架构、排班/请假/考勤，以及绩效数据的记录与维护</w:t>
            </w:r>
          </w:p>
        </w:tc>
        <w:tc>
          <w:tcPr>
            <w:tcW w:type="dxa" w:w="3226"/>
            <w:tcMar>
              <w:top w:type="dxa" w:w="80"/>
              <w:left w:type="dxa" w:w="100"/>
              <w:bottom w:type="dxa" w:w="80"/>
              <w:right w:type="dxa" w:w="100"/>
            </w:tcMar>
            <w:vAlign w:val="center"/>
          </w:tcPr>
          <w:p>
            <w:pPr>
              <w:spacing w:after="0"/>
            </w:pPr>
            <w:r>
              <w:rPr>
                <w:b w:val="false"/>
                <w:bCs w:val="false"/>
                <w:color w:val="1F2D3D"/>
                <w:sz w:val="20"/>
                <w:szCs w:val="20"/>
              </w:rPr>
              <w:t xml:space="preserve">作为员工基础信息、技能画像、排班/请假/考勤数据的统一来源（读取）；同时作为日评分、加班记录的最终归档目标（需开放写接口）</w:t>
            </w:r>
          </w:p>
        </w:tc>
      </w:tr>
      <w:tr>
        <w:tc>
          <w:tcPr>
            <w:tcW w:type="dxa" w:w="22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dingtalk-service</w:t>
            </w:r>
          </w:p>
        </w:tc>
        <w:tc>
          <w:tcPr>
            <w:tcW w:type="dxa" w:w="36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已独立部署的钉钉消息推送服务（独立于APHR的专门服务）</w:t>
            </w:r>
          </w:p>
        </w:tc>
        <w:tc>
          <w:tcPr>
            <w:tcW w:type="dxa" w:w="3226"/>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直接复用，用于甲丁智能体的定时消息推送</w:t>
            </w:r>
          </w:p>
        </w:tc>
      </w:tr>
      <w:tr>
        <w:tc>
          <w:tcPr>
            <w:tcW w:type="dxa" w:w="2200"/>
            <w:tcMar>
              <w:top w:type="dxa" w:w="80"/>
              <w:left w:type="dxa" w:w="100"/>
              <w:bottom w:type="dxa" w:w="80"/>
              <w:right w:type="dxa" w:w="100"/>
            </w:tcMar>
            <w:vAlign w:val="center"/>
          </w:tcPr>
          <w:p>
            <w:pPr>
              <w:spacing w:after="0"/>
            </w:pPr>
            <w:r>
              <w:rPr>
                <w:b w:val="false"/>
                <w:bCs w:val="false"/>
                <w:color w:val="1F2D3D"/>
                <w:sz w:val="20"/>
                <w:szCs w:val="20"/>
              </w:rPr>
              <w:t xml:space="preserve">本地算力（ThinkPad PGX）</w:t>
            </w:r>
          </w:p>
        </w:tc>
        <w:tc>
          <w:tcPr>
            <w:tcW w:type="dxa" w:w="3600"/>
            <w:tcMar>
              <w:top w:type="dxa" w:w="80"/>
              <w:left w:type="dxa" w:w="100"/>
              <w:bottom w:type="dxa" w:w="80"/>
              <w:right w:type="dxa" w:w="100"/>
            </w:tcMar>
            <w:vAlign w:val="center"/>
          </w:tcPr>
          <w:p>
            <w:pPr>
              <w:spacing w:after="0"/>
            </w:pPr>
            <w:r>
              <w:rPr>
                <w:b w:val="false"/>
                <w:bCs w:val="false"/>
                <w:color w:val="1F2D3D"/>
                <w:sz w:val="20"/>
                <w:szCs w:val="20"/>
              </w:rPr>
              <w:t xml:space="preserve">现有算力底座为一台ThinkPad PGX设备</w:t>
            </w:r>
          </w:p>
        </w:tc>
        <w:tc>
          <w:tcPr>
            <w:tcW w:type="dxa" w:w="3226"/>
            <w:tcMar>
              <w:top w:type="dxa" w:w="80"/>
              <w:left w:type="dxa" w:w="100"/>
              <w:bottom w:type="dxa" w:w="80"/>
              <w:right w:type="dxa" w:w="100"/>
            </w:tcMar>
            <w:vAlign w:val="center"/>
          </w:tcPr>
          <w:p>
            <w:pPr>
              <w:spacing w:after="0"/>
            </w:pPr>
            <w:r>
              <w:rPr>
                <w:b w:val="false"/>
                <w:bCs w:val="false"/>
                <w:color w:val="1F2D3D"/>
                <w:sz w:val="20"/>
                <w:szCs w:val="20"/>
              </w:rPr>
              <w:t xml:space="preserve">支撑双模型本地化并发推理</w:t>
            </w:r>
          </w:p>
        </w:tc>
      </w:tr>
    </w:tbl>
    <w:p>
      <w:pPr>
        <w:pBdr>
          <w:left w:val="single" w:color="12B5A6" w:sz="12" w:space="8"/>
        </w:pBdr>
        <w:spacing w:after="200" w:before="60"/>
        <w:ind w:left="200"/>
      </w:pPr>
      <w:r>
        <w:rPr>
          <w:i/>
          <w:iCs/>
          <w:color w:val="4A5A6A"/>
          <w:sz w:val="20"/>
          <w:szCs w:val="20"/>
        </w:rPr>
        <w:t xml:space="preserve">说明：以上均为已确认可复用项，若实际接口权限或数据范围与预期不符，需要在开发阶段与APHR、dingtalk-service一侧分别确认接口字段与调用方式。</w:t>
      </w:r>
    </w:p>
    <w:p>
      <w:pPr>
        <w:pStyle w:val="Heading1"/>
        <w:pBdr>
          <w:bottom w:val="single" w:color="0E7C86" w:sz="6" w:space="4"/>
        </w:pBdr>
        <w:spacing w:after="200" w:before="400"/>
      </w:pPr>
      <w:r>
        <w:rPr>
          <w:b/>
          <w:bCs/>
          <w:color w:val="0B3559"/>
          <w:sz w:val="30"/>
          <w:szCs w:val="30"/>
        </w:rPr>
        <w:t xml:space="preserve">四、数据架构设计</w:t>
      </w:r>
    </w:p>
    <w:p>
      <w:pPr>
        <w:pStyle w:val="Heading2"/>
        <w:spacing w:after="140" w:before="280"/>
      </w:pPr>
      <w:r>
        <w:rPr>
          <w:b/>
          <w:bCs/>
          <w:color w:val="0E7C86"/>
          <w:sz w:val="25"/>
          <w:szCs w:val="25"/>
        </w:rPr>
        <w:t xml:space="preserve">4.1 数据库选型建议</w:t>
      </w:r>
    </w:p>
    <w:p>
      <w:pPr>
        <w:spacing w:after="160" w:line="320"/>
      </w:pPr>
      <w:r>
        <w:rPr>
          <w:color w:val="1F2D3D"/>
          <w:sz w:val="21"/>
          <w:szCs w:val="21"/>
        </w:rPr>
        <w:t xml:space="preserve">综合考虑“复用现有MySQL技术栈”与“后续可能引入语义检索能力”两方面需求，建议采用如下组合方案，而非一开始就引入独立的向量数据库：</w:t>
      </w:r>
    </w:p>
    <w:p>
      <w:pPr>
        <w:pStyle w:val="ListParagraph"/>
        <w:numPr>
          <w:ilvl w:val="0"/>
          <w:numId w:val="2"/>
        </w:numPr>
        <w:spacing w:after="80" w:line="300"/>
      </w:pPr>
      <w:r>
        <w:rPr>
          <w:color w:val="1F2D3D"/>
          <w:sz w:val="21"/>
          <w:szCs w:val="21"/>
        </w:rPr>
        <w:t xml:space="preserve">主业务库：MySQL 8.x，与APHR技术栈保持一致，承载加班审批、日评分、生产数据、订单等结构化业务数据，便于团队复用现有运维经验（排班/请假/考勤数据不入本库，实时从APHR接口获取）；</w:t>
      </w:r>
    </w:p>
    <w:p>
      <w:pPr>
        <w:pStyle w:val="ListParagraph"/>
        <w:numPr>
          <w:ilvl w:val="0"/>
          <w:numId w:val="2"/>
        </w:numPr>
        <w:spacing w:after="80" w:line="300"/>
      </w:pPr>
      <w:r>
        <w:rPr>
          <w:color w:val="1F2D3D"/>
          <w:sz w:val="21"/>
          <w:szCs w:val="21"/>
        </w:rPr>
        <w:t xml:space="preserve">向量检索能力：按需引入，优先使用 MySQL 自身的全文检索或轻量向量扩展（如需支持二期“自然语言统计问答”的语义检索场景，再评估引入 pgvector/Milvus 等专用方案），不在一期强制引入独立向量库，避免过早增加运维复杂度；</w:t>
      </w:r>
    </w:p>
    <w:p>
      <w:pPr>
        <w:pStyle w:val="ListParagraph"/>
        <w:numPr>
          <w:ilvl w:val="0"/>
          <w:numId w:val="2"/>
        </w:numPr>
        <w:spacing w:after="80" w:line="300"/>
      </w:pPr>
      <w:r>
        <w:rPr>
          <w:color w:val="1F2D3D"/>
          <w:sz w:val="21"/>
          <w:szCs w:val="21"/>
        </w:rPr>
        <w:t xml:space="preserve">日志与埋点数据：如后续需要精细化的模型调用日志、用户行为埋点，可采用同一MySQL实例下的独立库隔离，避免影响核心业务表性能。</w:t>
      </w:r>
    </w:p>
    <w:p>
      <w:pPr>
        <w:pBdr>
          <w:left w:val="single" w:color="12B5A6" w:sz="12" w:space="8"/>
        </w:pBdr>
        <w:spacing w:after="200" w:before="60"/>
        <w:ind w:left="200"/>
      </w:pPr>
      <w:r>
        <w:rPr>
          <w:i/>
          <w:iCs/>
          <w:color w:val="4A5A6A"/>
          <w:sz w:val="20"/>
          <w:szCs w:val="20"/>
        </w:rPr>
        <w:t xml:space="preserve">这是基于“复用现有技术栈优先、按需扩展”原则给出的推荐方案，最终选型建议在详细设计阶段结合实际数据量与查询模式再次确认。</w:t>
      </w:r>
    </w:p>
    <w:p>
      <w:pPr>
        <w:pStyle w:val="Heading2"/>
        <w:spacing w:after="140" w:before="280"/>
      </w:pPr>
      <w:r>
        <w:rPr>
          <w:b/>
          <w:bCs/>
          <w:color w:val="0E7C86"/>
          <w:sz w:val="25"/>
          <w:szCs w:val="25"/>
        </w:rPr>
        <w:t xml:space="preserve">4.2 核心数据实体</w:t>
      </w:r>
    </w:p>
    <w:tbl>
      <w:tblPr>
        <w:tblW w:type="dxa" w:w="9026"/>
        <w:tblBorders>
          <w:top w:val="single" w:color="C9D2D8" w:sz="4"/>
          <w:left w:val="single" w:color="C9D2D8" w:sz="4"/>
          <w:bottom w:val="single" w:color="C9D2D8" w:sz="4"/>
          <w:right w:val="single" w:color="C9D2D8" w:sz="4"/>
          <w:insideH w:val="single" w:color="C9D2D8" w:sz="4"/>
          <w:insideV w:val="single" w:color="C9D2D8" w:sz="4"/>
        </w:tblBorders>
      </w:tblPr>
      <w:tblGrid>
        <w:gridCol w:w="2400"/>
        <w:gridCol w:w="4200"/>
        <w:gridCol w:w="2426"/>
      </w:tblGrid>
      <w:tr>
        <w:trPr>
          <w:tblHeader/>
        </w:trPr>
        <w:tc>
          <w:tcPr>
            <w:tcW w:type="dxa" w:w="2400"/>
            <w:shd w:fill="0B3559" w:val="clear"/>
            <w:tcMar>
              <w:top w:type="dxa" w:w="80"/>
              <w:left w:type="dxa" w:w="100"/>
              <w:bottom w:type="dxa" w:w="80"/>
              <w:right w:type="dxa" w:w="100"/>
            </w:tcMar>
            <w:vAlign w:val="center"/>
          </w:tcPr>
          <w:p>
            <w:pPr>
              <w:spacing w:after="0"/>
            </w:pPr>
            <w:r>
              <w:rPr>
                <w:b/>
                <w:bCs/>
                <w:color w:val="FFFFFF"/>
                <w:sz w:val="20"/>
                <w:szCs w:val="20"/>
              </w:rPr>
              <w:t xml:space="preserve">数据实体</w:t>
            </w:r>
          </w:p>
        </w:tc>
        <w:tc>
          <w:tcPr>
            <w:tcW w:type="dxa" w:w="4200"/>
            <w:shd w:fill="0B3559" w:val="clear"/>
            <w:tcMar>
              <w:top w:type="dxa" w:w="80"/>
              <w:left w:type="dxa" w:w="100"/>
              <w:bottom w:type="dxa" w:w="80"/>
              <w:right w:type="dxa" w:w="100"/>
            </w:tcMar>
            <w:vAlign w:val="center"/>
          </w:tcPr>
          <w:p>
            <w:pPr>
              <w:spacing w:after="0"/>
            </w:pPr>
            <w:r>
              <w:rPr>
                <w:b/>
                <w:bCs/>
                <w:color w:val="FFFFFF"/>
                <w:sz w:val="20"/>
                <w:szCs w:val="20"/>
              </w:rPr>
              <w:t xml:space="preserve">说明</w:t>
            </w:r>
          </w:p>
        </w:tc>
        <w:tc>
          <w:tcPr>
            <w:tcW w:type="dxa" w:w="2426"/>
            <w:shd w:fill="0B3559" w:val="clear"/>
            <w:tcMar>
              <w:top w:type="dxa" w:w="80"/>
              <w:left w:type="dxa" w:w="100"/>
              <w:bottom w:type="dxa" w:w="80"/>
              <w:right w:type="dxa" w:w="100"/>
            </w:tcMar>
            <w:vAlign w:val="center"/>
          </w:tcPr>
          <w:p>
            <w:pPr>
              <w:spacing w:after="0"/>
            </w:pPr>
            <w:r>
              <w:rPr>
                <w:b/>
                <w:bCs/>
                <w:color w:val="FFFFFF"/>
                <w:sz w:val="20"/>
                <w:szCs w:val="20"/>
              </w:rPr>
              <w:t xml:space="preserve">数据来源</w:t>
            </w:r>
          </w:p>
        </w:tc>
      </w:tr>
      <w:tr>
        <w:tc>
          <w:tcPr>
            <w:tcW w:type="dxa" w:w="2400"/>
            <w:tcMar>
              <w:top w:type="dxa" w:w="80"/>
              <w:left w:type="dxa" w:w="100"/>
              <w:bottom w:type="dxa" w:w="80"/>
              <w:right w:type="dxa" w:w="100"/>
            </w:tcMar>
            <w:vAlign w:val="center"/>
          </w:tcPr>
          <w:p>
            <w:pPr>
              <w:spacing w:after="0"/>
            </w:pPr>
            <w:r>
              <w:rPr>
                <w:b w:val="false"/>
                <w:bCs w:val="false"/>
                <w:color w:val="1F2D3D"/>
                <w:sz w:val="20"/>
                <w:szCs w:val="20"/>
              </w:rPr>
              <w:t xml:space="preserve">员工基础信息/技能画像</w:t>
            </w:r>
          </w:p>
        </w:tc>
        <w:tc>
          <w:tcPr>
            <w:tcW w:type="dxa" w:w="4200"/>
            <w:tcMar>
              <w:top w:type="dxa" w:w="80"/>
              <w:left w:type="dxa" w:w="100"/>
              <w:bottom w:type="dxa" w:w="80"/>
              <w:right w:type="dxa" w:w="100"/>
            </w:tcMar>
            <w:vAlign w:val="center"/>
          </w:tcPr>
          <w:p>
            <w:pPr>
              <w:spacing w:after="0"/>
            </w:pPr>
            <w:r>
              <w:rPr>
                <w:b w:val="false"/>
                <w:bCs w:val="false"/>
                <w:color w:val="1F2D3D"/>
                <w:sz w:val="20"/>
                <w:szCs w:val="20"/>
              </w:rPr>
              <w:t xml:space="preserve">姓名、工号、岗位、岗位技能标签等</w:t>
            </w:r>
          </w:p>
        </w:tc>
        <w:tc>
          <w:tcPr>
            <w:tcW w:type="dxa" w:w="2426"/>
            <w:tcMar>
              <w:top w:type="dxa" w:w="80"/>
              <w:left w:type="dxa" w:w="100"/>
              <w:bottom w:type="dxa" w:w="80"/>
              <w:right w:type="dxa" w:w="100"/>
            </w:tcMar>
            <w:vAlign w:val="center"/>
          </w:tcPr>
          <w:p>
            <w:pPr>
              <w:spacing w:after="0"/>
            </w:pPr>
            <w:r>
              <w:rPr>
                <w:b w:val="false"/>
                <w:bCs w:val="false"/>
                <w:color w:val="1F2D3D"/>
                <w:sz w:val="20"/>
                <w:szCs w:val="20"/>
              </w:rPr>
              <w:t xml:space="preserve">APHR接口获取（只读）</w:t>
            </w:r>
          </w:p>
        </w:tc>
      </w:tr>
      <w:tr>
        <w:tc>
          <w:tcPr>
            <w:tcW w:type="dxa" w:w="24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排班/请假/考勤记录</w:t>
            </w:r>
          </w:p>
        </w:tc>
        <w:tc>
          <w:tcPr>
            <w:tcW w:type="dxa" w:w="42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班次、请假类型与时段、出勤状态</w:t>
            </w:r>
          </w:p>
        </w:tc>
        <w:tc>
          <w:tcPr>
            <w:tcW w:type="dxa" w:w="2426"/>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APHR接口获取（数据处理与维护均在APHR完成，甲丁智能体不落库存储，按需实时/准实时读取）</w:t>
            </w:r>
          </w:p>
        </w:tc>
      </w:tr>
      <w:tr>
        <w:tc>
          <w:tcPr>
            <w:tcW w:type="dxa" w:w="2400"/>
            <w:tcMar>
              <w:top w:type="dxa" w:w="80"/>
              <w:left w:type="dxa" w:w="100"/>
              <w:bottom w:type="dxa" w:w="80"/>
              <w:right w:type="dxa" w:w="100"/>
            </w:tcMar>
            <w:vAlign w:val="center"/>
          </w:tcPr>
          <w:p>
            <w:pPr>
              <w:spacing w:after="0"/>
            </w:pPr>
            <w:r>
              <w:rPr>
                <w:b w:val="false"/>
                <w:bCs w:val="false"/>
                <w:color w:val="1F2D3D"/>
                <w:sz w:val="20"/>
                <w:szCs w:val="20"/>
              </w:rPr>
              <w:t xml:space="preserve">订单/生产计划</w:t>
            </w:r>
          </w:p>
        </w:tc>
        <w:tc>
          <w:tcPr>
            <w:tcW w:type="dxa" w:w="4200"/>
            <w:tcMar>
              <w:top w:type="dxa" w:w="80"/>
              <w:left w:type="dxa" w:w="100"/>
              <w:bottom w:type="dxa" w:w="80"/>
              <w:right w:type="dxa" w:w="100"/>
            </w:tcMar>
            <w:vAlign w:val="center"/>
          </w:tcPr>
          <w:p>
            <w:pPr>
              <w:spacing w:after="0"/>
            </w:pPr>
            <w:r>
              <w:rPr>
                <w:b w:val="false"/>
                <w:bCs w:val="false"/>
                <w:color w:val="1F2D3D"/>
                <w:sz w:val="20"/>
                <w:szCs w:val="20"/>
              </w:rPr>
              <w:t xml:space="preserve">订单号、产品、数量、交期、所需技能/产能</w:t>
            </w:r>
          </w:p>
        </w:tc>
        <w:tc>
          <w:tcPr>
            <w:tcW w:type="dxa" w:w="2426"/>
            <w:tcMar>
              <w:top w:type="dxa" w:w="80"/>
              <w:left w:type="dxa" w:w="100"/>
              <w:bottom w:type="dxa" w:w="80"/>
              <w:right w:type="dxa" w:w="100"/>
            </w:tcMar>
            <w:vAlign w:val="center"/>
          </w:tcPr>
          <w:p>
            <w:pPr>
              <w:spacing w:after="0"/>
            </w:pPr>
            <w:r>
              <w:rPr>
                <w:b w:val="false"/>
                <w:bCs w:val="false"/>
                <w:color w:val="1F2D3D"/>
                <w:sz w:val="20"/>
                <w:szCs w:val="20"/>
              </w:rPr>
              <w:t xml:space="preserve">一期在管理后台手工录入，二期SAP底表定时同步</w:t>
            </w:r>
          </w:p>
        </w:tc>
      </w:tr>
      <w:tr>
        <w:tc>
          <w:tcPr>
            <w:tcW w:type="dxa" w:w="24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人岗匹配推荐记录</w:t>
            </w:r>
          </w:p>
        </w:tc>
        <w:tc>
          <w:tcPr>
            <w:tcW w:type="dxa" w:w="42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推荐人员、匹配依据、班组长确认结果</w:t>
            </w:r>
          </w:p>
        </w:tc>
        <w:tc>
          <w:tcPr>
            <w:tcW w:type="dxa" w:w="2426"/>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甲丁智能体自身生成</w:t>
            </w:r>
          </w:p>
        </w:tc>
      </w:tr>
      <w:tr>
        <w:tc>
          <w:tcPr>
            <w:tcW w:type="dxa" w:w="2400"/>
            <w:tcMar>
              <w:top w:type="dxa" w:w="80"/>
              <w:left w:type="dxa" w:w="100"/>
              <w:bottom w:type="dxa" w:w="80"/>
              <w:right w:type="dxa" w:w="100"/>
            </w:tcMar>
            <w:vAlign w:val="center"/>
          </w:tcPr>
          <w:p>
            <w:pPr>
              <w:spacing w:after="0"/>
            </w:pPr>
            <w:r>
              <w:rPr>
                <w:b w:val="false"/>
                <w:bCs w:val="false"/>
                <w:color w:val="1F2D3D"/>
                <w:sz w:val="20"/>
                <w:szCs w:val="20"/>
              </w:rPr>
              <w:t xml:space="preserve">加班申请单</w:t>
            </w:r>
          </w:p>
        </w:tc>
        <w:tc>
          <w:tcPr>
            <w:tcW w:type="dxa" w:w="4200"/>
            <w:tcMar>
              <w:top w:type="dxa" w:w="80"/>
              <w:left w:type="dxa" w:w="100"/>
              <w:bottom w:type="dxa" w:w="80"/>
              <w:right w:type="dxa" w:w="100"/>
            </w:tcMar>
            <w:vAlign w:val="center"/>
          </w:tcPr>
          <w:p>
            <w:pPr>
              <w:spacing w:after="0"/>
            </w:pPr>
            <w:r>
              <w:rPr>
                <w:b w:val="false"/>
                <w:bCs w:val="false"/>
                <w:color w:val="1F2D3D"/>
                <w:sz w:val="20"/>
                <w:szCs w:val="20"/>
              </w:rPr>
              <w:t xml:space="preserve">申请人、时段、原因、审批状态</w:t>
            </w:r>
          </w:p>
        </w:tc>
        <w:tc>
          <w:tcPr>
            <w:tcW w:type="dxa" w:w="2426"/>
            <w:tcMar>
              <w:top w:type="dxa" w:w="80"/>
              <w:left w:type="dxa" w:w="100"/>
              <w:bottom w:type="dxa" w:w="80"/>
              <w:right w:type="dxa" w:w="100"/>
            </w:tcMar>
            <w:vAlign w:val="center"/>
          </w:tcPr>
          <w:p>
            <w:pPr>
              <w:spacing w:after="0"/>
            </w:pPr>
            <w:r>
              <w:rPr>
                <w:b w:val="false"/>
                <w:bCs w:val="false"/>
                <w:color w:val="1F2D3D"/>
                <w:sz w:val="20"/>
                <w:szCs w:val="20"/>
              </w:rPr>
              <w:t xml:space="preserve">甲丁智能体内部完成报表、提交、审批全流程；审批通过后同步至第三方加班审批系统与APHR对应记录</w:t>
            </w:r>
          </w:p>
        </w:tc>
      </w:tr>
      <w:tr>
        <w:tc>
          <w:tcPr>
            <w:tcW w:type="dxa" w:w="24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一线员工日评分</w:t>
            </w:r>
          </w:p>
        </w:tc>
        <w:tc>
          <w:tcPr>
            <w:tcW w:type="dxa" w:w="42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评分人（班组长）、被评分人、日期、主观分、特殊备注</w:t>
            </w:r>
          </w:p>
        </w:tc>
        <w:tc>
          <w:tcPr>
            <w:tcW w:type="dxa" w:w="2426"/>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甲丁智能体提供录入入口，评分结果写入APHR绩效体系（由APHR统一存储管理，本系统不重复落库）</w:t>
            </w:r>
          </w:p>
        </w:tc>
      </w:tr>
      <w:tr>
        <w:tc>
          <w:tcPr>
            <w:tcW w:type="dxa" w:w="2400"/>
            <w:tcMar>
              <w:top w:type="dxa" w:w="80"/>
              <w:left w:type="dxa" w:w="100"/>
              <w:bottom w:type="dxa" w:w="80"/>
              <w:right w:type="dxa" w:w="100"/>
            </w:tcMar>
            <w:vAlign w:val="center"/>
          </w:tcPr>
          <w:p>
            <w:pPr>
              <w:spacing w:after="0"/>
            </w:pPr>
            <w:r>
              <w:rPr>
                <w:b w:val="false"/>
                <w:bCs w:val="false"/>
                <w:color w:val="1F2D3D"/>
                <w:sz w:val="20"/>
                <w:szCs w:val="20"/>
              </w:rPr>
              <w:t xml:space="preserve">生产记录</w:t>
            </w:r>
          </w:p>
        </w:tc>
        <w:tc>
          <w:tcPr>
            <w:tcW w:type="dxa" w:w="4200"/>
            <w:tcMar>
              <w:top w:type="dxa" w:w="80"/>
              <w:left w:type="dxa" w:w="100"/>
              <w:bottom w:type="dxa" w:w="80"/>
              <w:right w:type="dxa" w:w="100"/>
            </w:tcMar>
            <w:vAlign w:val="center"/>
          </w:tcPr>
          <w:p>
            <w:pPr>
              <w:spacing w:after="0"/>
            </w:pPr>
            <w:r>
              <w:rPr>
                <w:b w:val="false"/>
                <w:bCs w:val="false"/>
                <w:color w:val="1F2D3D"/>
                <w:sz w:val="20"/>
                <w:szCs w:val="20"/>
              </w:rPr>
              <w:t xml:space="preserve">合格率、不良品数量、不良类型、产线/班组</w:t>
            </w:r>
          </w:p>
        </w:tc>
        <w:tc>
          <w:tcPr>
            <w:tcW w:type="dxa" w:w="2426"/>
            <w:tcMar>
              <w:top w:type="dxa" w:w="80"/>
              <w:left w:type="dxa" w:w="100"/>
              <w:bottom w:type="dxa" w:w="80"/>
              <w:right w:type="dxa" w:w="100"/>
            </w:tcMar>
            <w:vAlign w:val="center"/>
          </w:tcPr>
          <w:p>
            <w:pPr>
              <w:spacing w:after="0"/>
            </w:pPr>
            <w:r>
              <w:rPr>
                <w:b w:val="false"/>
                <w:bCs w:val="false"/>
                <w:color w:val="1F2D3D"/>
                <w:sz w:val="20"/>
                <w:szCs w:val="20"/>
              </w:rPr>
              <w:t xml:space="preserve">一期在管理后台手工填报，二期SAP底表同步</w:t>
            </w:r>
          </w:p>
        </w:tc>
      </w:tr>
      <w:tr>
        <w:tc>
          <w:tcPr>
            <w:tcW w:type="dxa" w:w="24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角色/权限/登录身份</w:t>
            </w:r>
          </w:p>
        </w:tc>
        <w:tc>
          <w:tcPr>
            <w:tcW w:type="dxa" w:w="42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角色定义、权限点、数据可见范围、用户类型（生产人员/普通员工）</w:t>
            </w:r>
          </w:p>
        </w:tc>
        <w:tc>
          <w:tcPr>
            <w:tcW w:type="dxa" w:w="2426"/>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系统内维护，可配置调整</w:t>
            </w:r>
          </w:p>
        </w:tc>
      </w:tr>
    </w:tbl>
    <w:p>
      <w:pPr>
        <w:pStyle w:val="Heading2"/>
        <w:spacing w:after="140" w:before="280"/>
      </w:pPr>
      <w:r>
        <w:rPr>
          <w:b/>
          <w:bCs/>
          <w:color w:val="0E7C86"/>
          <w:sz w:val="25"/>
          <w:szCs w:val="25"/>
        </w:rPr>
        <w:t xml:space="preserve">4.3 数据接入方式一览</w:t>
      </w:r>
    </w:p>
    <w:tbl>
      <w:tblPr>
        <w:tblW w:type="dxa" w:w="9026"/>
        <w:tblBorders>
          <w:top w:val="single" w:color="C9D2D8" w:sz="4"/>
          <w:left w:val="single" w:color="C9D2D8" w:sz="4"/>
          <w:bottom w:val="single" w:color="C9D2D8" w:sz="4"/>
          <w:right w:val="single" w:color="C9D2D8" w:sz="4"/>
          <w:insideH w:val="single" w:color="C9D2D8" w:sz="4"/>
          <w:insideV w:val="single" w:color="C9D2D8" w:sz="4"/>
        </w:tblBorders>
      </w:tblPr>
      <w:tblGrid>
        <w:gridCol w:w="1800"/>
        <w:gridCol w:w="2800"/>
        <w:gridCol w:w="2800"/>
        <w:gridCol w:w="1626"/>
      </w:tblGrid>
      <w:tr>
        <w:trPr>
          <w:tblHeader/>
        </w:trPr>
        <w:tc>
          <w:tcPr>
            <w:tcW w:type="dxa" w:w="1800"/>
            <w:shd w:fill="0B3559" w:val="clear"/>
            <w:tcMar>
              <w:top w:type="dxa" w:w="80"/>
              <w:left w:type="dxa" w:w="100"/>
              <w:bottom w:type="dxa" w:w="80"/>
              <w:right w:type="dxa" w:w="100"/>
            </w:tcMar>
            <w:vAlign w:val="center"/>
          </w:tcPr>
          <w:p>
            <w:pPr>
              <w:spacing w:after="0"/>
            </w:pPr>
            <w:r>
              <w:rPr>
                <w:b/>
                <w:bCs/>
                <w:color w:val="FFFFFF"/>
                <w:sz w:val="20"/>
                <w:szCs w:val="20"/>
              </w:rPr>
              <w:t xml:space="preserve">数据项</w:t>
            </w:r>
          </w:p>
        </w:tc>
        <w:tc>
          <w:tcPr>
            <w:tcW w:type="dxa" w:w="2800"/>
            <w:shd w:fill="0B3559" w:val="clear"/>
            <w:tcMar>
              <w:top w:type="dxa" w:w="80"/>
              <w:left w:type="dxa" w:w="100"/>
              <w:bottom w:type="dxa" w:w="80"/>
              <w:right w:type="dxa" w:w="100"/>
            </w:tcMar>
            <w:vAlign w:val="center"/>
          </w:tcPr>
          <w:p>
            <w:pPr>
              <w:spacing w:after="0"/>
            </w:pPr>
            <w:r>
              <w:rPr>
                <w:b/>
                <w:bCs/>
                <w:color w:val="FFFFFF"/>
                <w:sz w:val="20"/>
                <w:szCs w:val="20"/>
              </w:rPr>
              <w:t xml:space="preserve">一期接入方式</w:t>
            </w:r>
          </w:p>
        </w:tc>
        <w:tc>
          <w:tcPr>
            <w:tcW w:type="dxa" w:w="2800"/>
            <w:shd w:fill="0B3559" w:val="clear"/>
            <w:tcMar>
              <w:top w:type="dxa" w:w="80"/>
              <w:left w:type="dxa" w:w="100"/>
              <w:bottom w:type="dxa" w:w="80"/>
              <w:right w:type="dxa" w:w="100"/>
            </w:tcMar>
            <w:vAlign w:val="center"/>
          </w:tcPr>
          <w:p>
            <w:pPr>
              <w:spacing w:after="0"/>
            </w:pPr>
            <w:r>
              <w:rPr>
                <w:b/>
                <w:bCs/>
                <w:color w:val="FFFFFF"/>
                <w:sz w:val="20"/>
                <w:szCs w:val="20"/>
              </w:rPr>
              <w:t xml:space="preserve">二期/远期接入方式</w:t>
            </w:r>
          </w:p>
        </w:tc>
        <w:tc>
          <w:tcPr>
            <w:tcW w:type="dxa" w:w="1626"/>
            <w:shd w:fill="0B3559" w:val="clear"/>
            <w:tcMar>
              <w:top w:type="dxa" w:w="80"/>
              <w:left w:type="dxa" w:w="100"/>
              <w:bottom w:type="dxa" w:w="80"/>
              <w:right w:type="dxa" w:w="100"/>
            </w:tcMar>
            <w:vAlign w:val="center"/>
          </w:tcPr>
          <w:p>
            <w:pPr>
              <w:spacing w:after="0"/>
            </w:pPr>
            <w:r>
              <w:rPr>
                <w:b/>
                <w:bCs/>
                <w:color w:val="FFFFFF"/>
                <w:sz w:val="20"/>
                <w:szCs w:val="20"/>
              </w:rPr>
              <w:t xml:space="preserve">更新频率建议</w:t>
            </w:r>
          </w:p>
        </w:tc>
      </w:tr>
      <w:tr>
        <w:tc>
          <w:tcPr>
            <w:tcW w:type="dxa" w:w="1800"/>
            <w:tcMar>
              <w:top w:type="dxa" w:w="80"/>
              <w:left w:type="dxa" w:w="100"/>
              <w:bottom w:type="dxa" w:w="80"/>
              <w:right w:type="dxa" w:w="100"/>
            </w:tcMar>
            <w:vAlign w:val="center"/>
          </w:tcPr>
          <w:p>
            <w:pPr>
              <w:spacing w:after="0"/>
            </w:pPr>
            <w:r>
              <w:rPr>
                <w:b w:val="false"/>
                <w:bCs w:val="false"/>
                <w:color w:val="1F2D3D"/>
                <w:sz w:val="20"/>
                <w:szCs w:val="20"/>
              </w:rPr>
              <w:t xml:space="preserve">员工/技能信息</w:t>
            </w:r>
          </w:p>
        </w:tc>
        <w:tc>
          <w:tcPr>
            <w:tcW w:type="dxa" w:w="2800"/>
            <w:tcMar>
              <w:top w:type="dxa" w:w="80"/>
              <w:left w:type="dxa" w:w="100"/>
              <w:bottom w:type="dxa" w:w="80"/>
              <w:right w:type="dxa" w:w="100"/>
            </w:tcMar>
            <w:vAlign w:val="center"/>
          </w:tcPr>
          <w:p>
            <w:pPr>
              <w:spacing w:after="0"/>
            </w:pPr>
            <w:r>
              <w:rPr>
                <w:b w:val="false"/>
                <w:bCs w:val="false"/>
                <w:color w:val="1F2D3D"/>
                <w:sz w:val="20"/>
                <w:szCs w:val="20"/>
              </w:rPr>
              <w:t xml:space="preserve">APHR接口获取</w:t>
            </w:r>
          </w:p>
        </w:tc>
        <w:tc>
          <w:tcPr>
            <w:tcW w:type="dxa" w:w="2800"/>
            <w:tcMar>
              <w:top w:type="dxa" w:w="80"/>
              <w:left w:type="dxa" w:w="100"/>
              <w:bottom w:type="dxa" w:w="80"/>
              <w:right w:type="dxa" w:w="100"/>
            </w:tcMar>
            <w:vAlign w:val="center"/>
          </w:tcPr>
          <w:p>
            <w:pPr>
              <w:spacing w:after="0"/>
            </w:pPr>
            <w:r>
              <w:rPr>
                <w:b w:val="false"/>
                <w:bCs w:val="false"/>
                <w:color w:val="1F2D3D"/>
                <w:sz w:val="20"/>
                <w:szCs w:val="20"/>
              </w:rPr>
              <w:t xml:space="preserve">维持APHR接口</w:t>
            </w:r>
          </w:p>
        </w:tc>
        <w:tc>
          <w:tcPr>
            <w:tcW w:type="dxa" w:w="1626"/>
            <w:tcMar>
              <w:top w:type="dxa" w:w="80"/>
              <w:left w:type="dxa" w:w="100"/>
              <w:bottom w:type="dxa" w:w="80"/>
              <w:right w:type="dxa" w:w="100"/>
            </w:tcMar>
            <w:vAlign w:val="center"/>
          </w:tcPr>
          <w:p>
            <w:pPr>
              <w:spacing w:after="0"/>
            </w:pPr>
            <w:r>
              <w:rPr>
                <w:b w:val="false"/>
                <w:bCs w:val="false"/>
                <w:color w:val="1F2D3D"/>
                <w:sz w:val="20"/>
                <w:szCs w:val="20"/>
              </w:rPr>
              <w:t xml:space="preserve">T+1 或准实时</w:t>
            </w:r>
          </w:p>
        </w:tc>
      </w:tr>
      <w:tr>
        <w:tc>
          <w:tcPr>
            <w:tcW w:type="dxa" w:w="18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排班/请假/考勤</w:t>
            </w:r>
          </w:p>
        </w:tc>
        <w:tc>
          <w:tcPr>
            <w:tcW w:type="dxa" w:w="28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APHR接口获取（APHR内部完成处理，甲丁智能体仅读取展示）</w:t>
            </w:r>
          </w:p>
        </w:tc>
        <w:tc>
          <w:tcPr>
            <w:tcW w:type="dxa" w:w="28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维持APHR接口，视需要扩展字段</w:t>
            </w:r>
          </w:p>
        </w:tc>
        <w:tc>
          <w:tcPr>
            <w:tcW w:type="dxa" w:w="1626"/>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与APHR保持一致（准实时）</w:t>
            </w:r>
          </w:p>
        </w:tc>
      </w:tr>
      <w:tr>
        <w:tc>
          <w:tcPr>
            <w:tcW w:type="dxa" w:w="1800"/>
            <w:tcMar>
              <w:top w:type="dxa" w:w="80"/>
              <w:left w:type="dxa" w:w="100"/>
              <w:bottom w:type="dxa" w:w="80"/>
              <w:right w:type="dxa" w:w="100"/>
            </w:tcMar>
            <w:vAlign w:val="center"/>
          </w:tcPr>
          <w:p>
            <w:pPr>
              <w:spacing w:after="0"/>
            </w:pPr>
            <w:r>
              <w:rPr>
                <w:b w:val="false"/>
                <w:bCs w:val="false"/>
                <w:color w:val="1F2D3D"/>
                <w:sz w:val="20"/>
                <w:szCs w:val="20"/>
              </w:rPr>
              <w:t xml:space="preserve">订单数据</w:t>
            </w:r>
          </w:p>
        </w:tc>
        <w:tc>
          <w:tcPr>
            <w:tcW w:type="dxa" w:w="2800"/>
            <w:tcMar>
              <w:top w:type="dxa" w:w="80"/>
              <w:left w:type="dxa" w:w="100"/>
              <w:bottom w:type="dxa" w:w="80"/>
              <w:right w:type="dxa" w:w="100"/>
            </w:tcMar>
            <w:vAlign w:val="center"/>
          </w:tcPr>
          <w:p>
            <w:pPr>
              <w:spacing w:after="0"/>
            </w:pPr>
            <w:r>
              <w:rPr>
                <w:b w:val="false"/>
                <w:bCs w:val="false"/>
                <w:color w:val="1F2D3D"/>
                <w:sz w:val="20"/>
                <w:szCs w:val="20"/>
              </w:rPr>
              <w:t xml:space="preserve">管理后台手工录入</w:t>
            </w:r>
          </w:p>
        </w:tc>
        <w:tc>
          <w:tcPr>
            <w:tcW w:type="dxa" w:w="2800"/>
            <w:tcMar>
              <w:top w:type="dxa" w:w="80"/>
              <w:left w:type="dxa" w:w="100"/>
              <w:bottom w:type="dxa" w:w="80"/>
              <w:right w:type="dxa" w:w="100"/>
            </w:tcMar>
            <w:vAlign w:val="center"/>
          </w:tcPr>
          <w:p>
            <w:pPr>
              <w:spacing w:after="0"/>
            </w:pPr>
            <w:r>
              <w:rPr>
                <w:b w:val="false"/>
                <w:bCs w:val="false"/>
                <w:color w:val="1F2D3D"/>
                <w:sz w:val="20"/>
                <w:szCs w:val="20"/>
              </w:rPr>
              <w:t xml:space="preserve">SAP底表定时同步（字段待确认）</w:t>
            </w:r>
          </w:p>
        </w:tc>
        <w:tc>
          <w:tcPr>
            <w:tcW w:type="dxa" w:w="1626"/>
            <w:tcMar>
              <w:top w:type="dxa" w:w="80"/>
              <w:left w:type="dxa" w:w="100"/>
              <w:bottom w:type="dxa" w:w="80"/>
              <w:right w:type="dxa" w:w="100"/>
            </w:tcMar>
            <w:vAlign w:val="center"/>
          </w:tcPr>
          <w:p>
            <w:pPr>
              <w:spacing w:after="0"/>
            </w:pPr>
            <w:r>
              <w:rPr>
                <w:b w:val="false"/>
                <w:bCs w:val="false"/>
                <w:color w:val="1F2D3D"/>
                <w:sz w:val="20"/>
                <w:szCs w:val="20"/>
              </w:rPr>
              <w:t xml:space="preserve">按需/每日</w:t>
            </w:r>
          </w:p>
        </w:tc>
      </w:tr>
      <w:tr>
        <w:tc>
          <w:tcPr>
            <w:tcW w:type="dxa" w:w="18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生产合格率/不良品</w:t>
            </w:r>
          </w:p>
        </w:tc>
        <w:tc>
          <w:tcPr>
            <w:tcW w:type="dxa" w:w="28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管理后台手工填报</w:t>
            </w:r>
          </w:p>
        </w:tc>
        <w:tc>
          <w:tcPr>
            <w:tcW w:type="dxa" w:w="28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SAP底表定时同步（字段待确认）</w:t>
            </w:r>
          </w:p>
        </w:tc>
        <w:tc>
          <w:tcPr>
            <w:tcW w:type="dxa" w:w="1626"/>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每日/每班次</w:t>
            </w:r>
          </w:p>
        </w:tc>
      </w:tr>
      <w:tr>
        <w:tc>
          <w:tcPr>
            <w:tcW w:type="dxa" w:w="1800"/>
            <w:tcMar>
              <w:top w:type="dxa" w:w="80"/>
              <w:left w:type="dxa" w:w="100"/>
              <w:bottom w:type="dxa" w:w="80"/>
              <w:right w:type="dxa" w:w="100"/>
            </w:tcMar>
            <w:vAlign w:val="center"/>
          </w:tcPr>
          <w:p>
            <w:pPr>
              <w:spacing w:after="0"/>
            </w:pPr>
            <w:r>
              <w:rPr>
                <w:b w:val="false"/>
                <w:bCs w:val="false"/>
                <w:color w:val="1F2D3D"/>
                <w:sz w:val="20"/>
                <w:szCs w:val="20"/>
              </w:rPr>
              <w:t xml:space="preserve">加班申请</w:t>
            </w:r>
          </w:p>
        </w:tc>
        <w:tc>
          <w:tcPr>
            <w:tcW w:type="dxa" w:w="2800"/>
            <w:tcMar>
              <w:top w:type="dxa" w:w="80"/>
              <w:left w:type="dxa" w:w="100"/>
              <w:bottom w:type="dxa" w:w="80"/>
              <w:right w:type="dxa" w:w="100"/>
            </w:tcMar>
            <w:vAlign w:val="center"/>
          </w:tcPr>
          <w:p>
            <w:pPr>
              <w:spacing w:after="0"/>
            </w:pPr>
            <w:r>
              <w:rPr>
                <w:b w:val="false"/>
                <w:bCs w:val="false"/>
                <w:color w:val="1F2D3D"/>
                <w:sz w:val="20"/>
                <w:szCs w:val="20"/>
              </w:rPr>
              <w:t xml:space="preserve">内部流转+人工代提交</w:t>
            </w:r>
          </w:p>
        </w:tc>
        <w:tc>
          <w:tcPr>
            <w:tcW w:type="dxa" w:w="2800"/>
            <w:tcMar>
              <w:top w:type="dxa" w:w="80"/>
              <w:left w:type="dxa" w:w="100"/>
              <w:bottom w:type="dxa" w:w="80"/>
              <w:right w:type="dxa" w:w="100"/>
            </w:tcMar>
            <w:vAlign w:val="center"/>
          </w:tcPr>
          <w:p>
            <w:pPr>
              <w:spacing w:after="0"/>
            </w:pPr>
            <w:r>
              <w:rPr>
                <w:b w:val="false"/>
                <w:bCs w:val="false"/>
                <w:color w:val="1F2D3D"/>
                <w:sz w:val="20"/>
                <w:szCs w:val="20"/>
              </w:rPr>
              <w:t xml:space="preserve">第三方系统API对接（开发中，待排期）</w:t>
            </w:r>
          </w:p>
        </w:tc>
        <w:tc>
          <w:tcPr>
            <w:tcW w:type="dxa" w:w="1626"/>
            <w:tcMar>
              <w:top w:type="dxa" w:w="80"/>
              <w:left w:type="dxa" w:w="100"/>
              <w:bottom w:type="dxa" w:w="80"/>
              <w:right w:type="dxa" w:w="100"/>
            </w:tcMar>
            <w:vAlign w:val="center"/>
          </w:tcPr>
          <w:p>
            <w:pPr>
              <w:spacing w:after="0"/>
            </w:pPr>
            <w:r>
              <w:rPr>
                <w:b w:val="false"/>
                <w:bCs w:val="false"/>
                <w:color w:val="1F2D3D"/>
                <w:sz w:val="20"/>
                <w:szCs w:val="20"/>
              </w:rPr>
              <w:t xml:space="preserve">实时</w:t>
            </w:r>
          </w:p>
        </w:tc>
      </w:tr>
    </w:tbl>
    <w:p>
      <w:pPr>
        <w:pStyle w:val="Heading2"/>
        <w:spacing w:after="140" w:before="280"/>
      </w:pPr>
      <w:r>
        <w:rPr>
          <w:b/>
          <w:bCs/>
          <w:color w:val="0E7C86"/>
          <w:sz w:val="25"/>
          <w:szCs w:val="25"/>
        </w:rPr>
        <w:t xml:space="preserve">4.4 数据回写方案</w:t>
      </w:r>
    </w:p>
    <w:p>
      <w:pPr>
        <w:spacing w:after="160" w:line="320"/>
      </w:pPr>
      <w:r>
        <w:rPr>
          <w:color w:val="1F2D3D"/>
          <w:sz w:val="21"/>
          <w:szCs w:val="21"/>
        </w:rPr>
        <w:t xml:space="preserve">除了从APHR、SAP等系统接入数据，甲丁智能体还有两类数据需要回写到外部系统，均涉及对APHR的写入权限，与其余数据只读的原则不同，需要与APHR一侧单独确认接口与规则：</w:t>
      </w:r>
    </w:p>
    <w:tbl>
      <w:tblPr>
        <w:tblW w:type="dxa" w:w="9026"/>
        <w:tblBorders>
          <w:top w:val="single" w:color="C9D2D8" w:sz="4"/>
          <w:left w:val="single" w:color="C9D2D8" w:sz="4"/>
          <w:bottom w:val="single" w:color="C9D2D8" w:sz="4"/>
          <w:right w:val="single" w:color="C9D2D8" w:sz="4"/>
          <w:insideH w:val="single" w:color="C9D2D8" w:sz="4"/>
          <w:insideV w:val="single" w:color="C9D2D8" w:sz="4"/>
        </w:tblBorders>
      </w:tblPr>
      <w:tblGrid>
        <w:gridCol w:w="2200"/>
        <w:gridCol w:w="2800"/>
        <w:gridCol w:w="2200"/>
        <w:gridCol w:w="1826"/>
      </w:tblGrid>
      <w:tr>
        <w:trPr>
          <w:tblHeader/>
        </w:trPr>
        <w:tc>
          <w:tcPr>
            <w:tcW w:type="dxa" w:w="2200"/>
            <w:shd w:fill="0B3559" w:val="clear"/>
            <w:tcMar>
              <w:top w:type="dxa" w:w="80"/>
              <w:left w:type="dxa" w:w="100"/>
              <w:bottom w:type="dxa" w:w="80"/>
              <w:right w:type="dxa" w:w="100"/>
            </w:tcMar>
            <w:vAlign w:val="center"/>
          </w:tcPr>
          <w:p>
            <w:pPr>
              <w:spacing w:after="0"/>
            </w:pPr>
            <w:r>
              <w:rPr>
                <w:b/>
                <w:bCs/>
                <w:color w:val="FFFFFF"/>
                <w:sz w:val="20"/>
                <w:szCs w:val="20"/>
              </w:rPr>
              <w:t xml:space="preserve">数据项</w:t>
            </w:r>
          </w:p>
        </w:tc>
        <w:tc>
          <w:tcPr>
            <w:tcW w:type="dxa" w:w="2800"/>
            <w:shd w:fill="0B3559" w:val="clear"/>
            <w:tcMar>
              <w:top w:type="dxa" w:w="80"/>
              <w:left w:type="dxa" w:w="100"/>
              <w:bottom w:type="dxa" w:w="80"/>
              <w:right w:type="dxa" w:w="100"/>
            </w:tcMar>
            <w:vAlign w:val="center"/>
          </w:tcPr>
          <w:p>
            <w:pPr>
              <w:spacing w:after="0"/>
            </w:pPr>
            <w:r>
              <w:rPr>
                <w:b/>
                <w:bCs/>
                <w:color w:val="FFFFFF"/>
                <w:sz w:val="20"/>
                <w:szCs w:val="20"/>
              </w:rPr>
              <w:t xml:space="preserve">回写目标</w:t>
            </w:r>
          </w:p>
        </w:tc>
        <w:tc>
          <w:tcPr>
            <w:tcW w:type="dxa" w:w="2200"/>
            <w:shd w:fill="0B3559" w:val="clear"/>
            <w:tcMar>
              <w:top w:type="dxa" w:w="80"/>
              <w:left w:type="dxa" w:w="100"/>
              <w:bottom w:type="dxa" w:w="80"/>
              <w:right w:type="dxa" w:w="100"/>
            </w:tcMar>
            <w:vAlign w:val="center"/>
          </w:tcPr>
          <w:p>
            <w:pPr>
              <w:spacing w:after="0"/>
            </w:pPr>
            <w:r>
              <w:rPr>
                <w:b/>
                <w:bCs/>
                <w:color w:val="FFFFFF"/>
                <w:sz w:val="20"/>
                <w:szCs w:val="20"/>
              </w:rPr>
              <w:t xml:space="preserve">回写时机</w:t>
            </w:r>
          </w:p>
        </w:tc>
        <w:tc>
          <w:tcPr>
            <w:tcW w:type="dxa" w:w="1826"/>
            <w:shd w:fill="0B3559" w:val="clear"/>
            <w:tcMar>
              <w:top w:type="dxa" w:w="80"/>
              <w:left w:type="dxa" w:w="100"/>
              <w:bottom w:type="dxa" w:w="80"/>
              <w:right w:type="dxa" w:w="100"/>
            </w:tcMar>
            <w:vAlign w:val="center"/>
          </w:tcPr>
          <w:p>
            <w:pPr>
              <w:spacing w:after="0"/>
            </w:pPr>
            <w:r>
              <w:rPr>
                <w:b/>
                <w:bCs/>
                <w:color w:val="FFFFFF"/>
                <w:sz w:val="20"/>
                <w:szCs w:val="20"/>
              </w:rPr>
              <w:t xml:space="preserve">说明</w:t>
            </w:r>
          </w:p>
        </w:tc>
      </w:tr>
      <w:tr>
        <w:tc>
          <w:tcPr>
            <w:tcW w:type="dxa" w:w="2200"/>
            <w:tcMar>
              <w:top w:type="dxa" w:w="80"/>
              <w:left w:type="dxa" w:w="100"/>
              <w:bottom w:type="dxa" w:w="80"/>
              <w:right w:type="dxa" w:w="100"/>
            </w:tcMar>
            <w:vAlign w:val="center"/>
          </w:tcPr>
          <w:p>
            <w:pPr>
              <w:spacing w:after="0"/>
            </w:pPr>
            <w:r>
              <w:rPr>
                <w:b w:val="false"/>
                <w:bCs w:val="false"/>
                <w:color w:val="1F2D3D"/>
                <w:sz w:val="20"/>
                <w:szCs w:val="20"/>
              </w:rPr>
              <w:t xml:space="preserve">一线员工日评分</w:t>
            </w:r>
          </w:p>
        </w:tc>
        <w:tc>
          <w:tcPr>
            <w:tcW w:type="dxa" w:w="2800"/>
            <w:tcMar>
              <w:top w:type="dxa" w:w="80"/>
              <w:left w:type="dxa" w:w="100"/>
              <w:bottom w:type="dxa" w:w="80"/>
              <w:right w:type="dxa" w:w="100"/>
            </w:tcMar>
            <w:vAlign w:val="center"/>
          </w:tcPr>
          <w:p>
            <w:pPr>
              <w:spacing w:after="0"/>
            </w:pPr>
            <w:r>
              <w:rPr>
                <w:b w:val="false"/>
                <w:bCs w:val="false"/>
                <w:color w:val="1F2D3D"/>
                <w:sz w:val="20"/>
                <w:szCs w:val="20"/>
              </w:rPr>
              <w:t xml:space="preserve">APHR绩效体系</w:t>
            </w:r>
          </w:p>
        </w:tc>
        <w:tc>
          <w:tcPr>
            <w:tcW w:type="dxa" w:w="2200"/>
            <w:tcMar>
              <w:top w:type="dxa" w:w="80"/>
              <w:left w:type="dxa" w:w="100"/>
              <w:bottom w:type="dxa" w:w="80"/>
              <w:right w:type="dxa" w:w="100"/>
            </w:tcMar>
            <w:vAlign w:val="center"/>
          </w:tcPr>
          <w:p>
            <w:pPr>
              <w:spacing w:after="0"/>
            </w:pPr>
            <w:r>
              <w:rPr>
                <w:b w:val="false"/>
                <w:bCs w:val="false"/>
                <w:color w:val="1F2D3D"/>
                <w:sz w:val="20"/>
                <w:szCs w:val="20"/>
              </w:rPr>
              <w:t xml:space="preserve">评分提交后实时/准实时回写</w:t>
            </w:r>
          </w:p>
        </w:tc>
        <w:tc>
          <w:tcPr>
            <w:tcW w:type="dxa" w:w="1826"/>
            <w:tcMar>
              <w:top w:type="dxa" w:w="80"/>
              <w:left w:type="dxa" w:w="100"/>
              <w:bottom w:type="dxa" w:w="80"/>
              <w:right w:type="dxa" w:w="100"/>
            </w:tcMar>
            <w:vAlign w:val="center"/>
          </w:tcPr>
          <w:p>
            <w:pPr>
              <w:spacing w:after="0"/>
            </w:pPr>
            <w:r>
              <w:rPr>
                <w:b w:val="false"/>
                <w:bCs w:val="false"/>
                <w:color w:val="1F2D3D"/>
                <w:sz w:val="20"/>
                <w:szCs w:val="20"/>
              </w:rPr>
              <w:t xml:space="preserve">由APHR统一存储管理，甲丁智能体自身不重复落库；需要APHR开放对应写接口，具体字段与规则待确认</w:t>
            </w:r>
          </w:p>
        </w:tc>
      </w:tr>
      <w:tr>
        <w:tc>
          <w:tcPr>
            <w:tcW w:type="dxa" w:w="22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加班申请审批结果</w:t>
            </w:r>
          </w:p>
        </w:tc>
        <w:tc>
          <w:tcPr>
            <w:tcW w:type="dxa" w:w="28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第三方加班审批系统 ＋ APHR对应加班记录</w:t>
            </w:r>
          </w:p>
        </w:tc>
        <w:tc>
          <w:tcPr>
            <w:tcW w:type="dxa" w:w="22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审批通过后同步</w:t>
            </w:r>
          </w:p>
        </w:tc>
        <w:tc>
          <w:tcPr>
            <w:tcW w:type="dxa" w:w="1826"/>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第三方系统对接需要开发排期，一期先以人工代提交/导出方式过渡；APHR侧的加班记录写入需单独确认接口</w:t>
            </w:r>
          </w:p>
        </w:tc>
      </w:tr>
    </w:tbl>
    <w:p>
      <w:pPr>
        <w:pStyle w:val="Heading1"/>
        <w:pBdr>
          <w:bottom w:val="single" w:color="0E7C86" w:sz="6" w:space="4"/>
        </w:pBdr>
        <w:spacing w:after="200" w:before="400"/>
      </w:pPr>
      <w:r>
        <w:rPr>
          <w:b/>
          <w:bCs/>
          <w:color w:val="0B3559"/>
          <w:sz w:val="30"/>
          <w:szCs w:val="30"/>
        </w:rPr>
        <w:t xml:space="preserve">五、核心业务流程设计（一期四大场景）</w:t>
      </w:r>
    </w:p>
    <w:p>
      <w:pPr>
        <w:pStyle w:val="Heading2"/>
        <w:spacing w:after="140" w:before="280"/>
      </w:pPr>
      <w:r>
        <w:rPr>
          <w:b/>
          <w:bCs/>
          <w:color w:val="0E7C86"/>
          <w:sz w:val="25"/>
          <w:szCs w:val="25"/>
        </w:rPr>
        <w:t xml:space="preserve">5.1 订单—人岗智能匹配推荐</w:t>
      </w:r>
    </w:p>
    <w:p>
      <w:pPr>
        <w:spacing w:after="160" w:line="320"/>
      </w:pPr>
      <w:r>
        <w:rPr>
          <w:color w:val="1F2D3D"/>
          <w:sz w:val="21"/>
          <w:szCs w:val="21"/>
        </w:rPr>
        <w:t xml:space="preserve">这是一期的核心场景，流程如下：</w:t>
      </w:r>
    </w:p>
    <w:p>
      <w:pPr>
        <w:pStyle w:val="ListParagraph"/>
        <w:numPr>
          <w:ilvl w:val="0"/>
          <w:numId w:val="4"/>
        </w:numPr>
        <w:spacing w:after="80" w:line="300"/>
      </w:pPr>
      <w:r>
        <w:rPr>
          <w:color w:val="1F2D3D"/>
          <w:sz w:val="21"/>
          <w:szCs w:val="21"/>
        </w:rPr>
        <w:t xml:space="preserve">订单信息录入（一期在管理后台手工录入，二期SAP同步），系统解析所需岗位技能、数量与交期；</w:t>
      </w:r>
    </w:p>
    <w:p>
      <w:pPr>
        <w:pStyle w:val="ListParagraph"/>
        <w:numPr>
          <w:ilvl w:val="0"/>
          <w:numId w:val="4"/>
        </w:numPr>
        <w:spacing w:after="80" w:line="300"/>
      </w:pPr>
      <w:r>
        <w:rPr>
          <w:color w:val="1F2D3D"/>
          <w:sz w:val="21"/>
          <w:szCs w:val="21"/>
        </w:rPr>
        <w:t xml:space="preserve">规则引擎在候选员工范围内，按岗位技能标签做初筛，并叠加约束条件：从APHR获取的当日排班状态、请假情况，以及近期加班时长是否超限、连续出勤天数等；</w:t>
      </w:r>
    </w:p>
    <w:p>
      <w:pPr>
        <w:pStyle w:val="ListParagraph"/>
        <w:numPr>
          <w:ilvl w:val="0"/>
          <w:numId w:val="4"/>
        </w:numPr>
        <w:spacing w:after="80" w:line="300"/>
      </w:pPr>
      <w:r>
        <w:rPr>
          <w:color w:val="1F2D3D"/>
          <w:sz w:val="21"/>
          <w:szCs w:val="21"/>
        </w:rPr>
        <w:t xml:space="preserve">对筛选结果排序并生成推荐名单，Qwen2.5-14B-AWQ 负责将匹配依据整理为班组长可读的自然语言说明（例如“推荐张三：具备X技能认证，近7日未加班超限，当前空闲”）；</w:t>
      </w:r>
    </w:p>
    <w:p>
      <w:pPr>
        <w:pStyle w:val="ListParagraph"/>
        <w:numPr>
          <w:ilvl w:val="0"/>
          <w:numId w:val="4"/>
        </w:numPr>
        <w:spacing w:after="80" w:line="300"/>
      </w:pPr>
      <w:r>
        <w:rPr>
          <w:color w:val="1F2D3D"/>
          <w:sz w:val="21"/>
          <w:szCs w:val="21"/>
        </w:rPr>
        <w:t xml:space="preserve">推荐结果推送至Web大屏，并可按需通过dingtalk-service推送至钉钉、或推送至邮箱；</w:t>
      </w:r>
    </w:p>
    <w:p>
      <w:pPr>
        <w:pStyle w:val="ListParagraph"/>
        <w:numPr>
          <w:ilvl w:val="0"/>
          <w:numId w:val="4"/>
        </w:numPr>
        <w:spacing w:after="80" w:line="300"/>
      </w:pPr>
      <w:r>
        <w:rPr>
          <w:color w:val="1F2D3D"/>
          <w:sz w:val="21"/>
          <w:szCs w:val="21"/>
        </w:rPr>
        <w:t xml:space="preserve">班组长/主管在大屏上确认或调整推荐结果，确认结果沉淀为生产任务排班依据。</w:t>
      </w:r>
    </w:p>
    <w:p>
      <w:pPr>
        <w:pStyle w:val="Heading2"/>
        <w:spacing w:after="140" w:before="280"/>
      </w:pPr>
      <w:r>
        <w:rPr>
          <w:b/>
          <w:bCs/>
          <w:color w:val="0E7C86"/>
          <w:sz w:val="25"/>
          <w:szCs w:val="25"/>
        </w:rPr>
        <w:t xml:space="preserve">5.2 排班/请假/考勤看板</w:t>
      </w:r>
    </w:p>
    <w:p>
      <w:pPr>
        <w:spacing w:after="160" w:line="320"/>
      </w:pPr>
      <w:r>
        <w:rPr>
          <w:color w:val="1F2D3D"/>
          <w:sz w:val="21"/>
          <w:szCs w:val="21"/>
        </w:rPr>
        <w:t xml:space="preserve">排班、请假、考勤信息统一在APHR完成记录与维护，甲丁智能体不重复实现考勤处理逻辑，而是通过接口从APHR获取所需数据，在大屏上以班组/个人两个维度展示排班、请假、出勤状态，作为人岗匹配推荐的重要输入约束，同时供班组长/主管日常查阅。</w:t>
      </w:r>
    </w:p>
    <w:p>
      <w:pPr>
        <w:pStyle w:val="Heading2"/>
        <w:spacing w:after="140" w:before="280"/>
      </w:pPr>
      <w:r>
        <w:rPr>
          <w:b/>
          <w:bCs/>
          <w:color w:val="0E7C86"/>
          <w:sz w:val="25"/>
          <w:szCs w:val="25"/>
        </w:rPr>
        <w:t xml:space="preserve">5.3 加班申请审批流程</w:t>
      </w:r>
    </w:p>
    <w:p>
      <w:pPr>
        <w:spacing w:after="160" w:line="320"/>
      </w:pPr>
      <w:r>
        <w:rPr>
          <w:color w:val="1F2D3D"/>
          <w:sz w:val="21"/>
          <w:szCs w:val="21"/>
        </w:rPr>
        <w:t xml:space="preserve">加班的报表查看、提交、审批全流程均在甲丁智能体内完成，具体如下：</w:t>
      </w:r>
    </w:p>
    <w:p>
      <w:pPr>
        <w:pStyle w:val="ListParagraph"/>
        <w:numPr>
          <w:ilvl w:val="0"/>
          <w:numId w:val="2"/>
        </w:numPr>
        <w:spacing w:after="80" w:line="300"/>
      </w:pPr>
      <w:r>
        <w:rPr>
          <w:color w:val="1F2D3D"/>
          <w:sz w:val="21"/>
          <w:szCs w:val="21"/>
        </w:rPr>
        <w:t xml:space="preserve">甲丁智能体提供加班相关报表（如个人/班组累计加班时长），班组长/员工据此发起加班申请，系统按预设规则（如加班时长上限、连续出勤天数）做合规校验；</w:t>
      </w:r>
    </w:p>
    <w:p>
      <w:pPr>
        <w:pStyle w:val="ListParagraph"/>
        <w:numPr>
          <w:ilvl w:val="0"/>
          <w:numId w:val="2"/>
        </w:numPr>
        <w:spacing w:after="80" w:line="300"/>
      </w:pPr>
      <w:r>
        <w:rPr>
          <w:color w:val="1F2D3D"/>
          <w:sz w:val="21"/>
          <w:szCs w:val="21"/>
        </w:rPr>
        <w:t xml:space="preserve">审批流程在甲丁智能体内部完成流转（班组长/主管审批），生成标准化的审批结果数据；</w:t>
      </w:r>
    </w:p>
    <w:p>
      <w:pPr>
        <w:pStyle w:val="ListParagraph"/>
        <w:numPr>
          <w:ilvl w:val="0"/>
          <w:numId w:val="2"/>
        </w:numPr>
        <w:spacing w:after="80" w:line="300"/>
      </w:pPr>
      <w:r>
        <w:rPr>
          <w:color w:val="1F2D3D"/>
          <w:sz w:val="21"/>
          <w:szCs w:val="21"/>
        </w:rPr>
        <w:t xml:space="preserve">审批通过后，结果需要分别同步到两处：第三方加班审批系统（一期以人工代提交/导出方式过渡，接口开发完成后切换为API自动提交），以及APHR对应的加班记录（用于人事档案留存，需要APHR一侧开放写接口，具体字段与规则待确认）。</w:t>
      </w:r>
    </w:p>
    <w:p>
      <w:pPr>
        <w:pStyle w:val="Heading2"/>
        <w:spacing w:after="140" w:before="280"/>
      </w:pPr>
      <w:r>
        <w:rPr>
          <w:b/>
          <w:bCs/>
          <w:color w:val="0E7C86"/>
          <w:sz w:val="25"/>
          <w:szCs w:val="25"/>
        </w:rPr>
        <w:t xml:space="preserve">5.4 一线员工日评分</w:t>
      </w:r>
    </w:p>
    <w:p>
      <w:pPr>
        <w:spacing w:after="160" w:line="320"/>
      </w:pPr>
      <w:r>
        <w:rPr>
          <w:color w:val="1F2D3D"/>
          <w:sz w:val="21"/>
          <w:szCs w:val="21"/>
        </w:rPr>
        <w:t xml:space="preserve">由班组长对一线员工进行每日评分，当前为单一主观评分，特殊情况需填写备注说明。考虑到员工的基本信息、考勤、绩效均统一由APHR管理，日评分作为绩效数据的一部分，设计为：甲丁智能体只提供评分的录入入口（嵌入在班组长日常使用的大屏/操作界面中，方便随手打分），实际评分结果通过接口写入APHR的绩效体系，由APHR完成存储与管理，甲丁智能体自身不重复落库，避免同一类人事数据在两套系统里维护。</w:t>
      </w:r>
    </w:p>
    <w:p>
      <w:pPr>
        <w:pStyle w:val="Heading2"/>
        <w:spacing w:after="140" w:before="280"/>
      </w:pPr>
      <w:r>
        <w:rPr>
          <w:b/>
          <w:bCs/>
          <w:color w:val="0E7C86"/>
          <w:sz w:val="25"/>
          <w:szCs w:val="25"/>
        </w:rPr>
        <w:t xml:space="preserve">5.5 生产数据记录（合格率/不良品）</w:t>
      </w:r>
    </w:p>
    <w:p>
      <w:pPr>
        <w:spacing w:after="160" w:line="320"/>
      </w:pPr>
      <w:r>
        <w:rPr>
          <w:color w:val="1F2D3D"/>
          <w:sz w:val="21"/>
          <w:szCs w:val="21"/>
        </w:rPr>
        <w:t xml:space="preserve">一期由班组长/质检人员在管理后台手工填报每日/每班次的合格率、不良品数量及不良类型；待SAP底表字段确认后，切换为定时同步，手工入口保留作为异常场景的补录通道。</w:t>
      </w:r>
    </w:p>
    <w:p>
      <w:pPr>
        <w:pStyle w:val="Heading1"/>
        <w:pBdr>
          <w:bottom w:val="single" w:color="0E7C86" w:sz="6" w:space="4"/>
        </w:pBdr>
        <w:spacing w:after="200" w:before="400"/>
      </w:pPr>
      <w:r>
        <w:rPr>
          <w:b/>
          <w:bCs/>
          <w:color w:val="0B3559"/>
          <w:sz w:val="30"/>
          <w:szCs w:val="30"/>
        </w:rPr>
        <w:t xml:space="preserve">六、模型与智能编排设计</w:t>
      </w:r>
    </w:p>
    <w:p>
      <w:pPr>
        <w:pStyle w:val="Heading2"/>
        <w:spacing w:after="140" w:before="280"/>
      </w:pPr>
      <w:r>
        <w:rPr>
          <w:b/>
          <w:bCs/>
          <w:color w:val="0E7C86"/>
          <w:sz w:val="25"/>
          <w:szCs w:val="25"/>
        </w:rPr>
        <w:t xml:space="preserve">6.1 双模型分工</w:t>
      </w:r>
    </w:p>
    <w:tbl>
      <w:tblPr>
        <w:tblW w:type="dxa" w:w="9026"/>
        <w:tblBorders>
          <w:top w:val="single" w:color="C9D2D8" w:sz="4"/>
          <w:left w:val="single" w:color="C9D2D8" w:sz="4"/>
          <w:bottom w:val="single" w:color="C9D2D8" w:sz="4"/>
          <w:right w:val="single" w:color="C9D2D8" w:sz="4"/>
          <w:insideH w:val="single" w:color="C9D2D8" w:sz="4"/>
          <w:insideV w:val="single" w:color="C9D2D8" w:sz="4"/>
        </w:tblBorders>
      </w:tblPr>
      <w:tblGrid>
        <w:gridCol w:w="2400"/>
        <w:gridCol w:w="2800"/>
        <w:gridCol w:w="3826"/>
      </w:tblGrid>
      <w:tr>
        <w:trPr>
          <w:tblHeader/>
        </w:trPr>
        <w:tc>
          <w:tcPr>
            <w:tcW w:type="dxa" w:w="2400"/>
            <w:shd w:fill="0B3559" w:val="clear"/>
            <w:tcMar>
              <w:top w:type="dxa" w:w="80"/>
              <w:left w:type="dxa" w:w="100"/>
              <w:bottom w:type="dxa" w:w="80"/>
              <w:right w:type="dxa" w:w="100"/>
            </w:tcMar>
            <w:vAlign w:val="center"/>
          </w:tcPr>
          <w:p>
            <w:pPr>
              <w:spacing w:after="0"/>
            </w:pPr>
            <w:r>
              <w:rPr>
                <w:b/>
                <w:bCs/>
                <w:color w:val="FFFFFF"/>
                <w:sz w:val="20"/>
                <w:szCs w:val="20"/>
              </w:rPr>
              <w:t xml:space="preserve">模型</w:t>
            </w:r>
          </w:p>
        </w:tc>
        <w:tc>
          <w:tcPr>
            <w:tcW w:type="dxa" w:w="2800"/>
            <w:shd w:fill="0B3559" w:val="clear"/>
            <w:tcMar>
              <w:top w:type="dxa" w:w="80"/>
              <w:left w:type="dxa" w:w="100"/>
              <w:bottom w:type="dxa" w:w="80"/>
              <w:right w:type="dxa" w:w="100"/>
            </w:tcMar>
            <w:vAlign w:val="center"/>
          </w:tcPr>
          <w:p>
            <w:pPr>
              <w:spacing w:after="0"/>
            </w:pPr>
            <w:r>
              <w:rPr>
                <w:b/>
                <w:bCs/>
                <w:color w:val="FFFFFF"/>
                <w:sz w:val="20"/>
                <w:szCs w:val="20"/>
              </w:rPr>
              <w:t xml:space="preserve">定位</w:t>
            </w:r>
          </w:p>
        </w:tc>
        <w:tc>
          <w:tcPr>
            <w:tcW w:type="dxa" w:w="3826"/>
            <w:shd w:fill="0B3559" w:val="clear"/>
            <w:tcMar>
              <w:top w:type="dxa" w:w="80"/>
              <w:left w:type="dxa" w:w="100"/>
              <w:bottom w:type="dxa" w:w="80"/>
              <w:right w:type="dxa" w:w="100"/>
            </w:tcMar>
            <w:vAlign w:val="center"/>
          </w:tcPr>
          <w:p>
            <w:pPr>
              <w:spacing w:after="0"/>
            </w:pPr>
            <w:r>
              <w:rPr>
                <w:b/>
                <w:bCs/>
                <w:color w:val="FFFFFF"/>
                <w:sz w:val="20"/>
                <w:szCs w:val="20"/>
              </w:rPr>
              <w:t xml:space="preserve">典型场景</w:t>
            </w:r>
          </w:p>
        </w:tc>
      </w:tr>
      <w:tr>
        <w:tc>
          <w:tcPr>
            <w:tcW w:type="dxa" w:w="2400"/>
            <w:tcMar>
              <w:top w:type="dxa" w:w="80"/>
              <w:left w:type="dxa" w:w="100"/>
              <w:bottom w:type="dxa" w:w="80"/>
              <w:right w:type="dxa" w:w="100"/>
            </w:tcMar>
            <w:vAlign w:val="center"/>
          </w:tcPr>
          <w:p>
            <w:pPr>
              <w:spacing w:after="0"/>
            </w:pPr>
            <w:r>
              <w:rPr>
                <w:b w:val="false"/>
                <w:bCs w:val="false"/>
                <w:color w:val="1F2D3D"/>
                <w:sz w:val="20"/>
                <w:szCs w:val="20"/>
              </w:rPr>
              <w:t xml:space="preserve">Qwen2.5-14B-AWQ</w:t>
            </w:r>
          </w:p>
        </w:tc>
        <w:tc>
          <w:tcPr>
            <w:tcW w:type="dxa" w:w="2800"/>
            <w:tcMar>
              <w:top w:type="dxa" w:w="80"/>
              <w:left w:type="dxa" w:w="100"/>
              <w:bottom w:type="dxa" w:w="80"/>
              <w:right w:type="dxa" w:w="100"/>
            </w:tcMar>
            <w:vAlign w:val="center"/>
          </w:tcPr>
          <w:p>
            <w:pPr>
              <w:spacing w:after="0"/>
            </w:pPr>
            <w:r>
              <w:rPr>
                <w:b w:val="false"/>
                <w:bCs w:val="false"/>
                <w:color w:val="1F2D3D"/>
                <w:sz w:val="20"/>
                <w:szCs w:val="20"/>
              </w:rPr>
              <w:t xml:space="preserve">响应快、资源占用相对较低，承担高频、结构化的生成任务</w:t>
            </w:r>
          </w:p>
        </w:tc>
        <w:tc>
          <w:tcPr>
            <w:tcW w:type="dxa" w:w="3826"/>
            <w:tcMar>
              <w:top w:type="dxa" w:w="80"/>
              <w:left w:type="dxa" w:w="100"/>
              <w:bottom w:type="dxa" w:w="80"/>
              <w:right w:type="dxa" w:w="100"/>
            </w:tcMar>
            <w:vAlign w:val="center"/>
          </w:tcPr>
          <w:p>
            <w:pPr>
              <w:spacing w:after="0"/>
            </w:pPr>
            <w:r>
              <w:rPr>
                <w:b w:val="false"/>
                <w:bCs w:val="false"/>
                <w:color w:val="1F2D3D"/>
                <w:sz w:val="20"/>
                <w:szCs w:val="20"/>
              </w:rPr>
              <w:t xml:space="preserve">匹配理由说明生成、日评分归纳、推送文案生成、表单类问答</w:t>
            </w:r>
          </w:p>
        </w:tc>
      </w:tr>
      <w:tr>
        <w:tc>
          <w:tcPr>
            <w:tcW w:type="dxa" w:w="24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Gemma-31B-AWQ</w:t>
            </w:r>
          </w:p>
        </w:tc>
        <w:tc>
          <w:tcPr>
            <w:tcW w:type="dxa" w:w="28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参数量更大，语义理解与生成能力更强，承担相对复杂的推理与二期问答场景</w:t>
            </w:r>
          </w:p>
        </w:tc>
        <w:tc>
          <w:tcPr>
            <w:tcW w:type="dxa" w:w="3826"/>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异常情况的自然语言解释、二期自然语言统计问答（如学历分布查询）、多轮对话</w:t>
            </w:r>
          </w:p>
        </w:tc>
      </w:tr>
    </w:tbl>
    <w:p>
      <w:pPr>
        <w:pStyle w:val="Heading2"/>
        <w:spacing w:after="140" w:before="280"/>
      </w:pPr>
      <w:r>
        <w:rPr>
          <w:b/>
          <w:bCs/>
          <w:color w:val="0E7C86"/>
          <w:sz w:val="25"/>
          <w:szCs w:val="25"/>
        </w:rPr>
        <w:t xml:space="preserve">6.2 匹配逻辑的设计原则</w:t>
      </w:r>
    </w:p>
    <w:p>
      <w:pPr>
        <w:spacing w:after="160" w:line="320"/>
      </w:pPr>
      <w:r>
        <w:rPr>
          <w:color w:val="1F2D3D"/>
          <w:sz w:val="21"/>
          <w:szCs w:val="21"/>
        </w:rPr>
        <w:t xml:space="preserve">医疗器械生产对人员排班、加班合规、生产记录的可追溯性要求较高，人岗匹配这类直接影响生产计划的决策，不建议完全交给大模型自由生成。因此在编排层明确划分职责：</w:t>
      </w:r>
    </w:p>
    <w:p>
      <w:pPr>
        <w:pStyle w:val="ListParagraph"/>
        <w:numPr>
          <w:ilvl w:val="0"/>
          <w:numId w:val="2"/>
        </w:numPr>
        <w:spacing w:after="80" w:line="300"/>
      </w:pPr>
      <w:r>
        <w:rPr>
          <w:color w:val="1F2D3D"/>
          <w:sz w:val="21"/>
          <w:szCs w:val="21"/>
        </w:rPr>
        <w:t xml:space="preserve">规则引擎/约束求解（自研FastAPI后端）：负责确定性的筛选与排序逻辑（技能匹配、排班冲突、加班时长约束等），结果可复现、可解释、可审计；</w:t>
      </w:r>
    </w:p>
    <w:p>
      <w:pPr>
        <w:pStyle w:val="ListParagraph"/>
        <w:numPr>
          <w:ilvl w:val="0"/>
          <w:numId w:val="2"/>
        </w:numPr>
        <w:spacing w:after="80" w:line="300"/>
      </w:pPr>
      <w:r>
        <w:rPr>
          <w:color w:val="1F2D3D"/>
          <w:sz w:val="21"/>
          <w:szCs w:val="21"/>
        </w:rPr>
        <w:t xml:space="preserve">大模型：负责把规则引擎的结构化输出“翻译”成自然语言说明，以及处理开放式的自然语言交互（如二期的统计问答），不参与核心排班决策的生成。</w:t>
      </w:r>
    </w:p>
    <w:p>
      <w:pPr>
        <w:pStyle w:val="Heading2"/>
        <w:spacing w:after="140" w:before="280"/>
      </w:pPr>
      <w:r>
        <w:rPr>
          <w:b/>
          <w:bCs/>
          <w:color w:val="0E7C86"/>
          <w:sz w:val="25"/>
          <w:szCs w:val="25"/>
        </w:rPr>
        <w:t xml:space="preserve">6.3 Dify的定位</w:t>
      </w:r>
    </w:p>
    <w:p>
      <w:pPr>
        <w:spacing w:after="160" w:line="320"/>
      </w:pPr>
      <w:r>
        <w:rPr>
          <w:color w:val="1F2D3D"/>
          <w:sz w:val="21"/>
          <w:szCs w:val="21"/>
        </w:rPr>
        <w:t xml:space="preserve">Dify承担轻量、低风险的交互场景，例如“我今天有没有待审批的加班申请”“今天车间出勤率是多少”这类问答/催办式交互，以工作流形式快速搭建、便于后续迭代；而人岗匹配推荐、审批状态机等核心业务逻辑仍由自研FastAPI后端实现，保证核心流程的可控性不受限于低代码平台的能力边界。</w:t>
      </w:r>
    </w:p>
    <w:p>
      <w:pPr>
        <w:pStyle w:val="Heading1"/>
        <w:pBdr>
          <w:bottom w:val="single" w:color="0E7C86" w:sz="6" w:space="4"/>
        </w:pBdr>
        <w:spacing w:after="200" w:before="400"/>
      </w:pPr>
      <w:r>
        <w:rPr>
          <w:b/>
          <w:bCs/>
          <w:color w:val="0B3559"/>
          <w:sz w:val="30"/>
          <w:szCs w:val="30"/>
        </w:rPr>
        <w:t xml:space="preserve">七、角色、权限与登录身份设计</w:t>
      </w:r>
    </w:p>
    <w:p>
      <w:pPr>
        <w:pStyle w:val="Heading2"/>
        <w:spacing w:after="140" w:before="280"/>
      </w:pPr>
      <w:r>
        <w:rPr>
          <w:b/>
          <w:bCs/>
          <w:color w:val="0E7C86"/>
          <w:sz w:val="25"/>
          <w:szCs w:val="25"/>
        </w:rPr>
        <w:t xml:space="preserve">7.1 角色与权限矩阵</w:t>
      </w:r>
    </w:p>
    <w:p>
      <w:pPr>
        <w:spacing w:after="160" w:line="320"/>
      </w:pPr>
      <w:r>
        <w:rPr>
          <w:color w:val="1F2D3D"/>
          <w:sz w:val="21"/>
          <w:szCs w:val="21"/>
        </w:rPr>
        <w:t xml:space="preserve">角色与权限体系需要新建，并与功能模块绑定，同时保持可配置、可调整。建议采用RBAC（基于角色的访问控制）模型，角色与权限点解耦，便于后续扩展新角色。一期建议先落地“车间主管”“班组长”“系统管理员”三类角色，二期随全员化逐步扩展。</w:t>
      </w:r>
    </w:p>
    <w:tbl>
      <w:tblPr>
        <w:tblW w:type="dxa" w:w="9026"/>
        <w:tblBorders>
          <w:top w:val="single" w:color="C9D2D8" w:sz="4"/>
          <w:left w:val="single" w:color="C9D2D8" w:sz="4"/>
          <w:bottom w:val="single" w:color="C9D2D8" w:sz="4"/>
          <w:right w:val="single" w:color="C9D2D8" w:sz="4"/>
          <w:insideH w:val="single" w:color="C9D2D8" w:sz="4"/>
          <w:insideV w:val="single" w:color="C9D2D8" w:sz="4"/>
        </w:tblBorders>
      </w:tblPr>
      <w:tblGrid>
        <w:gridCol w:w="2200"/>
        <w:gridCol w:w="3200"/>
        <w:gridCol w:w="3626"/>
      </w:tblGrid>
      <w:tr>
        <w:trPr>
          <w:tblHeader/>
        </w:trPr>
        <w:tc>
          <w:tcPr>
            <w:tcW w:type="dxa" w:w="2200"/>
            <w:shd w:fill="0B3559" w:val="clear"/>
            <w:tcMar>
              <w:top w:type="dxa" w:w="80"/>
              <w:left w:type="dxa" w:w="100"/>
              <w:bottom w:type="dxa" w:w="80"/>
              <w:right w:type="dxa" w:w="100"/>
            </w:tcMar>
            <w:vAlign w:val="center"/>
          </w:tcPr>
          <w:p>
            <w:pPr>
              <w:spacing w:after="0"/>
            </w:pPr>
            <w:r>
              <w:rPr>
                <w:b/>
                <w:bCs/>
                <w:color w:val="FFFFFF"/>
                <w:sz w:val="20"/>
                <w:szCs w:val="20"/>
              </w:rPr>
              <w:t xml:space="preserve">角色</w:t>
            </w:r>
          </w:p>
        </w:tc>
        <w:tc>
          <w:tcPr>
            <w:tcW w:type="dxa" w:w="3200"/>
            <w:shd w:fill="0B3559" w:val="clear"/>
            <w:tcMar>
              <w:top w:type="dxa" w:w="80"/>
              <w:left w:type="dxa" w:w="100"/>
              <w:bottom w:type="dxa" w:w="80"/>
              <w:right w:type="dxa" w:w="100"/>
            </w:tcMar>
            <w:vAlign w:val="center"/>
          </w:tcPr>
          <w:p>
            <w:pPr>
              <w:spacing w:after="0"/>
            </w:pPr>
            <w:r>
              <w:rPr>
                <w:b/>
                <w:bCs/>
                <w:color w:val="FFFFFF"/>
                <w:sz w:val="20"/>
                <w:szCs w:val="20"/>
              </w:rPr>
              <w:t xml:space="preserve">数据可见范围</w:t>
            </w:r>
          </w:p>
        </w:tc>
        <w:tc>
          <w:tcPr>
            <w:tcW w:type="dxa" w:w="3626"/>
            <w:shd w:fill="0B3559" w:val="clear"/>
            <w:tcMar>
              <w:top w:type="dxa" w:w="80"/>
              <w:left w:type="dxa" w:w="100"/>
              <w:bottom w:type="dxa" w:w="80"/>
              <w:right w:type="dxa" w:w="100"/>
            </w:tcMar>
            <w:vAlign w:val="center"/>
          </w:tcPr>
          <w:p>
            <w:pPr>
              <w:spacing w:after="0"/>
            </w:pPr>
            <w:r>
              <w:rPr>
                <w:b/>
                <w:bCs/>
                <w:color w:val="FFFFFF"/>
                <w:sz w:val="20"/>
                <w:szCs w:val="20"/>
              </w:rPr>
              <w:t xml:space="preserve">主要权限（一期）</w:t>
            </w:r>
          </w:p>
        </w:tc>
      </w:tr>
      <w:tr>
        <w:tc>
          <w:tcPr>
            <w:tcW w:type="dxa" w:w="2200"/>
            <w:tcMar>
              <w:top w:type="dxa" w:w="80"/>
              <w:left w:type="dxa" w:w="100"/>
              <w:bottom w:type="dxa" w:w="80"/>
              <w:right w:type="dxa" w:w="100"/>
            </w:tcMar>
            <w:vAlign w:val="center"/>
          </w:tcPr>
          <w:p>
            <w:pPr>
              <w:spacing w:after="0"/>
            </w:pPr>
            <w:r>
              <w:rPr>
                <w:b w:val="false"/>
                <w:bCs w:val="false"/>
                <w:color w:val="1F2D3D"/>
                <w:sz w:val="20"/>
                <w:szCs w:val="20"/>
              </w:rPr>
              <w:t xml:space="preserve">班组长</w:t>
            </w:r>
          </w:p>
        </w:tc>
        <w:tc>
          <w:tcPr>
            <w:tcW w:type="dxa" w:w="3200"/>
            <w:tcMar>
              <w:top w:type="dxa" w:w="80"/>
              <w:left w:type="dxa" w:w="100"/>
              <w:bottom w:type="dxa" w:w="80"/>
              <w:right w:type="dxa" w:w="100"/>
            </w:tcMar>
            <w:vAlign w:val="center"/>
          </w:tcPr>
          <w:p>
            <w:pPr>
              <w:spacing w:after="0"/>
            </w:pPr>
            <w:r>
              <w:rPr>
                <w:b w:val="false"/>
                <w:bCs w:val="false"/>
                <w:color w:val="1F2D3D"/>
                <w:sz w:val="20"/>
                <w:szCs w:val="20"/>
              </w:rPr>
              <w:t xml:space="preserve">本班组员工数据</w:t>
            </w:r>
          </w:p>
        </w:tc>
        <w:tc>
          <w:tcPr>
            <w:tcW w:type="dxa" w:w="3626"/>
            <w:tcMar>
              <w:top w:type="dxa" w:w="80"/>
              <w:left w:type="dxa" w:w="100"/>
              <w:bottom w:type="dxa" w:w="80"/>
              <w:right w:type="dxa" w:w="100"/>
            </w:tcMar>
            <w:vAlign w:val="center"/>
          </w:tcPr>
          <w:p>
            <w:pPr>
              <w:spacing w:after="0"/>
            </w:pPr>
            <w:r>
              <w:rPr>
                <w:b w:val="false"/>
                <w:bCs w:val="false"/>
                <w:color w:val="1F2D3D"/>
                <w:sz w:val="20"/>
                <w:szCs w:val="20"/>
              </w:rPr>
              <w:t xml:space="preserve">查看推荐结果并确认调整、录入日评分、发起加班申请、在管理后台填报生产数据</w:t>
            </w:r>
          </w:p>
        </w:tc>
      </w:tr>
      <w:tr>
        <w:tc>
          <w:tcPr>
            <w:tcW w:type="dxa" w:w="22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车间主管</w:t>
            </w:r>
          </w:p>
        </w:tc>
        <w:tc>
          <w:tcPr>
            <w:tcW w:type="dxa" w:w="32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本车间下属全部班组数据</w:t>
            </w:r>
          </w:p>
        </w:tc>
        <w:tc>
          <w:tcPr>
            <w:tcW w:type="dxa" w:w="3626"/>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查看/调整推荐结果、审批加班申请、查看排班考勤与生产数据汇总</w:t>
            </w:r>
          </w:p>
        </w:tc>
      </w:tr>
      <w:tr>
        <w:tc>
          <w:tcPr>
            <w:tcW w:type="dxa" w:w="2200"/>
            <w:tcMar>
              <w:top w:type="dxa" w:w="80"/>
              <w:left w:type="dxa" w:w="100"/>
              <w:bottom w:type="dxa" w:w="80"/>
              <w:right w:type="dxa" w:w="100"/>
            </w:tcMar>
            <w:vAlign w:val="center"/>
          </w:tcPr>
          <w:p>
            <w:pPr>
              <w:spacing w:after="0"/>
            </w:pPr>
            <w:r>
              <w:rPr>
                <w:b w:val="false"/>
                <w:bCs w:val="false"/>
                <w:color w:val="1F2D3D"/>
                <w:sz w:val="20"/>
                <w:szCs w:val="20"/>
              </w:rPr>
              <w:t xml:space="preserve">系统管理员</w:t>
            </w:r>
          </w:p>
        </w:tc>
        <w:tc>
          <w:tcPr>
            <w:tcW w:type="dxa" w:w="3200"/>
            <w:tcMar>
              <w:top w:type="dxa" w:w="80"/>
              <w:left w:type="dxa" w:w="100"/>
              <w:bottom w:type="dxa" w:w="80"/>
              <w:right w:type="dxa" w:w="100"/>
            </w:tcMar>
            <w:vAlign w:val="center"/>
          </w:tcPr>
          <w:p>
            <w:pPr>
              <w:spacing w:after="0"/>
            </w:pPr>
            <w:r>
              <w:rPr>
                <w:b w:val="false"/>
                <w:bCs w:val="false"/>
                <w:color w:val="1F2D3D"/>
                <w:sz w:val="20"/>
                <w:szCs w:val="20"/>
              </w:rPr>
              <w:t xml:space="preserve">全量数据（配置权限）</w:t>
            </w:r>
          </w:p>
        </w:tc>
        <w:tc>
          <w:tcPr>
            <w:tcW w:type="dxa" w:w="3626"/>
            <w:tcMar>
              <w:top w:type="dxa" w:w="80"/>
              <w:left w:type="dxa" w:w="100"/>
              <w:bottom w:type="dxa" w:w="80"/>
              <w:right w:type="dxa" w:w="100"/>
            </w:tcMar>
            <w:vAlign w:val="center"/>
          </w:tcPr>
          <w:p>
            <w:pPr>
              <w:spacing w:after="0"/>
            </w:pPr>
            <w:r>
              <w:rPr>
                <w:b w:val="false"/>
                <w:bCs w:val="false"/>
                <w:color w:val="1F2D3D"/>
                <w:sz w:val="20"/>
                <w:szCs w:val="20"/>
              </w:rPr>
              <w:t xml:space="preserve">角色权限配置、数据源与同步任务管理、系统参数配置、管理后台主数据维护</w:t>
            </w:r>
          </w:p>
        </w:tc>
      </w:tr>
      <w:tr>
        <w:tc>
          <w:tcPr>
            <w:tcW w:type="dxa" w:w="22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厂长/HR/质量部（二期预留）</w:t>
            </w:r>
          </w:p>
        </w:tc>
        <w:tc>
          <w:tcPr>
            <w:tcW w:type="dxa" w:w="32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按角色分级开放（全厂/跨车间/质量专项）</w:t>
            </w:r>
          </w:p>
        </w:tc>
        <w:tc>
          <w:tcPr>
            <w:tcW w:type="dxa" w:w="3626"/>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统计报表查阅、二期自然语言问答等</w:t>
            </w:r>
          </w:p>
        </w:tc>
      </w:tr>
    </w:tbl>
    <w:p>
      <w:pPr>
        <w:pBdr>
          <w:left w:val="single" w:color="12B5A6" w:sz="12" w:space="8"/>
        </w:pBdr>
        <w:spacing w:after="200" w:before="60"/>
        <w:ind w:left="200"/>
      </w:pPr>
      <w:r>
        <w:rPr>
          <w:i/>
          <w:iCs/>
          <w:color w:val="4A5A6A"/>
          <w:sz w:val="20"/>
          <w:szCs w:val="20"/>
        </w:rPr>
        <w:t xml:space="preserve">角色-权限矩阵为可配置项，具体权限点粒度（如是否允许跨车间查看）建议在详细设计阶段与业务方进一步确认后固化。</w:t>
      </w:r>
    </w:p>
    <w:p>
      <w:pPr>
        <w:pStyle w:val="Heading2"/>
        <w:spacing w:after="140" w:before="280"/>
      </w:pPr>
      <w:r>
        <w:rPr>
          <w:b/>
          <w:bCs/>
          <w:color w:val="0E7C86"/>
          <w:sz w:val="25"/>
          <w:szCs w:val="25"/>
        </w:rPr>
        <w:t xml:space="preserve">7.2 登录与身份识别</w:t>
      </w:r>
    </w:p>
    <w:p>
      <w:pPr>
        <w:spacing w:after="160" w:line="320"/>
      </w:pPr>
      <w:r>
        <w:rPr>
          <w:color w:val="1F2D3D"/>
          <w:sz w:val="21"/>
          <w:szCs w:val="21"/>
        </w:rPr>
        <w:t xml:space="preserve">车间场景下，生产人员与普通员工/管理岗对界面的需求明显不同：生产人员更需要“字号大、操作步骤少、可快速确认”的现场界面（如日评分录入、匹配结果确认），普通员工/管理岗则需要更完整的数据查看与配置能力。因此登录身份识别需要与角色权限体系联动，按用户类型分发不同的前端视图，而不是用同一套界面覆盖所有人。</w:t>
      </w:r>
    </w:p>
    <w:p>
      <w:pPr>
        <w:pStyle w:val="ListParagraph"/>
        <w:numPr>
          <w:ilvl w:val="0"/>
          <w:numId w:val="2"/>
        </w:numPr>
        <w:spacing w:after="80" w:line="300"/>
      </w:pPr>
      <w:r>
        <w:rPr>
          <w:color w:val="1F2D3D"/>
          <w:sz w:val="21"/>
          <w:szCs w:val="21"/>
        </w:rPr>
        <w:t xml:space="preserve">一期建议：复用APHR现有账号体系做身份校验，避免另建一套独立的账号密码体系；登录后根据用户所属的岗位类型（生产人员/普通员工）与角色，自动路由到对应的界面形态；</w:t>
      </w:r>
    </w:p>
    <w:p>
      <w:pPr>
        <w:pStyle w:val="ListParagraph"/>
        <w:numPr>
          <w:ilvl w:val="0"/>
          <w:numId w:val="2"/>
        </w:numPr>
        <w:spacing w:after="80" w:line="300"/>
      </w:pPr>
      <w:r>
        <w:rPr>
          <w:color w:val="1F2D3D"/>
          <w:sz w:val="21"/>
          <w:szCs w:val="21"/>
        </w:rPr>
        <w:t xml:space="preserve">二期规划：待企业统一身份认证体系（SSO）明确后接入，届时登录入口从一期的过渡方案平滑切换为SSO单点登录，身份与权限判定逻辑保持不变。</w:t>
      </w:r>
    </w:p>
    <w:p>
      <w:pPr>
        <w:pBdr>
          <w:left w:val="single" w:color="12B5A6" w:sz="12" w:space="8"/>
        </w:pBdr>
        <w:spacing w:after="200" w:before="60"/>
        <w:ind w:left="200"/>
      </w:pPr>
      <w:r>
        <w:rPr>
          <w:i/>
          <w:iCs/>
          <w:color w:val="4A5A6A"/>
          <w:sz w:val="20"/>
          <w:szCs w:val="20"/>
        </w:rPr>
        <w:t xml:space="preserve">登录方案为项目组基于现有信息给出的推荐性设计，具体是否复用APHR账号体系、SSO选型与接入时间点，建议在详细设计阶段与IT基础设施规划进一步确认。</w:t>
      </w:r>
    </w:p>
    <w:p>
      <w:pPr>
        <w:pStyle w:val="Heading1"/>
        <w:pBdr>
          <w:bottom w:val="single" w:color="0E7C86" w:sz="6" w:space="4"/>
        </w:pBdr>
        <w:spacing w:after="200" w:before="400"/>
      </w:pPr>
      <w:r>
        <w:rPr>
          <w:b/>
          <w:bCs/>
          <w:color w:val="0B3559"/>
          <w:sz w:val="30"/>
          <w:szCs w:val="30"/>
        </w:rPr>
        <w:t xml:space="preserve">八、外部系统集成方案</w:t>
      </w:r>
    </w:p>
    <w:tbl>
      <w:tblPr>
        <w:tblW w:type="dxa" w:w="9026"/>
        <w:tblBorders>
          <w:top w:val="single" w:color="C9D2D8" w:sz="4"/>
          <w:left w:val="single" w:color="C9D2D8" w:sz="4"/>
          <w:bottom w:val="single" w:color="C9D2D8" w:sz="4"/>
          <w:right w:val="single" w:color="C9D2D8" w:sz="4"/>
          <w:insideH w:val="single" w:color="C9D2D8" w:sz="4"/>
          <w:insideV w:val="single" w:color="C9D2D8" w:sz="4"/>
        </w:tblBorders>
      </w:tblPr>
      <w:tblGrid>
        <w:gridCol w:w="2000"/>
        <w:gridCol w:w="2600"/>
        <w:gridCol w:w="2413"/>
        <w:gridCol w:w="2013"/>
      </w:tblGrid>
      <w:tr>
        <w:trPr>
          <w:tblHeader/>
        </w:trPr>
        <w:tc>
          <w:tcPr>
            <w:tcW w:type="dxa" w:w="2000"/>
            <w:shd w:fill="0B3559" w:val="clear"/>
            <w:tcMar>
              <w:top w:type="dxa" w:w="80"/>
              <w:left w:type="dxa" w:w="100"/>
              <w:bottom w:type="dxa" w:w="80"/>
              <w:right w:type="dxa" w:w="100"/>
            </w:tcMar>
            <w:vAlign w:val="center"/>
          </w:tcPr>
          <w:p>
            <w:pPr>
              <w:spacing w:after="0"/>
            </w:pPr>
            <w:r>
              <w:rPr>
                <w:b/>
                <w:bCs/>
                <w:color w:val="FFFFFF"/>
                <w:sz w:val="20"/>
                <w:szCs w:val="20"/>
              </w:rPr>
              <w:t xml:space="preserve">系统</w:t>
            </w:r>
          </w:p>
        </w:tc>
        <w:tc>
          <w:tcPr>
            <w:tcW w:type="dxa" w:w="2600"/>
            <w:shd w:fill="0B3559" w:val="clear"/>
            <w:tcMar>
              <w:top w:type="dxa" w:w="80"/>
              <w:left w:type="dxa" w:w="100"/>
              <w:bottom w:type="dxa" w:w="80"/>
              <w:right w:type="dxa" w:w="100"/>
            </w:tcMar>
            <w:vAlign w:val="center"/>
          </w:tcPr>
          <w:p>
            <w:pPr>
              <w:spacing w:after="0"/>
            </w:pPr>
            <w:r>
              <w:rPr>
                <w:b/>
                <w:bCs/>
                <w:color w:val="FFFFFF"/>
                <w:sz w:val="20"/>
                <w:szCs w:val="20"/>
              </w:rPr>
              <w:t xml:space="preserve">集成内容</w:t>
            </w:r>
          </w:p>
        </w:tc>
        <w:tc>
          <w:tcPr>
            <w:tcW w:type="dxa" w:w="2413"/>
            <w:shd w:fill="0B3559" w:val="clear"/>
            <w:tcMar>
              <w:top w:type="dxa" w:w="80"/>
              <w:left w:type="dxa" w:w="100"/>
              <w:bottom w:type="dxa" w:w="80"/>
              <w:right w:type="dxa" w:w="100"/>
            </w:tcMar>
            <w:vAlign w:val="center"/>
          </w:tcPr>
          <w:p>
            <w:pPr>
              <w:spacing w:after="0"/>
            </w:pPr>
            <w:r>
              <w:rPr>
                <w:b/>
                <w:bCs/>
                <w:color w:val="FFFFFF"/>
                <w:sz w:val="20"/>
                <w:szCs w:val="20"/>
              </w:rPr>
              <w:t xml:space="preserve">一期方式</w:t>
            </w:r>
          </w:p>
        </w:tc>
        <w:tc>
          <w:tcPr>
            <w:tcW w:type="dxa" w:w="2013"/>
            <w:shd w:fill="0B3559" w:val="clear"/>
            <w:tcMar>
              <w:top w:type="dxa" w:w="80"/>
              <w:left w:type="dxa" w:w="100"/>
              <w:bottom w:type="dxa" w:w="80"/>
              <w:right w:type="dxa" w:w="100"/>
            </w:tcMar>
            <w:vAlign w:val="center"/>
          </w:tcPr>
          <w:p>
            <w:pPr>
              <w:spacing w:after="0"/>
            </w:pPr>
            <w:r>
              <w:rPr>
                <w:b/>
                <w:bCs/>
                <w:color w:val="FFFFFF"/>
                <w:sz w:val="20"/>
                <w:szCs w:val="20"/>
              </w:rPr>
              <w:t xml:space="preserve">二期/远期方式</w:t>
            </w:r>
          </w:p>
        </w:tc>
      </w:tr>
      <w:tr>
        <w:tc>
          <w:tcPr>
            <w:tcW w:type="dxa" w:w="2000"/>
            <w:tcMar>
              <w:top w:type="dxa" w:w="80"/>
              <w:left w:type="dxa" w:w="100"/>
              <w:bottom w:type="dxa" w:w="80"/>
              <w:right w:type="dxa" w:w="100"/>
            </w:tcMar>
            <w:vAlign w:val="center"/>
          </w:tcPr>
          <w:p>
            <w:pPr>
              <w:spacing w:after="0"/>
            </w:pPr>
            <w:r>
              <w:rPr>
                <w:b w:val="false"/>
                <w:bCs w:val="false"/>
                <w:color w:val="1F2D3D"/>
                <w:sz w:val="20"/>
                <w:szCs w:val="20"/>
              </w:rPr>
              <w:t xml:space="preserve">APHR</w:t>
            </w:r>
          </w:p>
        </w:tc>
        <w:tc>
          <w:tcPr>
            <w:tcW w:type="dxa" w:w="2600"/>
            <w:tcMar>
              <w:top w:type="dxa" w:w="80"/>
              <w:left w:type="dxa" w:w="100"/>
              <w:bottom w:type="dxa" w:w="80"/>
              <w:right w:type="dxa" w:w="100"/>
            </w:tcMar>
            <w:vAlign w:val="center"/>
          </w:tcPr>
          <w:p>
            <w:pPr>
              <w:spacing w:after="0"/>
            </w:pPr>
            <w:r>
              <w:rPr>
                <w:b w:val="false"/>
                <w:bCs w:val="false"/>
                <w:color w:val="1F2D3D"/>
                <w:sz w:val="20"/>
                <w:szCs w:val="20"/>
              </w:rPr>
              <w:t xml:space="preserve">读取：员工信息、岗位技能、组织架构、排班/请假/考勤数据；写入：日评分、加班记录</w:t>
            </w:r>
          </w:p>
        </w:tc>
        <w:tc>
          <w:tcPr>
            <w:tcW w:type="dxa" w:w="2413"/>
            <w:tcMar>
              <w:top w:type="dxa" w:w="80"/>
              <w:left w:type="dxa" w:w="100"/>
              <w:bottom w:type="dxa" w:w="80"/>
              <w:right w:type="dxa" w:w="100"/>
            </w:tcMar>
            <w:vAlign w:val="center"/>
          </w:tcPr>
          <w:p>
            <w:pPr>
              <w:spacing w:after="0"/>
            </w:pPr>
            <w:r>
              <w:rPr>
                <w:b w:val="false"/>
                <w:bCs w:val="false"/>
                <w:color w:val="1F2D3D"/>
                <w:sz w:val="20"/>
                <w:szCs w:val="20"/>
              </w:rPr>
              <w:t xml:space="preserve">读取：接口获取，不落库、实时展示；写入：需APHR开放写接口，字段待确认</w:t>
            </w:r>
          </w:p>
        </w:tc>
        <w:tc>
          <w:tcPr>
            <w:tcW w:type="dxa" w:w="2013"/>
            <w:tcMar>
              <w:top w:type="dxa" w:w="80"/>
              <w:left w:type="dxa" w:w="100"/>
              <w:bottom w:type="dxa" w:w="80"/>
              <w:right w:type="dxa" w:w="100"/>
            </w:tcMar>
            <w:vAlign w:val="center"/>
          </w:tcPr>
          <w:p>
            <w:pPr>
              <w:spacing w:after="0"/>
            </w:pPr>
            <w:r>
              <w:rPr>
                <w:b w:val="false"/>
                <w:bCs w:val="false"/>
                <w:color w:val="1F2D3D"/>
                <w:sz w:val="20"/>
                <w:szCs w:val="20"/>
              </w:rPr>
              <w:t xml:space="preserve">维持读取接口，视需要扩展字段；写接口投入使用后转入常态化运行</w:t>
            </w:r>
          </w:p>
        </w:tc>
      </w:tr>
      <w:tr>
        <w:tc>
          <w:tcPr>
            <w:tcW w:type="dxa" w:w="20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dingtalk-service</w:t>
            </w:r>
          </w:p>
        </w:tc>
        <w:tc>
          <w:tcPr>
            <w:tcW w:type="dxa" w:w="26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钉钉消息推送（推荐结果、待办提醒）</w:t>
            </w:r>
          </w:p>
        </w:tc>
        <w:tc>
          <w:tcPr>
            <w:tcW w:type="dxa" w:w="2413"/>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调用现有dingtalk-service服务API</w:t>
            </w:r>
          </w:p>
        </w:tc>
        <w:tc>
          <w:tcPr>
            <w:tcW w:type="dxa" w:w="2013"/>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视消息类型扩展卡片交互</w:t>
            </w:r>
          </w:p>
        </w:tc>
      </w:tr>
      <w:tr>
        <w:tc>
          <w:tcPr>
            <w:tcW w:type="dxa" w:w="2000"/>
            <w:tcMar>
              <w:top w:type="dxa" w:w="80"/>
              <w:left w:type="dxa" w:w="100"/>
              <w:bottom w:type="dxa" w:w="80"/>
              <w:right w:type="dxa" w:w="100"/>
            </w:tcMar>
            <w:vAlign w:val="center"/>
          </w:tcPr>
          <w:p>
            <w:pPr>
              <w:spacing w:after="0"/>
            </w:pPr>
            <w:r>
              <w:rPr>
                <w:b w:val="false"/>
                <w:bCs w:val="false"/>
                <w:color w:val="1F2D3D"/>
                <w:sz w:val="20"/>
                <w:szCs w:val="20"/>
              </w:rPr>
              <w:t xml:space="preserve">邮箱</w:t>
            </w:r>
          </w:p>
        </w:tc>
        <w:tc>
          <w:tcPr>
            <w:tcW w:type="dxa" w:w="2600"/>
            <w:tcMar>
              <w:top w:type="dxa" w:w="80"/>
              <w:left w:type="dxa" w:w="100"/>
              <w:bottom w:type="dxa" w:w="80"/>
              <w:right w:type="dxa" w:w="100"/>
            </w:tcMar>
            <w:vAlign w:val="center"/>
          </w:tcPr>
          <w:p>
            <w:pPr>
              <w:spacing w:after="0"/>
            </w:pPr>
            <w:r>
              <w:rPr>
                <w:b w:val="false"/>
                <w:bCs w:val="false"/>
                <w:color w:val="1F2D3D"/>
                <w:sz w:val="20"/>
                <w:szCs w:val="20"/>
              </w:rPr>
              <w:t xml:space="preserve">定时推送（日报、预警）</w:t>
            </w:r>
          </w:p>
        </w:tc>
        <w:tc>
          <w:tcPr>
            <w:tcW w:type="dxa" w:w="2413"/>
            <w:tcMar>
              <w:top w:type="dxa" w:w="80"/>
              <w:left w:type="dxa" w:w="100"/>
              <w:bottom w:type="dxa" w:w="80"/>
              <w:right w:type="dxa" w:w="100"/>
            </w:tcMar>
            <w:vAlign w:val="center"/>
          </w:tcPr>
          <w:p>
            <w:pPr>
              <w:spacing w:after="0"/>
            </w:pPr>
            <w:r>
              <w:rPr>
                <w:b w:val="false"/>
                <w:bCs w:val="false"/>
                <w:color w:val="1F2D3D"/>
                <w:sz w:val="20"/>
                <w:szCs w:val="20"/>
              </w:rPr>
              <w:t xml:space="preserve">SMTP定时推送</w:t>
            </w:r>
          </w:p>
        </w:tc>
        <w:tc>
          <w:tcPr>
            <w:tcW w:type="dxa" w:w="2013"/>
            <w:tcMar>
              <w:top w:type="dxa" w:w="80"/>
              <w:left w:type="dxa" w:w="100"/>
              <w:bottom w:type="dxa" w:w="80"/>
              <w:right w:type="dxa" w:w="100"/>
            </w:tcMar>
            <w:vAlign w:val="center"/>
          </w:tcPr>
          <w:p>
            <w:pPr>
              <w:spacing w:after="0"/>
            </w:pPr>
            <w:r>
              <w:rPr>
                <w:b w:val="false"/>
                <w:bCs w:val="false"/>
                <w:color w:val="1F2D3D"/>
                <w:sz w:val="20"/>
                <w:szCs w:val="20"/>
              </w:rPr>
              <w:t xml:space="preserve">维持</w:t>
            </w:r>
          </w:p>
        </w:tc>
      </w:tr>
      <w:tr>
        <w:tc>
          <w:tcPr>
            <w:tcW w:type="dxa" w:w="20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第三方加班审批系统</w:t>
            </w:r>
          </w:p>
        </w:tc>
        <w:tc>
          <w:tcPr>
            <w:tcW w:type="dxa" w:w="26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加班申请提交与状态同步</w:t>
            </w:r>
          </w:p>
        </w:tc>
        <w:tc>
          <w:tcPr>
            <w:tcW w:type="dxa" w:w="2413"/>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内部流转+人工代提交/导出</w:t>
            </w:r>
          </w:p>
        </w:tc>
        <w:tc>
          <w:tcPr>
            <w:tcW w:type="dxa" w:w="2013"/>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API自动提交（开发中，待排期）</w:t>
            </w:r>
          </w:p>
        </w:tc>
      </w:tr>
      <w:tr>
        <w:tc>
          <w:tcPr>
            <w:tcW w:type="dxa" w:w="2000"/>
            <w:tcMar>
              <w:top w:type="dxa" w:w="80"/>
              <w:left w:type="dxa" w:w="100"/>
              <w:bottom w:type="dxa" w:w="80"/>
              <w:right w:type="dxa" w:w="100"/>
            </w:tcMar>
            <w:vAlign w:val="center"/>
          </w:tcPr>
          <w:p>
            <w:pPr>
              <w:spacing w:after="0"/>
            </w:pPr>
            <w:r>
              <w:rPr>
                <w:b w:val="false"/>
                <w:bCs w:val="false"/>
                <w:color w:val="1F2D3D"/>
                <w:sz w:val="20"/>
                <w:szCs w:val="20"/>
              </w:rPr>
              <w:t xml:space="preserve">SAP</w:t>
            </w:r>
          </w:p>
        </w:tc>
        <w:tc>
          <w:tcPr>
            <w:tcW w:type="dxa" w:w="2600"/>
            <w:tcMar>
              <w:top w:type="dxa" w:w="80"/>
              <w:left w:type="dxa" w:w="100"/>
              <w:bottom w:type="dxa" w:w="80"/>
              <w:right w:type="dxa" w:w="100"/>
            </w:tcMar>
            <w:vAlign w:val="center"/>
          </w:tcPr>
          <w:p>
            <w:pPr>
              <w:spacing w:after="0"/>
            </w:pPr>
            <w:r>
              <w:rPr>
                <w:b w:val="false"/>
                <w:bCs w:val="false"/>
                <w:color w:val="1F2D3D"/>
                <w:sz w:val="20"/>
                <w:szCs w:val="20"/>
              </w:rPr>
              <w:t xml:space="preserve">订单数据、生产合格率与不良品数据</w:t>
            </w:r>
          </w:p>
        </w:tc>
        <w:tc>
          <w:tcPr>
            <w:tcW w:type="dxa" w:w="2413"/>
            <w:tcMar>
              <w:top w:type="dxa" w:w="80"/>
              <w:left w:type="dxa" w:w="100"/>
              <w:bottom w:type="dxa" w:w="80"/>
              <w:right w:type="dxa" w:w="100"/>
            </w:tcMar>
            <w:vAlign w:val="center"/>
          </w:tcPr>
          <w:p>
            <w:pPr>
              <w:spacing w:after="0"/>
            </w:pPr>
            <w:r>
              <w:rPr>
                <w:b w:val="false"/>
                <w:bCs w:val="false"/>
                <w:color w:val="1F2D3D"/>
                <w:sz w:val="20"/>
                <w:szCs w:val="20"/>
              </w:rPr>
              <w:t xml:space="preserve">管理后台手工录入/填报</w:t>
            </w:r>
          </w:p>
        </w:tc>
        <w:tc>
          <w:tcPr>
            <w:tcW w:type="dxa" w:w="2013"/>
            <w:tcMar>
              <w:top w:type="dxa" w:w="80"/>
              <w:left w:type="dxa" w:w="100"/>
              <w:bottom w:type="dxa" w:w="80"/>
              <w:right w:type="dxa" w:w="100"/>
            </w:tcMar>
            <w:vAlign w:val="center"/>
          </w:tcPr>
          <w:p>
            <w:pPr>
              <w:spacing w:after="0"/>
            </w:pPr>
            <w:r>
              <w:rPr>
                <w:b w:val="false"/>
                <w:bCs w:val="false"/>
                <w:color w:val="1F2D3D"/>
                <w:sz w:val="20"/>
                <w:szCs w:val="20"/>
              </w:rPr>
              <w:t xml:space="preserve">定时读取SAP底表（字段确认后实施）</w:t>
            </w:r>
          </w:p>
        </w:tc>
      </w:tr>
    </w:tbl>
    <w:p>
      <w:pPr>
        <w:pStyle w:val="Heading1"/>
        <w:pBdr>
          <w:bottom w:val="single" w:color="0E7C86" w:sz="6" w:space="4"/>
        </w:pBdr>
        <w:spacing w:after="200" w:before="400"/>
      </w:pPr>
      <w:r>
        <w:rPr>
          <w:b/>
          <w:bCs/>
          <w:color w:val="0B3559"/>
          <w:sz w:val="30"/>
          <w:szCs w:val="30"/>
        </w:rPr>
        <w:t xml:space="preserve">九、部署与技术栈建议</w:t>
      </w:r>
    </w:p>
    <w:p>
      <w:pPr>
        <w:pStyle w:val="Heading2"/>
        <w:spacing w:after="140" w:before="280"/>
      </w:pPr>
      <w:r>
        <w:rPr>
          <w:b/>
          <w:bCs/>
          <w:color w:val="0E7C86"/>
          <w:sz w:val="25"/>
          <w:szCs w:val="25"/>
        </w:rPr>
        <w:t xml:space="preserve">9.1 技术栈</w:t>
      </w:r>
    </w:p>
    <w:p>
      <w:pPr>
        <w:spacing w:after="160" w:line="320"/>
      </w:pPr>
      <w:r>
        <w:rPr>
          <w:color w:val="1F2D3D"/>
          <w:sz w:val="21"/>
          <w:szCs w:val="21"/>
        </w:rPr>
        <w:t xml:space="preserve">建议与APHR项目保持一致的技术栈，降低学习成本与运维复杂度：</w:t>
      </w:r>
    </w:p>
    <w:p>
      <w:pPr>
        <w:pStyle w:val="ListParagraph"/>
        <w:numPr>
          <w:ilvl w:val="0"/>
          <w:numId w:val="2"/>
        </w:numPr>
        <w:spacing w:after="80" w:line="300"/>
      </w:pPr>
      <w:r>
        <w:rPr>
          <w:color w:val="1F2D3D"/>
          <w:sz w:val="21"/>
          <w:szCs w:val="21"/>
        </w:rPr>
        <w:t xml:space="preserve">前端：Vue 3 + 数据可视化组件，分为两个入口——面向班组长/主管及生产人员的Web数字化大屏/操作界面（按生产人员/普通员工区分视图），以及独立的管理后台（订单、排班、加班等主数据维护），两者可共用组件库但入口分离、互不干扰；</w:t>
      </w:r>
    </w:p>
    <w:p>
      <w:pPr>
        <w:pStyle w:val="ListParagraph"/>
        <w:numPr>
          <w:ilvl w:val="0"/>
          <w:numId w:val="2"/>
        </w:numPr>
        <w:spacing w:after="80" w:line="300"/>
      </w:pPr>
      <w:r>
        <w:rPr>
          <w:color w:val="1F2D3D"/>
          <w:sz w:val="21"/>
          <w:szCs w:val="21"/>
        </w:rPr>
        <w:t xml:space="preserve">后端：FastAPI + SQLAlchemy 2.0，承载规则引擎、业务服务与模型调用编排；</w:t>
      </w:r>
    </w:p>
    <w:p>
      <w:pPr>
        <w:pStyle w:val="ListParagraph"/>
        <w:numPr>
          <w:ilvl w:val="0"/>
          <w:numId w:val="2"/>
        </w:numPr>
        <w:spacing w:after="80" w:line="300"/>
      </w:pPr>
      <w:r>
        <w:rPr>
          <w:color w:val="1F2D3D"/>
          <w:sz w:val="21"/>
          <w:szCs w:val="21"/>
        </w:rPr>
        <w:t xml:space="preserve">数据库：MySQL（与APHR一致），详见4.1；</w:t>
      </w:r>
    </w:p>
    <w:p>
      <w:pPr>
        <w:pStyle w:val="ListParagraph"/>
        <w:numPr>
          <w:ilvl w:val="0"/>
          <w:numId w:val="2"/>
        </w:numPr>
        <w:spacing w:after="80" w:line="300"/>
      </w:pPr>
      <w:r>
        <w:rPr>
          <w:color w:val="1F2D3D"/>
          <w:sz w:val="21"/>
          <w:szCs w:val="21"/>
        </w:rPr>
        <w:t xml:space="preserve">模型服务：本地Docker vLLM（部署于ThinkPad PGX设备，Qwen2.5-14B-AWQ / Gemma-31B-AWQ），Dify承担轻量工作流。</w:t>
      </w:r>
    </w:p>
    <w:p>
      <w:pPr>
        <w:pStyle w:val="Heading2"/>
        <w:spacing w:after="140" w:before="280"/>
      </w:pPr>
      <w:r>
        <w:rPr>
          <w:b/>
          <w:bCs/>
          <w:color w:val="0E7C86"/>
          <w:sz w:val="25"/>
          <w:szCs w:val="25"/>
        </w:rPr>
        <w:t xml:space="preserve">9.2 部署环境</w:t>
      </w:r>
    </w:p>
    <w:p>
      <w:pPr>
        <w:spacing w:after="160" w:line="320"/>
      </w:pPr>
      <w:r>
        <w:rPr>
          <w:color w:val="1F2D3D"/>
          <w:sz w:val="21"/>
          <w:szCs w:val="21"/>
        </w:rPr>
        <w:t xml:space="preserve">考虑到IT团队为单人运维现状，建议简化环境层级，避免过度工程化：</w:t>
      </w:r>
    </w:p>
    <w:p>
      <w:pPr>
        <w:pStyle w:val="ListParagraph"/>
        <w:numPr>
          <w:ilvl w:val="0"/>
          <w:numId w:val="2"/>
        </w:numPr>
        <w:spacing w:after="80" w:line="300"/>
      </w:pPr>
      <w:r>
        <w:rPr>
          <w:color w:val="1F2D3D"/>
          <w:sz w:val="21"/>
          <w:szCs w:val="21"/>
        </w:rPr>
        <w:t xml:space="preserve">采用“开发环境 + 生产环境”两套环境，暂不单独设置独立测试环境，测试在开发环境完成，通过后直接发布生产；</w:t>
      </w:r>
    </w:p>
    <w:p>
      <w:pPr>
        <w:pStyle w:val="ListParagraph"/>
        <w:numPr>
          <w:ilvl w:val="0"/>
          <w:numId w:val="2"/>
        </w:numPr>
        <w:spacing w:after="80" w:line="300"/>
      </w:pPr>
      <w:r>
        <w:rPr>
          <w:color w:val="1F2D3D"/>
          <w:sz w:val="21"/>
          <w:szCs w:val="21"/>
        </w:rPr>
        <w:t xml:space="preserve">模型服务基于本地已部署在ThinkPad PGX设备上的Docker vLLM能力，通过接口调用而非重复部署模型，降低资源占用；</w:t>
      </w:r>
    </w:p>
    <w:p>
      <w:pPr>
        <w:pStyle w:val="ListParagraph"/>
        <w:numPr>
          <w:ilvl w:val="0"/>
          <w:numId w:val="2"/>
        </w:numPr>
        <w:spacing w:after="80" w:line="300"/>
      </w:pPr>
      <w:r>
        <w:rPr>
          <w:color w:val="1F2D3D"/>
          <w:sz w:val="21"/>
          <w:szCs w:val="21"/>
        </w:rPr>
        <w:t xml:space="preserve">全部服务本地化部署在企业内网，不依赖公有云，满足医疗器械行业对人员与生产数据的合规与隐私要求。</w:t>
      </w:r>
    </w:p>
    <w:p>
      <w:pPr>
        <w:pStyle w:val="Heading2"/>
        <w:spacing w:after="140" w:before="280"/>
      </w:pPr>
      <w:r>
        <w:rPr>
          <w:b/>
          <w:bCs/>
          <w:color w:val="0E7C86"/>
          <w:sz w:val="25"/>
          <w:szCs w:val="25"/>
        </w:rPr>
        <w:t xml:space="preserve">9.3 安全与合规</w:t>
      </w:r>
    </w:p>
    <w:p>
      <w:pPr>
        <w:pStyle w:val="ListParagraph"/>
        <w:numPr>
          <w:ilvl w:val="0"/>
          <w:numId w:val="2"/>
        </w:numPr>
        <w:spacing w:after="80" w:line="300"/>
      </w:pPr>
      <w:r>
        <w:rPr>
          <w:color w:val="1F2D3D"/>
          <w:sz w:val="21"/>
          <w:szCs w:val="21"/>
        </w:rPr>
        <w:t xml:space="preserve">人员数据、生产数据均属敏感数据，访问遵循角色权限最小化原则，登录身份与角色权限体系联动管控；</w:t>
      </w:r>
    </w:p>
    <w:p>
      <w:pPr>
        <w:pStyle w:val="ListParagraph"/>
        <w:numPr>
          <w:ilvl w:val="0"/>
          <w:numId w:val="2"/>
        </w:numPr>
        <w:spacing w:after="80" w:line="300"/>
      </w:pPr>
      <w:r>
        <w:rPr>
          <w:color w:val="1F2D3D"/>
          <w:sz w:val="21"/>
          <w:szCs w:val="21"/>
        </w:rPr>
        <w:t xml:space="preserve">与APHR之间的数据交互走内网接口，以读取为主（人事/技能/组织/排班/请假/考勤）；日评分、加班审批结果涉及向APHR绩效体系与加班记录的写入，属于例外场景，需要单独开放写接口权限并做好操作留痕与异常重试机制；</w:t>
      </w:r>
    </w:p>
    <w:p>
      <w:pPr>
        <w:pStyle w:val="ListParagraph"/>
        <w:numPr>
          <w:ilvl w:val="0"/>
          <w:numId w:val="2"/>
        </w:numPr>
        <w:spacing w:after="80" w:line="300"/>
      </w:pPr>
      <w:r>
        <w:rPr>
          <w:color w:val="1F2D3D"/>
          <w:sz w:val="21"/>
          <w:szCs w:val="21"/>
        </w:rPr>
        <w:t xml:space="preserve">关键操作（审批、评分、生产数据修改）留存操作日志，满足医疗器械行业对生产记录可追溯性的要求。</w:t>
      </w:r>
    </w:p>
    <w:p>
      <w:pPr>
        <w:pStyle w:val="Heading1"/>
        <w:pBdr>
          <w:bottom w:val="single" w:color="0E7C86" w:sz="6" w:space="4"/>
        </w:pBdr>
        <w:spacing w:after="200" w:before="400"/>
      </w:pPr>
      <w:r>
        <w:rPr>
          <w:b/>
          <w:bCs/>
          <w:color w:val="0B3559"/>
          <w:sz w:val="30"/>
          <w:szCs w:val="30"/>
        </w:rPr>
        <w:t xml:space="preserve">十、实施计划与里程碑建议</w:t>
      </w:r>
    </w:p>
    <w:p>
      <w:pPr>
        <w:spacing w:after="160" w:line="320"/>
      </w:pPr>
      <w:r>
        <w:rPr>
          <w:color w:val="1F2D3D"/>
          <w:sz w:val="21"/>
          <w:szCs w:val="21"/>
        </w:rPr>
        <w:t xml:space="preserve">结合“先保证整体流程跑通、数据结果能出来”的一期优先级，建议按以下阶段推进，具体排期在需求细节（尤其是字段定义与第三方接口开发进度）确认后再行细化：</w:t>
      </w:r>
    </w:p>
    <w:tbl>
      <w:tblPr>
        <w:tblW w:type="dxa" w:w="9026"/>
        <w:tblBorders>
          <w:top w:val="single" w:color="C9D2D8" w:sz="4"/>
          <w:left w:val="single" w:color="C9D2D8" w:sz="4"/>
          <w:bottom w:val="single" w:color="C9D2D8" w:sz="4"/>
          <w:right w:val="single" w:color="C9D2D8" w:sz="4"/>
          <w:insideH w:val="single" w:color="C9D2D8" w:sz="4"/>
          <w:insideV w:val="single" w:color="C9D2D8" w:sz="4"/>
        </w:tblBorders>
      </w:tblPr>
      <w:tblGrid>
        <w:gridCol w:w="1800"/>
        <w:gridCol w:w="4200"/>
        <w:gridCol w:w="3026"/>
      </w:tblGrid>
      <w:tr>
        <w:trPr>
          <w:tblHeader/>
        </w:trPr>
        <w:tc>
          <w:tcPr>
            <w:tcW w:type="dxa" w:w="1800"/>
            <w:shd w:fill="0B3559" w:val="clear"/>
            <w:tcMar>
              <w:top w:type="dxa" w:w="80"/>
              <w:left w:type="dxa" w:w="100"/>
              <w:bottom w:type="dxa" w:w="80"/>
              <w:right w:type="dxa" w:w="100"/>
            </w:tcMar>
            <w:vAlign w:val="center"/>
          </w:tcPr>
          <w:p>
            <w:pPr>
              <w:spacing w:after="0"/>
            </w:pPr>
            <w:r>
              <w:rPr>
                <w:b/>
                <w:bCs/>
                <w:color w:val="FFFFFF"/>
                <w:sz w:val="20"/>
                <w:szCs w:val="20"/>
              </w:rPr>
              <w:t xml:space="preserve">阶段</w:t>
            </w:r>
          </w:p>
        </w:tc>
        <w:tc>
          <w:tcPr>
            <w:tcW w:type="dxa" w:w="4200"/>
            <w:shd w:fill="0B3559" w:val="clear"/>
            <w:tcMar>
              <w:top w:type="dxa" w:w="80"/>
              <w:left w:type="dxa" w:w="100"/>
              <w:bottom w:type="dxa" w:w="80"/>
              <w:right w:type="dxa" w:w="100"/>
            </w:tcMar>
            <w:vAlign w:val="center"/>
          </w:tcPr>
          <w:p>
            <w:pPr>
              <w:spacing w:after="0"/>
            </w:pPr>
            <w:r>
              <w:rPr>
                <w:b/>
                <w:bCs/>
                <w:color w:val="FFFFFF"/>
                <w:sz w:val="20"/>
                <w:szCs w:val="20"/>
              </w:rPr>
              <w:t xml:space="preserve">主要内容</w:t>
            </w:r>
          </w:p>
        </w:tc>
        <w:tc>
          <w:tcPr>
            <w:tcW w:type="dxa" w:w="3026"/>
            <w:shd w:fill="0B3559" w:val="clear"/>
            <w:tcMar>
              <w:top w:type="dxa" w:w="80"/>
              <w:left w:type="dxa" w:w="100"/>
              <w:bottom w:type="dxa" w:w="80"/>
              <w:right w:type="dxa" w:w="100"/>
            </w:tcMar>
            <w:vAlign w:val="center"/>
          </w:tcPr>
          <w:p>
            <w:pPr>
              <w:spacing w:after="0"/>
            </w:pPr>
            <w:r>
              <w:rPr>
                <w:b/>
                <w:bCs/>
                <w:color w:val="FFFFFF"/>
                <w:sz w:val="20"/>
                <w:szCs w:val="20"/>
              </w:rPr>
              <w:t xml:space="preserve">关键产出</w:t>
            </w:r>
          </w:p>
        </w:tc>
      </w:tr>
      <w:tr>
        <w:tc>
          <w:tcPr>
            <w:tcW w:type="dxa" w:w="1800"/>
            <w:tcMar>
              <w:top w:type="dxa" w:w="80"/>
              <w:left w:type="dxa" w:w="100"/>
              <w:bottom w:type="dxa" w:w="80"/>
              <w:right w:type="dxa" w:w="100"/>
            </w:tcMar>
            <w:vAlign w:val="center"/>
          </w:tcPr>
          <w:p>
            <w:pPr>
              <w:spacing w:after="0"/>
            </w:pPr>
            <w:r>
              <w:rPr>
                <w:b w:val="false"/>
                <w:bCs w:val="false"/>
                <w:color w:val="1F2D3D"/>
                <w:sz w:val="20"/>
                <w:szCs w:val="20"/>
              </w:rPr>
              <w:t xml:space="preserve">阶段一：需求与数据准备</w:t>
            </w:r>
          </w:p>
        </w:tc>
        <w:tc>
          <w:tcPr>
            <w:tcW w:type="dxa" w:w="4200"/>
            <w:tcMar>
              <w:top w:type="dxa" w:w="80"/>
              <w:left w:type="dxa" w:w="100"/>
              <w:bottom w:type="dxa" w:w="80"/>
              <w:right w:type="dxa" w:w="100"/>
            </w:tcMar>
            <w:vAlign w:val="center"/>
          </w:tcPr>
          <w:p>
            <w:pPr>
              <w:spacing w:after="0"/>
            </w:pPr>
            <w:r>
              <w:rPr>
                <w:b w:val="false"/>
                <w:bCs w:val="false"/>
                <w:color w:val="1F2D3D"/>
                <w:sz w:val="20"/>
                <w:szCs w:val="20"/>
              </w:rPr>
              <w:t xml:space="preserve">确认数据字段细节；APHR接口联调（含排班/请假/考勤读取字段，以及日评分/加班记录写入字段）；dingtalk-service接口联调；基础数据（订单、生产数据）由业务方提供</w:t>
            </w:r>
          </w:p>
        </w:tc>
        <w:tc>
          <w:tcPr>
            <w:tcW w:type="dxa" w:w="3026"/>
            <w:tcMar>
              <w:top w:type="dxa" w:w="80"/>
              <w:left w:type="dxa" w:w="100"/>
              <w:bottom w:type="dxa" w:w="80"/>
              <w:right w:type="dxa" w:w="100"/>
            </w:tcMar>
            <w:vAlign w:val="center"/>
          </w:tcPr>
          <w:p>
            <w:pPr>
              <w:spacing w:after="0"/>
            </w:pPr>
            <w:r>
              <w:rPr>
                <w:b w:val="false"/>
                <w:bCs w:val="false"/>
                <w:color w:val="1F2D3D"/>
                <w:sz w:val="20"/>
                <w:szCs w:val="20"/>
              </w:rPr>
              <w:t xml:space="preserve">数据字典、接口联调完成</w:t>
            </w:r>
          </w:p>
        </w:tc>
      </w:tr>
      <w:tr>
        <w:tc>
          <w:tcPr>
            <w:tcW w:type="dxa" w:w="18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阶段二：核心引擎开发</w:t>
            </w:r>
          </w:p>
        </w:tc>
        <w:tc>
          <w:tcPr>
            <w:tcW w:type="dxa" w:w="42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人岗匹配规则引擎、约束条件配置、双模型接入</w:t>
            </w:r>
          </w:p>
        </w:tc>
        <w:tc>
          <w:tcPr>
            <w:tcW w:type="dxa" w:w="3026"/>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匹配推荐可在测试环境跑通</w:t>
            </w:r>
          </w:p>
        </w:tc>
      </w:tr>
      <w:tr>
        <w:tc>
          <w:tcPr>
            <w:tcW w:type="dxa" w:w="1800"/>
            <w:tcMar>
              <w:top w:type="dxa" w:w="80"/>
              <w:left w:type="dxa" w:w="100"/>
              <w:bottom w:type="dxa" w:w="80"/>
              <w:right w:type="dxa" w:w="100"/>
            </w:tcMar>
            <w:vAlign w:val="center"/>
          </w:tcPr>
          <w:p>
            <w:pPr>
              <w:spacing w:after="0"/>
            </w:pPr>
            <w:r>
              <w:rPr>
                <w:b w:val="false"/>
                <w:bCs w:val="false"/>
                <w:color w:val="1F2D3D"/>
                <w:sz w:val="20"/>
                <w:szCs w:val="20"/>
              </w:rPr>
              <w:t xml:space="preserve">阶段三：业务功能开发</w:t>
            </w:r>
          </w:p>
        </w:tc>
        <w:tc>
          <w:tcPr>
            <w:tcW w:type="dxa" w:w="4200"/>
            <w:tcMar>
              <w:top w:type="dxa" w:w="80"/>
              <w:left w:type="dxa" w:w="100"/>
              <w:bottom w:type="dxa" w:w="80"/>
              <w:right w:type="dxa" w:w="100"/>
            </w:tcMar>
            <w:vAlign w:val="center"/>
          </w:tcPr>
          <w:p>
            <w:pPr>
              <w:spacing w:after="0"/>
            </w:pPr>
            <w:r>
              <w:rPr>
                <w:b w:val="false"/>
                <w:bCs w:val="false"/>
                <w:color w:val="1F2D3D"/>
                <w:sz w:val="20"/>
                <w:szCs w:val="20"/>
              </w:rPr>
              <w:t xml:space="preserve">排班考勤看板（对接APHR）、加班申请流转、日评分、生产数据记录、角色权限与登录身份</w:t>
            </w:r>
          </w:p>
        </w:tc>
        <w:tc>
          <w:tcPr>
            <w:tcW w:type="dxa" w:w="3026"/>
            <w:tcMar>
              <w:top w:type="dxa" w:w="80"/>
              <w:left w:type="dxa" w:w="100"/>
              <w:bottom w:type="dxa" w:w="80"/>
              <w:right w:type="dxa" w:w="100"/>
            </w:tcMar>
            <w:vAlign w:val="center"/>
          </w:tcPr>
          <w:p>
            <w:pPr>
              <w:spacing w:after="0"/>
            </w:pPr>
            <w:r>
              <w:rPr>
                <w:b w:val="false"/>
                <w:bCs w:val="false"/>
                <w:color w:val="1F2D3D"/>
                <w:sz w:val="20"/>
                <w:szCs w:val="20"/>
              </w:rPr>
              <w:t xml:space="preserve">四大场景功能可用</w:t>
            </w:r>
          </w:p>
        </w:tc>
      </w:tr>
      <w:tr>
        <w:tc>
          <w:tcPr>
            <w:tcW w:type="dxa" w:w="18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阶段四：大屏、后台与推送开发</w:t>
            </w:r>
          </w:p>
        </w:tc>
        <w:tc>
          <w:tcPr>
            <w:tcW w:type="dxa" w:w="42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Web数字化大屏、独立管理后台、钉钉（dingtalk-service）/邮箱定时推送</w:t>
            </w:r>
          </w:p>
        </w:tc>
        <w:tc>
          <w:tcPr>
            <w:tcW w:type="dxa" w:w="3026"/>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大屏与后台上线，推送生效</w:t>
            </w:r>
          </w:p>
        </w:tc>
      </w:tr>
      <w:tr>
        <w:tc>
          <w:tcPr>
            <w:tcW w:type="dxa" w:w="1800"/>
            <w:tcMar>
              <w:top w:type="dxa" w:w="80"/>
              <w:left w:type="dxa" w:w="100"/>
              <w:bottom w:type="dxa" w:w="80"/>
              <w:right w:type="dxa" w:w="100"/>
            </w:tcMar>
            <w:vAlign w:val="center"/>
          </w:tcPr>
          <w:p>
            <w:pPr>
              <w:spacing w:after="0"/>
            </w:pPr>
            <w:r>
              <w:rPr>
                <w:b w:val="false"/>
                <w:bCs w:val="false"/>
                <w:color w:val="1F2D3D"/>
                <w:sz w:val="20"/>
                <w:szCs w:val="20"/>
              </w:rPr>
              <w:t xml:space="preserve">阶段五：试点验证</w:t>
            </w:r>
          </w:p>
        </w:tc>
        <w:tc>
          <w:tcPr>
            <w:tcW w:type="dxa" w:w="4200"/>
            <w:tcMar>
              <w:top w:type="dxa" w:w="80"/>
              <w:left w:type="dxa" w:w="100"/>
              <w:bottom w:type="dxa" w:w="80"/>
              <w:right w:type="dxa" w:w="100"/>
            </w:tcMar>
            <w:vAlign w:val="center"/>
          </w:tcPr>
          <w:p>
            <w:pPr>
              <w:spacing w:after="0"/>
            </w:pPr>
            <w:r>
              <w:rPr>
                <w:b w:val="false"/>
                <w:bCs w:val="false"/>
                <w:color w:val="1F2D3D"/>
                <w:sz w:val="20"/>
                <w:szCs w:val="20"/>
              </w:rPr>
              <w:t xml:space="preserve">选定车间/产线试点运行，收集反馈并调优规则</w:t>
            </w:r>
          </w:p>
        </w:tc>
        <w:tc>
          <w:tcPr>
            <w:tcW w:type="dxa" w:w="3026"/>
            <w:tcMar>
              <w:top w:type="dxa" w:w="80"/>
              <w:left w:type="dxa" w:w="100"/>
              <w:bottom w:type="dxa" w:w="80"/>
              <w:right w:type="dxa" w:w="100"/>
            </w:tcMar>
            <w:vAlign w:val="center"/>
          </w:tcPr>
          <w:p>
            <w:pPr>
              <w:spacing w:after="0"/>
            </w:pPr>
            <w:r>
              <w:rPr>
                <w:b w:val="false"/>
                <w:bCs w:val="false"/>
                <w:color w:val="1F2D3D"/>
                <w:sz w:val="20"/>
                <w:szCs w:val="20"/>
              </w:rPr>
              <w:t xml:space="preserve">试点报告，问题清单</w:t>
            </w:r>
          </w:p>
        </w:tc>
      </w:tr>
      <w:tr>
        <w:tc>
          <w:tcPr>
            <w:tcW w:type="dxa" w:w="18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阶段六：全面上线</w:t>
            </w:r>
          </w:p>
        </w:tc>
        <w:tc>
          <w:tcPr>
            <w:tcW w:type="dxa" w:w="4200"/>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推广至全部车间主管/班组长</w:t>
            </w:r>
          </w:p>
        </w:tc>
        <w:tc>
          <w:tcPr>
            <w:tcW w:type="dxa" w:w="3026"/>
            <w:shd w:fill="F2F4F6" w:val="clear"/>
            <w:tcMar>
              <w:top w:type="dxa" w:w="80"/>
              <w:left w:type="dxa" w:w="100"/>
              <w:bottom w:type="dxa" w:w="80"/>
              <w:right w:type="dxa" w:w="100"/>
            </w:tcMar>
            <w:vAlign w:val="center"/>
          </w:tcPr>
          <w:p>
            <w:pPr>
              <w:spacing w:after="0"/>
            </w:pPr>
            <w:r>
              <w:rPr>
                <w:b w:val="false"/>
                <w:bCs w:val="false"/>
                <w:color w:val="1F2D3D"/>
                <w:sz w:val="20"/>
                <w:szCs w:val="20"/>
              </w:rPr>
              <w:t xml:space="preserve">一期正式上线</w:t>
            </w:r>
          </w:p>
        </w:tc>
      </w:tr>
    </w:tbl>
    <w:p>
      <w:pPr>
        <w:pBdr>
          <w:left w:val="single" w:color="12B5A6" w:sz="12" w:space="8"/>
        </w:pBdr>
        <w:spacing w:after="200" w:before="60"/>
        <w:ind w:left="200"/>
      </w:pPr>
      <w:r>
        <w:rPr>
          <w:i/>
          <w:iCs/>
          <w:color w:val="4A5A6A"/>
          <w:sz w:val="20"/>
          <w:szCs w:val="20"/>
        </w:rPr>
        <w:t xml:space="preserve">加班审批的API对接、SAP底表同步依赖第三方开发进度，建议作为独立子任务并行推进，不阻塞一期主流程上线。</w:t>
      </w:r>
    </w:p>
    <w:p>
      <w:pPr>
        <w:pStyle w:val="Heading1"/>
        <w:pBdr>
          <w:bottom w:val="single" w:color="0E7C86" w:sz="6" w:space="4"/>
        </w:pBdr>
        <w:spacing w:after="200" w:before="400"/>
      </w:pPr>
      <w:r>
        <w:rPr>
          <w:b/>
          <w:bCs/>
          <w:color w:val="0B3559"/>
          <w:sz w:val="30"/>
          <w:szCs w:val="30"/>
        </w:rPr>
        <w:t xml:space="preserve">十一、二期展望：全员级企业人力资源智能体</w:t>
      </w:r>
    </w:p>
    <w:p>
      <w:pPr>
        <w:spacing w:after="160" w:line="320"/>
      </w:pPr>
      <w:r>
        <w:rPr>
          <w:color w:val="1F2D3D"/>
          <w:sz w:val="21"/>
          <w:szCs w:val="21"/>
        </w:rPr>
        <w:t xml:space="preserve">一期跑通后，甲丁智能体的演进方向是从“车间主管/班组长的生产协同工具”扩展为“全员可用的企业级人力资源智能体”，架构上已为此预留扩展点：</w:t>
      </w:r>
    </w:p>
    <w:p>
      <w:pPr>
        <w:pStyle w:val="ListParagraph"/>
        <w:numPr>
          <w:ilvl w:val="0"/>
          <w:numId w:val="2"/>
        </w:numPr>
        <w:spacing w:after="80" w:line="300"/>
      </w:pPr>
      <w:r>
        <w:rPr>
          <w:color w:val="1F2D3D"/>
          <w:sz w:val="21"/>
          <w:szCs w:val="21"/>
        </w:rPr>
        <w:t xml:space="preserve">自然语言统计问答：基于Text-to-SQL或结构化查询+大模型生成摘要的方式，支持“本科以上学历有多少人”这类问题直接返回数据与图表，数据来源为APHR与甲丁智能体自有库；</w:t>
      </w:r>
    </w:p>
    <w:p>
      <w:pPr>
        <w:pStyle w:val="ListParagraph"/>
        <w:numPr>
          <w:ilvl w:val="0"/>
          <w:numId w:val="2"/>
        </w:numPr>
        <w:spacing w:after="80" w:line="300"/>
      </w:pPr>
      <w:r>
        <w:rPr>
          <w:color w:val="1F2D3D"/>
          <w:sz w:val="21"/>
          <w:szCs w:val="21"/>
        </w:rPr>
        <w:t xml:space="preserve">角色体系扩展：在现有RBAC基础上开放厂长、HR、质量部等角色，按数据范围与权限粒度控制可见内容；</w:t>
      </w:r>
    </w:p>
    <w:p>
      <w:pPr>
        <w:pStyle w:val="ListParagraph"/>
        <w:numPr>
          <w:ilvl w:val="0"/>
          <w:numId w:val="2"/>
        </w:numPr>
        <w:spacing w:after="80" w:line="300"/>
      </w:pPr>
      <w:r>
        <w:rPr>
          <w:color w:val="1F2D3D"/>
          <w:sz w:val="21"/>
          <w:szCs w:val="21"/>
        </w:rPr>
        <w:t xml:space="preserve">统一身份认证：待企业SSO体系明确后，登录方式从一期的过渡方案切换为SSO单点登录；</w:t>
      </w:r>
    </w:p>
    <w:p>
      <w:pPr>
        <w:pStyle w:val="ListParagraph"/>
        <w:numPr>
          <w:ilvl w:val="0"/>
          <w:numId w:val="2"/>
        </w:numPr>
        <w:spacing w:after="80" w:line="300"/>
      </w:pPr>
      <w:r>
        <w:rPr>
          <w:color w:val="1F2D3D"/>
          <w:sz w:val="21"/>
          <w:szCs w:val="21"/>
        </w:rPr>
        <w:t xml:space="preserve">接口自动化程度提升：第三方加班审批系统、SAP接口陆续对接后，逐步替换一期的手工/半自动数据接入方式，减少人工录入；</w:t>
      </w:r>
    </w:p>
    <w:p>
      <w:pPr>
        <w:pStyle w:val="ListParagraph"/>
        <w:numPr>
          <w:ilvl w:val="0"/>
          <w:numId w:val="2"/>
        </w:numPr>
        <w:spacing w:after="80" w:line="300"/>
      </w:pPr>
      <w:r>
        <w:rPr>
          <w:color w:val="1F2D3D"/>
          <w:sz w:val="21"/>
          <w:szCs w:val="21"/>
        </w:rPr>
        <w:t xml:space="preserve">语义检索能力：视二期问答场景的复杂度，评估引入向量检索（如企业规章制度问答）。</w:t>
      </w:r>
    </w:p>
    <w:p>
      <w:pPr>
        <w:pStyle w:val="Heading1"/>
        <w:pBdr>
          <w:bottom w:val="single" w:color="0E7C86" w:sz="6" w:space="4"/>
        </w:pBdr>
        <w:spacing w:after="200" w:before="400"/>
      </w:pPr>
      <w:r>
        <w:rPr>
          <w:b/>
          <w:bCs/>
          <w:color w:val="0B3559"/>
          <w:sz w:val="30"/>
          <w:szCs w:val="30"/>
        </w:rPr>
        <w:t xml:space="preserve">十二、待确认事项与假设汇总</w:t>
      </w:r>
    </w:p>
    <w:p>
      <w:pPr>
        <w:spacing w:after="160" w:line="320"/>
      </w:pPr>
      <w:r>
        <w:rPr>
          <w:color w:val="1F2D3D"/>
          <w:sz w:val="21"/>
          <w:szCs w:val="21"/>
        </w:rPr>
        <w:t xml:space="preserve">为便于快速评审，以下汇总本方案中由项目组基于现有信息给出的推荐性假设，均可在详细设计阶段调整确认：</w:t>
      </w:r>
    </w:p>
    <w:p>
      <w:pPr>
        <w:pStyle w:val="ListParagraph"/>
        <w:numPr>
          <w:ilvl w:val="0"/>
          <w:numId w:val="5"/>
        </w:numPr>
        <w:spacing w:after="80" w:line="300"/>
      </w:pPr>
      <w:r>
        <w:rPr>
          <w:color w:val="1F2D3D"/>
          <w:sz w:val="21"/>
          <w:szCs w:val="21"/>
        </w:rPr>
        <w:t xml:space="preserve">数据库选型：一期建议以MySQL为主库，向量检索能力按需在二期引入，暂不在一期强制引入独立向量数据库；</w:t>
      </w:r>
    </w:p>
    <w:p>
      <w:pPr>
        <w:pStyle w:val="ListParagraph"/>
        <w:numPr>
          <w:ilvl w:val="0"/>
          <w:numId w:val="5"/>
        </w:numPr>
        <w:spacing w:after="80" w:line="300"/>
      </w:pPr>
      <w:r>
        <w:rPr>
          <w:color w:val="1F2D3D"/>
          <w:sz w:val="21"/>
          <w:szCs w:val="21"/>
        </w:rPr>
        <w:t xml:space="preserve">前后端技术栈：建议与APHR保持一致（Vue 3 + FastAPI + SQLAlchemy 2.0 + MySQL），以复用团队现有经验；</w:t>
      </w:r>
    </w:p>
    <w:p>
      <w:pPr>
        <w:pStyle w:val="ListParagraph"/>
        <w:numPr>
          <w:ilvl w:val="0"/>
          <w:numId w:val="5"/>
        </w:numPr>
        <w:spacing w:after="80" w:line="300"/>
      </w:pPr>
      <w:r>
        <w:rPr>
          <w:color w:val="1F2D3D"/>
          <w:sz w:val="21"/>
          <w:szCs w:val="21"/>
        </w:rPr>
        <w:t xml:space="preserve">部署环境：建议简化为“开发+生产”两套环境，不单独设置独立测试环境；</w:t>
      </w:r>
    </w:p>
    <w:p>
      <w:pPr>
        <w:pStyle w:val="ListParagraph"/>
        <w:numPr>
          <w:ilvl w:val="0"/>
          <w:numId w:val="5"/>
        </w:numPr>
        <w:spacing w:after="80" w:line="300"/>
      </w:pPr>
      <w:r>
        <w:rPr>
          <w:color w:val="1F2D3D"/>
          <w:sz w:val="21"/>
          <w:szCs w:val="21"/>
        </w:rPr>
        <w:t xml:space="preserve">角色权限矩阵：本方案给出的角色划分（班组长/车间主管/系统管理员/二期预留角色）与权限范围为初稿，具体权限点粒度待业务方确认；</w:t>
      </w:r>
    </w:p>
    <w:p>
      <w:pPr>
        <w:pStyle w:val="ListParagraph"/>
        <w:numPr>
          <w:ilvl w:val="0"/>
          <w:numId w:val="5"/>
        </w:numPr>
        <w:spacing w:after="80" w:line="300"/>
      </w:pPr>
      <w:r>
        <w:rPr>
          <w:color w:val="1F2D3D"/>
          <w:sz w:val="21"/>
          <w:szCs w:val="21"/>
        </w:rPr>
        <w:t xml:space="preserve">登录身份识别：建议一期复用APHR账号体系做身份校验，按生产人员/普通员工分发不同界面，具体是否可行待与APHR账号体系确认；SSO选型与接入时间点待企业统一身份认证体系明确后确定；</w:t>
      </w:r>
    </w:p>
    <w:p>
      <w:pPr>
        <w:pStyle w:val="ListParagraph"/>
        <w:numPr>
          <w:ilvl w:val="0"/>
          <w:numId w:val="5"/>
        </w:numPr>
        <w:spacing w:after="80" w:line="300"/>
      </w:pPr>
      <w:r>
        <w:rPr>
          <w:color w:val="1F2D3D"/>
          <w:sz w:val="21"/>
          <w:szCs w:val="21"/>
        </w:rPr>
        <w:t xml:space="preserve">管理后台与大屏前台入口分离，具体是否共用登录态与组件库，建议在详细设计阶段确认；</w:t>
      </w:r>
    </w:p>
    <w:p>
      <w:pPr>
        <w:pStyle w:val="ListParagraph"/>
        <w:numPr>
          <w:ilvl w:val="0"/>
          <w:numId w:val="5"/>
        </w:numPr>
        <w:spacing w:after="80" w:line="300"/>
      </w:pPr>
      <w:r>
        <w:rPr>
          <w:color w:val="1F2D3D"/>
          <w:sz w:val="21"/>
          <w:szCs w:val="21"/>
        </w:rPr>
        <w:t xml:space="preserve">APHR写接口：日评分、加班记录回写APHR，需要APHR侧开放对应的写接口权限，具体字段、更新频率与失败重试机制待与APHR侧确认；</w:t>
      </w:r>
    </w:p>
    <w:p>
      <w:pPr>
        <w:pStyle w:val="ListParagraph"/>
        <w:numPr>
          <w:ilvl w:val="0"/>
          <w:numId w:val="5"/>
        </w:numPr>
        <w:spacing w:after="80" w:line="300"/>
      </w:pPr>
      <w:r>
        <w:rPr>
          <w:color w:val="1F2D3D"/>
          <w:sz w:val="21"/>
          <w:szCs w:val="21"/>
        </w:rPr>
        <w:t xml:space="preserve">里程碑阶段划分为建议性框架，未包含具体日期，需结合第三方接口开发排期与业务方数据准备进度另行制定详细计划。</w:t>
      </w:r>
    </w:p>
    <w:p>
      <w:pPr>
        <w:spacing w:after="100"/>
      </w:pPr>
    </w:p>
    <w:p>
      <w:pPr>
        <w:spacing w:after="160" w:line="320"/>
      </w:pPr>
      <w:r>
        <w:rPr>
          <w:i/>
          <w:iCs/>
          <w:color w:val="4A5A6A"/>
          <w:sz w:val="21"/>
          <w:szCs w:val="21"/>
        </w:rPr>
        <w:t xml:space="preserve">如以上假设有需要调整的地方，请告知，项目组将同步更新本方案。</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4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8" w:sz="4" w:space="4"/>
      </w:pBdr>
      <w:tabs>
        <w:tab w:val="right" w:pos="9026"/>
      </w:tabs>
    </w:pPr>
    <w:r>
      <w:rPr>
        <w:color w:val="8894A0"/>
        <w:sz w:val="16"/>
        <w:szCs w:val="16"/>
      </w:rPr>
      <w:t xml:space="preserve">甲丁智能体（一期）技术架构与项目设计方案</w:t>
    </w:r>
    <w:r>
      <w:t xml:space="preserve">	</w:t>
    </w:r>
    <w:r>
      <w:rPr>
        <w:color w:val="8894A0"/>
        <w:sz w:val="16"/>
        <w:szCs w:val="16"/>
      </w:rPr>
      <w:t xml:space="preserve">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1F2D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449c7b7ec7ad2ccd295ffc6c8158374ac33845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2026-09-08T03:10:30.277Z</dcterms:created>
  <dcterms:modified xsi:type="dcterms:W3CDTF">2026-09-08T03:10:30.277Z</dcterms:modified>
</cp:coreProperties>
</file>

<file path=docProps/custom.xml><?xml version="1.0" encoding="utf-8"?>
<Properties xmlns="http://schemas.openxmlformats.org/officeDocument/2006/custom-properties" xmlns:vt="http://schemas.openxmlformats.org/officeDocument/2006/docPropsVTypes"/>
</file>