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70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>
        <w:tblPrEx/>
        <w:trPr/>
        <w:tc>
          <w:tcPr>
            <w:tcW w:w="5382" w:type="dxa"/>
            <w:textDirection w:val="lrTb"/>
            <w:noWrap w:val="false"/>
          </w:tcPr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3963" w:type="dxa"/>
            <w:textDirection w:val="lrTb"/>
            <w:noWrap w:val="false"/>
          </w:tcPr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Приложение № 1 к</w:t>
            </w:r>
            <w:r>
              <w:rPr>
                <w:color w:val="000000" w:themeColor="text1"/>
              </w:rPr>
            </w:r>
          </w:p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Трудовому договору от </w:t>
            </w:r>
            <w:r>
              <w:rPr>
                <w:color w:val="000000" w:themeColor="text1"/>
                <w:lang w:eastAsia="ru-RU"/>
              </w:rPr>
              <w:t xml:space="preserve">&lt;Дата </w:t>
            </w:r>
            <w:r>
              <w:rPr>
                <w:color w:val="000000" w:themeColor="text1"/>
                <w:lang w:eastAsia="ru-RU"/>
              </w:rPr>
              <w:t xml:space="preserve">приказа о приеме</w:t>
            </w:r>
            <w:r>
              <w:rPr>
                <w:color w:val="000000" w:themeColor="text1"/>
                <w:lang w:eastAsia="ru-RU"/>
              </w:rPr>
              <w:t xml:space="preserve">&gt;</w:t>
            </w:r>
            <w:r>
              <w:rPr>
                <w:color w:val="000000" w:themeColor="text1"/>
                <w:lang w:eastAsia="ru-RU"/>
              </w:rPr>
              <w:t xml:space="preserve"> г. № </w:t>
            </w:r>
            <w:r>
              <w:rPr>
                <w:color w:val="000000" w:themeColor="text1"/>
                <w:lang w:eastAsia="ru-RU"/>
              </w:rPr>
              <w:t xml:space="preserve">&lt;</w:t>
            </w:r>
            <w:r>
              <w:rPr>
                <w:color w:val="000000" w:themeColor="text1"/>
                <w:lang w:eastAsia="ru-RU"/>
              </w:rPr>
              <w:t xml:space="preserve">Договор №</w:t>
            </w:r>
            <w:r>
              <w:rPr>
                <w:color w:val="000000" w:themeColor="text1"/>
                <w:lang w:eastAsia="ru-RU"/>
              </w:rPr>
              <w:t xml:space="preserve">&gt;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698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contextualSpacing/>
        <w:jc w:val="center"/>
        <w:rPr>
          <w:rFonts w:eastAsia="Courier New"/>
          <w:b/>
          <w:bCs/>
          <w:color w:val="000000" w:themeColor="text1"/>
          <w:sz w:val="24"/>
          <w:szCs w:val="24"/>
        </w:rPr>
      </w:pPr>
      <w:r>
        <w:rPr>
          <w:rFonts w:eastAsia="Courier New"/>
          <w:b/>
          <w:bCs/>
          <w:color w:val="000000" w:themeColor="text1"/>
          <w:sz w:val="24"/>
          <w:szCs w:val="24"/>
          <w:lang w:eastAsia="ru-RU"/>
        </w:rPr>
      </w:r>
      <w:r>
        <w:rPr>
          <w:rFonts w:eastAsia="Courier New"/>
          <w:b/>
          <w:bCs/>
          <w:color w:val="000000" w:themeColor="text1"/>
          <w:sz w:val="24"/>
          <w:szCs w:val="24"/>
        </w:rPr>
      </w:r>
    </w:p>
    <w:p>
      <w:pPr>
        <w:contextualSpacing/>
        <w:jc w:val="center"/>
        <w:rPr>
          <w:rFonts w:eastAsia="Courier New"/>
          <w:b/>
          <w:bCs/>
          <w:color w:val="000000" w:themeColor="text1"/>
          <w:sz w:val="24"/>
          <w:szCs w:val="24"/>
        </w:rPr>
      </w:pPr>
      <w:r>
        <w:rPr>
          <w:rFonts w:eastAsia="Courier New"/>
          <w:b/>
          <w:bCs/>
          <w:color w:val="000000" w:themeColor="text1"/>
          <w:sz w:val="24"/>
          <w:szCs w:val="24"/>
          <w:lang w:eastAsia="ru-RU"/>
        </w:rPr>
        <w:t xml:space="preserve">ДОЛЖНОСТНАЯ ИНСТРУКЦИЯ </w:t>
      </w:r>
      <w:r>
        <w:rPr>
          <w:rFonts w:eastAsia="Courier New"/>
          <w:b/>
          <w:bCs/>
          <w:color w:val="000000" w:themeColor="text1"/>
          <w:sz w:val="24"/>
          <w:szCs w:val="24"/>
        </w:rPr>
      </w:r>
    </w:p>
    <w:p>
      <w:pPr>
        <w:contextualSpacing/>
        <w:jc w:val="center"/>
        <w:widowControl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eastAsia="en-US"/>
        </w:rPr>
        <w:t xml:space="preserve">котлочиста</w:t>
      </w:r>
      <w:r>
        <w:rPr>
          <w:rFonts w:eastAsia="Calibri"/>
          <w:b/>
          <w:bCs/>
          <w:color w:val="000000" w:themeColor="text1"/>
          <w:sz w:val="24"/>
          <w:szCs w:val="24"/>
        </w:rPr>
      </w:r>
    </w:p>
    <w:p>
      <w:pPr>
        <w:contextualSpacing/>
        <w:jc w:val="center"/>
        <w:widowControl/>
        <w:rPr>
          <w:rFonts w:eastAsia="Calibri"/>
          <w:bCs/>
          <w:color w:val="000000" w:themeColor="text1"/>
          <w:sz w:val="24"/>
          <w:szCs w:val="24"/>
        </w:rPr>
      </w:pPr>
      <w:r>
        <w:rPr>
          <w:rFonts w:eastAsia="Calibri"/>
          <w:bCs/>
          <w:color w:val="000000" w:themeColor="text1"/>
          <w:sz w:val="24"/>
          <w:szCs w:val="24"/>
          <w:lang w:eastAsia="en-US"/>
        </w:rPr>
      </w:r>
      <w:r>
        <w:rPr>
          <w:rFonts w:eastAsia="Calibri"/>
          <w:bCs/>
          <w:color w:val="000000" w:themeColor="text1"/>
          <w:sz w:val="24"/>
          <w:szCs w:val="24"/>
        </w:rPr>
      </w:r>
    </w:p>
    <w:p>
      <w:pPr>
        <w:jc w:val="center"/>
        <w:spacing w:line="276" w:lineRule="auto"/>
        <w:widowControl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  <w:lang w:eastAsia="en-US"/>
        </w:rPr>
        <w:t xml:space="preserve">1. ОБЩИЕ ПОЛОЖЕНИЯ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1.1. Настоящая должностная инструкция определяет функциональные обязанности, права и ответственность котлочиста </w:t>
      </w:r>
      <w:r>
        <w:rPr>
          <w:color w:val="000000" w:themeColor="text1"/>
          <w:sz w:val="24"/>
          <w:szCs w:val="24"/>
        </w:rPr>
        <w:t xml:space="preserve">&lt;</w:t>
      </w:r>
      <w:r>
        <w:rPr>
          <w:color w:val="000000" w:themeColor="text1"/>
          <w:sz w:val="24"/>
          <w:szCs w:val="24"/>
        </w:rPr>
        <w:t xml:space="preserve">Полное наименование</w:t>
      </w:r>
      <w:r>
        <w:rPr>
          <w:color w:val="000000" w:themeColor="text1"/>
          <w:sz w:val="24"/>
          <w:szCs w:val="24"/>
        </w:rPr>
        <w:t xml:space="preserve">&gt;</w:t>
      </w:r>
      <w:r>
        <w:rPr>
          <w:color w:val="000000" w:themeColor="text1"/>
          <w:sz w:val="24"/>
          <w:szCs w:val="24"/>
          <w:lang w:eastAsia="ru-RU"/>
        </w:rPr>
        <w:t xml:space="preserve"> (далее - </w:t>
      </w:r>
      <w:r>
        <w:rPr>
          <w:color w:val="000000" w:themeColor="text1"/>
          <w:sz w:val="24"/>
          <w:szCs w:val="24"/>
        </w:rPr>
        <w:t xml:space="preserve">Работодатель</w:t>
      </w:r>
      <w:r>
        <w:rPr>
          <w:color w:val="000000" w:themeColor="text1"/>
          <w:sz w:val="24"/>
          <w:szCs w:val="24"/>
          <w:lang w:eastAsia="ru-RU"/>
        </w:rPr>
        <w:t xml:space="preserve">).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1.2. Котлочист относится к рабочим.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1.3. Котлочист назначается на должность и освобождается от должности приказом </w:t>
      </w:r>
      <w:r>
        <w:rPr>
          <w:color w:val="000000" w:themeColor="text1"/>
          <w:sz w:val="24"/>
          <w:szCs w:val="24"/>
        </w:rPr>
        <w:t xml:space="preserve">&lt;</w:t>
      </w:r>
      <w:r>
        <w:rPr>
          <w:color w:val="000000" w:themeColor="text1"/>
          <w:sz w:val="24"/>
          <w:szCs w:val="24"/>
        </w:rPr>
        <w:t xml:space="preserve">Должность руководителя</w:t>
      </w:r>
      <w:r>
        <w:rPr>
          <w:color w:val="000000" w:themeColor="text1"/>
          <w:sz w:val="24"/>
          <w:szCs w:val="24"/>
        </w:rPr>
        <w:t xml:space="preserve">&gt;</w:t>
      </w:r>
      <w:r>
        <w:rPr>
          <w:color w:val="000000" w:themeColor="text1"/>
          <w:sz w:val="24"/>
          <w:szCs w:val="24"/>
          <w:lang w:eastAsia="en-US"/>
        </w:rPr>
        <w:t xml:space="preserve">.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1.4. Котлочис</w:t>
      </w:r>
      <w:r>
        <w:rPr>
          <w:color w:val="000000" w:themeColor="text1"/>
          <w:sz w:val="24"/>
          <w:szCs w:val="24"/>
          <w:lang w:eastAsia="ru-RU"/>
        </w:rPr>
        <w:t xml:space="preserve">т</w:t>
      </w:r>
      <w:r>
        <w:rPr>
          <w:color w:val="000000" w:themeColor="text1"/>
          <w:sz w:val="24"/>
          <w:szCs w:val="24"/>
          <w:lang w:eastAsia="ru-RU"/>
        </w:rPr>
        <w:t xml:space="preserve"> подчиняется непосредственно шеф-повару.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1.5. Котлочист должен знать: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способы и правила мойки и сушки посуды, приборов, инвентаря и тары различного назначения;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виды моющих и дезинфицирующих средств, правила приготовления дезинфицирующих растворов;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санитарные требования и правила этикета при сборе использованной посуды со столов;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правила обращения с различными видами посуды;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правила сбора и хранения пищевых отходов;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правила пользования средствами индивидуальной защиты;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требования, предъявляемые к качеству выполняемых работ;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требования по рациональной организации труда на рабочем месте;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правила и нормы охраны труда, техники безопасности и противопожарной защиты.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1.6. Котлочист в своей деятельности руководствуется: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действующими нормативными документами по вопросам выполняемой работы;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уставом организации, локальными нормативными актами организации;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– настоящей должностной инструкцией. 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1.7. В период временного отсутствия ко</w:t>
      </w:r>
      <w:r>
        <w:rPr>
          <w:color w:val="000000" w:themeColor="text1"/>
          <w:sz w:val="24"/>
          <w:szCs w:val="24"/>
          <w:lang w:eastAsia="ru-RU"/>
        </w:rPr>
        <w:t xml:space="preserve">т</w:t>
      </w:r>
      <w:r>
        <w:rPr>
          <w:color w:val="000000" w:themeColor="text1"/>
          <w:sz w:val="24"/>
          <w:szCs w:val="24"/>
          <w:lang w:eastAsia="ru-RU"/>
        </w:rPr>
        <w:t xml:space="preserve">лочиста его обязанности возлагаются на </w:t>
      </w: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лицо, назначаемое приказом руководителя организации</w:t>
      </w:r>
      <w:r>
        <w:rPr>
          <w:color w:val="000000" w:themeColor="text1"/>
          <w:sz w:val="24"/>
          <w:szCs w:val="24"/>
          <w:lang w:eastAsia="ru-RU"/>
        </w:rPr>
        <w:t xml:space="preserve">.</w:t>
      </w:r>
      <w:r>
        <w:rPr>
          <w:color w:val="000000" w:themeColor="text1"/>
          <w:sz w:val="24"/>
          <w:szCs w:val="24"/>
        </w:rPr>
      </w:r>
    </w:p>
    <w:p>
      <w:pPr>
        <w:jc w:val="center"/>
        <w:widowControl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  <w:lang w:eastAsia="ru-RU"/>
        </w:rPr>
        <w:t xml:space="preserve">2. ДОЛЖНОСТНЫЕ ОБЯЗАННОСТИ</w:t>
      </w:r>
      <w:r>
        <w:rPr>
          <w:color w:val="000000" w:themeColor="text1"/>
          <w:sz w:val="24"/>
          <w:szCs w:val="24"/>
        </w:rPr>
      </w:r>
    </w:p>
    <w:p>
      <w:pPr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2.1. Обязанности котлочиста:</w:t>
      </w:r>
      <w:r>
        <w:rPr>
          <w:color w:val="000000" w:themeColor="text1"/>
          <w:sz w:val="24"/>
          <w:szCs w:val="24"/>
        </w:rPr>
      </w:r>
    </w:p>
    <w:p>
      <w:pPr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- Мытье котлов, кухонной утвари (котлы,</w:t>
      </w:r>
      <w:r>
        <w:rPr>
          <w:color w:val="000000" w:themeColor="text1"/>
          <w:sz w:val="24"/>
          <w:szCs w:val="24"/>
          <w:lang w:eastAsia="ru-RU"/>
        </w:rPr>
        <w:t xml:space="preserve"> </w:t>
      </w:r>
      <w:r>
        <w:rPr>
          <w:color w:val="000000" w:themeColor="text1"/>
          <w:sz w:val="24"/>
          <w:szCs w:val="24"/>
          <w:lang w:eastAsia="ru-RU"/>
        </w:rPr>
        <w:t xml:space="preserve">кастрюли,</w:t>
      </w:r>
      <w:r>
        <w:rPr>
          <w:color w:val="000000" w:themeColor="text1"/>
          <w:sz w:val="24"/>
          <w:szCs w:val="24"/>
          <w:lang w:eastAsia="ru-RU"/>
        </w:rPr>
        <w:t xml:space="preserve"> </w:t>
      </w:r>
      <w:r>
        <w:rPr>
          <w:color w:val="000000" w:themeColor="text1"/>
          <w:sz w:val="24"/>
          <w:szCs w:val="24"/>
          <w:lang w:eastAsia="ru-RU"/>
        </w:rPr>
        <w:t xml:space="preserve">сковородки и пр.).</w:t>
      </w:r>
      <w:r>
        <w:rPr>
          <w:color w:val="000000" w:themeColor="text1"/>
          <w:sz w:val="24"/>
          <w:szCs w:val="24"/>
        </w:rPr>
      </w:r>
    </w:p>
    <w:p>
      <w:pPr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- </w:t>
      </w:r>
      <w:r>
        <w:rPr>
          <w:color w:val="000000" w:themeColor="text1"/>
          <w:sz w:val="24"/>
          <w:szCs w:val="24"/>
          <w:lang w:eastAsia="ru-RU"/>
        </w:rPr>
        <w:t xml:space="preserve">Поддержание чистоты на кухне.</w:t>
      </w:r>
      <w:r>
        <w:rPr>
          <w:color w:val="000000" w:themeColor="text1"/>
          <w:sz w:val="24"/>
          <w:szCs w:val="24"/>
        </w:rPr>
      </w:r>
    </w:p>
    <w:p>
      <w:pPr>
        <w:jc w:val="center"/>
        <w:widowControl/>
        <w:rPr>
          <w:color w:val="000000" w:themeColor="text1"/>
          <w:sz w:val="22"/>
          <w:szCs w:val="24"/>
        </w:rPr>
      </w:pPr>
      <w:r>
        <w:rPr>
          <w:b/>
          <w:bCs/>
          <w:color w:val="000000" w:themeColor="text1"/>
          <w:sz w:val="24"/>
          <w:szCs w:val="28"/>
          <w:lang w:eastAsia="ru-RU"/>
        </w:rPr>
        <w:t xml:space="preserve">3. ПРАВА</w:t>
      </w:r>
      <w:r>
        <w:rPr>
          <w:color w:val="000000" w:themeColor="text1"/>
          <w:sz w:val="22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3.1. Котлочист имеет право: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3.1.1. Докладывать руководству обо всех выявленных недостатках в пределах своей компетенции.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3.1.2. Вносить предложения по совершенствованию работы, связанной с предусмотренными настоящей должностной инструкцией обязанностями.</w:t>
      </w:r>
      <w:r>
        <w:rPr>
          <w:color w:val="000000" w:themeColor="text1"/>
          <w:sz w:val="24"/>
          <w:szCs w:val="24"/>
        </w:rPr>
      </w:r>
    </w:p>
    <w:p>
      <w:pPr>
        <w:jc w:val="center"/>
        <w:widowControl/>
        <w:rPr>
          <w:color w:val="000000" w:themeColor="text1"/>
          <w:sz w:val="22"/>
          <w:szCs w:val="24"/>
        </w:rPr>
      </w:pPr>
      <w:r>
        <w:rPr>
          <w:b/>
          <w:bCs/>
          <w:color w:val="000000" w:themeColor="text1"/>
          <w:sz w:val="22"/>
          <w:szCs w:val="24"/>
          <w:lang w:eastAsia="ru-RU"/>
        </w:rPr>
        <w:t xml:space="preserve">4. ОТВЕТСТВЕННОСТЬ</w:t>
      </w:r>
      <w:r>
        <w:rPr>
          <w:color w:val="000000" w:themeColor="text1"/>
          <w:sz w:val="22"/>
          <w:szCs w:val="24"/>
        </w:rPr>
      </w:r>
    </w:p>
    <w:p>
      <w:pPr>
        <w:jc w:val="both"/>
        <w:widowControl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eastAsia="ru-RU"/>
        </w:rPr>
        <w:t xml:space="preserve">4.1. Котлочист несет ответственность:</w:t>
      </w:r>
      <w:r>
        <w:rPr>
          <w:color w:val="000000" w:themeColor="text1"/>
          <w:sz w:val="24"/>
          <w:szCs w:val="24"/>
        </w:rPr>
      </w:r>
    </w:p>
    <w:p>
      <w:pPr>
        <w:jc w:val="both"/>
        <w:widowControl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- за качество и своевременность выполнения возложенных на нее настоящей должностной инструкцией обязанностей;</w:t>
      </w:r>
      <w:r>
        <w:rPr>
          <w:rFonts w:eastAsia="Calibri"/>
          <w:color w:val="000000" w:themeColor="text1"/>
          <w:sz w:val="24"/>
          <w:szCs w:val="24"/>
        </w:rPr>
      </w:r>
    </w:p>
    <w:p>
      <w:pPr>
        <w:jc w:val="both"/>
        <w:widowControl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- за соблюдение правил внутреннего трудового распорядка организации;</w:t>
      </w:r>
      <w:r>
        <w:rPr>
          <w:rFonts w:eastAsia="Calibri"/>
          <w:color w:val="000000" w:themeColor="text1"/>
          <w:sz w:val="24"/>
          <w:szCs w:val="24"/>
        </w:rPr>
      </w:r>
    </w:p>
    <w:p>
      <w:pPr>
        <w:jc w:val="both"/>
        <w:widowControl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- за соблюдение инструкций по охране труда, противопожарной безопасности и производственной санитарии;</w:t>
      </w:r>
      <w:r>
        <w:rPr>
          <w:rFonts w:eastAsia="Calibri"/>
          <w:color w:val="000000" w:themeColor="text1"/>
          <w:sz w:val="24"/>
          <w:szCs w:val="24"/>
        </w:rPr>
      </w:r>
    </w:p>
    <w:p>
      <w:pPr>
        <w:jc w:val="both"/>
        <w:widowControl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- за ненадлежащее исполнение или неисполнение своих должностных обязанностей, предусмотренных настоящей должностной инструкцией - в пределах, определенных трудовым законодательством Российской Федерации;</w:t>
      </w:r>
      <w:r>
        <w:rPr>
          <w:rFonts w:eastAsia="Calibri"/>
          <w:color w:val="000000" w:themeColor="text1"/>
          <w:sz w:val="24"/>
          <w:szCs w:val="24"/>
        </w:rPr>
      </w:r>
    </w:p>
    <w:p>
      <w:pPr>
        <w:jc w:val="both"/>
        <w:widowControl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- 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 Российской Федерации;</w:t>
      </w:r>
      <w:r>
        <w:rPr>
          <w:rFonts w:eastAsia="Calibri"/>
          <w:color w:val="000000" w:themeColor="text1"/>
          <w:sz w:val="24"/>
          <w:szCs w:val="24"/>
        </w:rPr>
      </w:r>
    </w:p>
    <w:p>
      <w:pPr>
        <w:jc w:val="both"/>
        <w:widowControl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- за причинение материального ущерба - в пределах, определенных действующим трудовым и гражданским законодательством Российской Федерации.</w:t>
      </w:r>
      <w:r>
        <w:rPr>
          <w:rFonts w:eastAsia="Calibri"/>
          <w:color w:val="000000" w:themeColor="text1"/>
          <w:sz w:val="24"/>
          <w:szCs w:val="24"/>
        </w:rPr>
      </w:r>
    </w:p>
    <w:p>
      <w:pPr>
        <w:contextualSpacing/>
        <w:jc w:val="center"/>
        <w:widowControl/>
        <w:tabs>
          <w:tab w:val="num" w:pos="142" w:leader="none"/>
        </w:tabs>
        <w:rPr>
          <w:rFonts w:eastAsia="Calibri"/>
          <w:color w:val="000000" w:themeColor="text1"/>
          <w:sz w:val="22"/>
          <w:szCs w:val="24"/>
        </w:rPr>
      </w:pPr>
      <w:r>
        <w:rPr>
          <w:rFonts w:eastAsia="Calibri"/>
          <w:b/>
          <w:bCs/>
          <w:color w:val="000000" w:themeColor="text1"/>
          <w:sz w:val="22"/>
          <w:szCs w:val="24"/>
          <w:lang w:eastAsia="en-US"/>
        </w:rPr>
        <w:t xml:space="preserve">5. ПОРЯДОК ПЕРЕСМОТРА ДОЛЖНОСТНОЙ ИНСТРУКЦИИ</w:t>
      </w:r>
      <w:r>
        <w:rPr>
          <w:rFonts w:eastAsia="Calibri"/>
          <w:color w:val="000000" w:themeColor="text1"/>
          <w:sz w:val="22"/>
          <w:szCs w:val="24"/>
        </w:rPr>
      </w:r>
    </w:p>
    <w:p>
      <w:pPr>
        <w:contextualSpacing/>
        <w:jc w:val="both"/>
        <w:widowControl/>
        <w:tabs>
          <w:tab w:val="num" w:pos="142" w:leader="none"/>
        </w:tabs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5.1. Должностная инструкция пересматривается, изменяется и дополняется по мере необходимости, но не реже одного раза в пять лет.</w:t>
      </w:r>
      <w:r>
        <w:rPr>
          <w:rFonts w:eastAsia="Calibri"/>
          <w:color w:val="000000" w:themeColor="text1"/>
          <w:sz w:val="24"/>
          <w:szCs w:val="24"/>
        </w:rPr>
      </w:r>
    </w:p>
    <w:p>
      <w:pPr>
        <w:contextualSpacing/>
        <w:jc w:val="both"/>
        <w:widowControl/>
        <w:tabs>
          <w:tab w:val="num" w:pos="142" w:leader="none"/>
        </w:tabs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  <w:r>
        <w:rPr>
          <w:rFonts w:eastAsia="Calibri"/>
          <w:color w:val="000000" w:themeColor="text1"/>
          <w:sz w:val="24"/>
          <w:szCs w:val="24"/>
        </w:rPr>
      </w:r>
    </w:p>
    <w:p>
      <w:pPr>
        <w:contextualSpacing/>
        <w:jc w:val="both"/>
        <w:widowControl/>
        <w:tabs>
          <w:tab w:val="num" w:pos="142" w:leader="none"/>
        </w:tabs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ab/>
      </w:r>
      <w:r>
        <w:rPr>
          <w:rFonts w:eastAsia="Calibri"/>
          <w:color w:val="000000" w:themeColor="text1"/>
          <w:sz w:val="24"/>
          <w:szCs w:val="24"/>
          <w:lang w:eastAsia="en-US"/>
        </w:rPr>
        <w:tab/>
        <w:t xml:space="preserve">Должностная инструкция разработана в соответствии с приказом </w:t>
      </w:r>
      <w:r>
        <w:rPr>
          <w:color w:val="000000" w:themeColor="text1"/>
          <w:sz w:val="24"/>
          <w:szCs w:val="24"/>
        </w:rPr>
        <w:t xml:space="preserve">&lt;</w:t>
      </w:r>
      <w:r>
        <w:rPr>
          <w:color w:val="000000" w:themeColor="text1"/>
          <w:sz w:val="24"/>
          <w:szCs w:val="24"/>
        </w:rPr>
        <w:t xml:space="preserve">Должность руководителя</w:t>
      </w:r>
      <w:r>
        <w:rPr>
          <w:color w:val="000000" w:themeColor="text1"/>
          <w:sz w:val="24"/>
          <w:szCs w:val="24"/>
        </w:rPr>
        <w:t xml:space="preserve">&gt;</w:t>
      </w: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 от </w:t>
      </w:r>
      <w:r>
        <w:rPr>
          <w:color w:val="000000" w:themeColor="text1"/>
          <w:sz w:val="24"/>
          <w:szCs w:val="24"/>
        </w:rPr>
        <w:t xml:space="preserve">«__» ______________ 20__ г. № ___________.</w:t>
      </w:r>
      <w:r>
        <w:rPr>
          <w:rFonts w:eastAsia="Calibri"/>
          <w:color w:val="000000" w:themeColor="text1"/>
          <w:sz w:val="24"/>
          <w:szCs w:val="24"/>
        </w:rPr>
      </w:r>
    </w:p>
    <w:p>
      <w:pPr>
        <w:widowControl/>
        <w:tabs>
          <w:tab w:val="num" w:pos="142" w:leader="none"/>
        </w:tabs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  <w:lang w:eastAsia="en-US"/>
        </w:rPr>
      </w:r>
      <w:r>
        <w:rPr>
          <w:rFonts w:eastAsia="Calibri"/>
          <w:b/>
          <w:bCs/>
          <w:color w:val="000000" w:themeColor="text1"/>
          <w:sz w:val="24"/>
          <w:szCs w:val="24"/>
        </w:rPr>
      </w:r>
    </w:p>
    <w:tbl>
      <w:tblPr>
        <w:tblStyle w:val="703"/>
        <w:tblW w:w="0" w:type="auto"/>
        <w:tblLook w:val="04A0" w:firstRow="1" w:lastRow="0" w:firstColumn="1" w:lastColumn="0" w:noHBand="0" w:noVBand="1"/>
      </w:tblPr>
      <w:tblGrid>
        <w:gridCol w:w="3495"/>
        <w:gridCol w:w="753"/>
        <w:gridCol w:w="5097"/>
      </w:tblGrid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34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 должностной инструкцией ознакомлен (а) и согласен (а):</w:t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&lt;Фамилия&gt; &lt;Инициалы имени, отчества&gt;</w:t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(подпись)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(расшифровка подписи)</w:t>
            </w:r>
            <w:r>
              <w:rPr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«_____»_____________20____г.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34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Экземпляр должностной инструкции получил (а), обязуюсь хранить на рабочем месте:</w:t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&lt;Фамилия&gt; &lt;Инициалы имени, отчества&gt;</w:t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(подпись)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(расшифровка подписи)</w:t>
            </w:r>
            <w:r>
              <w:rPr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«_____»_____________20____г.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none" w:color="000000" w:sz="4" w:space="0"/>
              <w:right w:val="single" w:color="FFFFFF" w:themeColor="background1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34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u w:val="single"/>
              </w:rPr>
              <w:t xml:space="preserve">Примечание:</w:t>
            </w:r>
            <w:r>
              <w:rPr>
                <w:color w:val="000000" w:themeColor="text1"/>
                <w:sz w:val="24"/>
                <w:szCs w:val="24"/>
              </w:rPr>
              <w:t xml:space="preserve"> Должностная инструкция составляется в 2-х экз.</w:t>
            </w:r>
            <w:r>
              <w:rPr>
                <w:color w:val="000000" w:themeColor="text1"/>
              </w:rPr>
            </w:r>
          </w:p>
        </w:tc>
      </w:tr>
    </w:tbl>
    <w:p>
      <w:pPr>
        <w:contextualSpacing/>
        <w:widowControl/>
        <w:tabs>
          <w:tab w:val="left" w:pos="7120" w:leader="none"/>
        </w:tabs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  <w:lang w:eastAsia="en-US"/>
        </w:rPr>
      </w:r>
      <w:r>
        <w:rPr>
          <w:rFonts w:eastAsia="Calibri"/>
          <w:color w:val="000000" w:themeColor="text1"/>
          <w:sz w:val="28"/>
          <w:szCs w:val="28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sectPr>
      <w:footerReference w:type="default" r:id="rId8"/>
      <w:footerReference w:type="first" r:id="rId9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98695"/>
      <w:docPartObj>
        <w:docPartGallery w:val="Page Numbers (Bottom of Page)"/>
        <w:docPartUnique w:val="true"/>
      </w:docPartObj>
      <w:rPr/>
    </w:sdtPr>
    <w:sdtContent>
      <w:p>
        <w:pPr>
          <w:pStyle w:val="700"/>
          <w:jc w:val="center"/>
        </w:pP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   \* MERGEFORMAT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 xml:space="preserve">6</w:t>
        </w:r>
        <w:r>
          <w:rPr>
            <w:sz w:val="22"/>
            <w:szCs w:val="22"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48243736"/>
      <w:docPartObj>
        <w:docPartGallery w:val="Page Numbers (Bottom of Page)"/>
        <w:docPartUnique w:val="true"/>
      </w:docPartObj>
      <w:rPr/>
    </w:sdtPr>
    <w:sdtContent>
      <w:p>
        <w:pPr>
          <w:pStyle w:val="700"/>
          <w:jc w:val="center"/>
          <w:rPr>
            <w:sz w:val="22"/>
            <w:szCs w:val="22"/>
          </w:rPr>
        </w:pP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   \* MERGEFORMAT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 xml:space="preserve">6</w:t>
        </w:r>
        <w:r>
          <w:rPr>
            <w:sz w:val="22"/>
            <w:szCs w:val="22"/>
          </w:rPr>
          <w:fldChar w:fldCharType="end"/>
        </w:r>
        <w:r>
          <w:rPr>
            <w:sz w:val="22"/>
            <w:szCs w:val="22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94"/>
    <w:next w:val="694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95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94"/>
    <w:next w:val="694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95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94"/>
    <w:next w:val="694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95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94"/>
    <w:next w:val="694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95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94"/>
    <w:next w:val="694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95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94"/>
    <w:next w:val="694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95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94"/>
    <w:next w:val="694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95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94"/>
    <w:next w:val="694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95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94"/>
    <w:next w:val="694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95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94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94"/>
    <w:next w:val="694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95"/>
    <w:link w:val="35"/>
    <w:uiPriority w:val="10"/>
    <w:rPr>
      <w:sz w:val="48"/>
      <w:szCs w:val="48"/>
    </w:rPr>
  </w:style>
  <w:style w:type="paragraph" w:styleId="37">
    <w:name w:val="Subtitle"/>
    <w:basedOn w:val="694"/>
    <w:next w:val="694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95"/>
    <w:link w:val="37"/>
    <w:uiPriority w:val="11"/>
    <w:rPr>
      <w:sz w:val="24"/>
      <w:szCs w:val="24"/>
    </w:rPr>
  </w:style>
  <w:style w:type="paragraph" w:styleId="39">
    <w:name w:val="Quote"/>
    <w:basedOn w:val="694"/>
    <w:next w:val="694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94"/>
    <w:next w:val="694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95"/>
    <w:link w:val="698"/>
    <w:uiPriority w:val="99"/>
  </w:style>
  <w:style w:type="character" w:styleId="46">
    <w:name w:val="Footer Char"/>
    <w:basedOn w:val="695"/>
    <w:link w:val="700"/>
    <w:uiPriority w:val="99"/>
  </w:style>
  <w:style w:type="paragraph" w:styleId="47">
    <w:name w:val="Caption"/>
    <w:basedOn w:val="694"/>
    <w:next w:val="694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95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9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9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9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94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95"/>
    <w:uiPriority w:val="99"/>
    <w:unhideWhenUsed/>
    <w:rPr>
      <w:vertAlign w:val="superscript"/>
    </w:rPr>
  </w:style>
  <w:style w:type="paragraph" w:styleId="179">
    <w:name w:val="endnote text"/>
    <w:basedOn w:val="69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95"/>
    <w:uiPriority w:val="99"/>
    <w:semiHidden/>
    <w:unhideWhenUsed/>
    <w:rPr>
      <w:vertAlign w:val="superscript"/>
    </w:rPr>
  </w:style>
  <w:style w:type="paragraph" w:styleId="182">
    <w:name w:val="toc 1"/>
    <w:basedOn w:val="694"/>
    <w:next w:val="694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94"/>
    <w:next w:val="694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94"/>
    <w:next w:val="694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94"/>
    <w:next w:val="694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94"/>
    <w:next w:val="694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94"/>
    <w:next w:val="69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94"/>
    <w:next w:val="69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94"/>
    <w:next w:val="69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94"/>
    <w:next w:val="694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94"/>
    <w:next w:val="694"/>
    <w:uiPriority w:val="99"/>
    <w:unhideWhenUsed/>
    <w:pPr>
      <w:spacing w:after="0" w:afterAutospacing="0"/>
    </w:pPr>
  </w:style>
  <w:style w:type="paragraph" w:styleId="694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695" w:default="1">
    <w:name w:val="Default Paragraph Font"/>
    <w:uiPriority w:val="1"/>
    <w:semiHidden/>
    <w:unhideWhenUsed/>
  </w:style>
  <w:style w:type="table" w:styleId="69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7" w:default="1">
    <w:name w:val="No List"/>
    <w:uiPriority w:val="99"/>
    <w:semiHidden/>
    <w:unhideWhenUsed/>
  </w:style>
  <w:style w:type="paragraph" w:styleId="698">
    <w:name w:val="Header"/>
    <w:basedOn w:val="694"/>
    <w:link w:val="699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99" w:customStyle="1">
    <w:name w:val="Верхний колонтитул Знак"/>
    <w:basedOn w:val="695"/>
    <w:link w:val="698"/>
    <w:uiPriority w:val="99"/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700">
    <w:name w:val="Footer"/>
    <w:basedOn w:val="694"/>
    <w:link w:val="701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01" w:customStyle="1">
    <w:name w:val="Нижний колонтитул Знак"/>
    <w:basedOn w:val="695"/>
    <w:link w:val="700"/>
    <w:uiPriority w:val="99"/>
    <w:rPr>
      <w:rFonts w:ascii="Times New Roman" w:hAnsi="Times New Roman" w:eastAsia="Times New Roman" w:cs="Times New Roman"/>
      <w:sz w:val="20"/>
      <w:szCs w:val="20"/>
      <w:lang w:eastAsia="ar-SA"/>
    </w:rPr>
  </w:style>
  <w:style w:type="table" w:styleId="702" w:customStyle="1">
    <w:name w:val="Сетка таблицы1"/>
    <w:basedOn w:val="696"/>
    <w:next w:val="703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03">
    <w:name w:val="Table Grid"/>
    <w:basedOn w:val="69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Купцов Никита</cp:lastModifiedBy>
  <cp:revision>12</cp:revision>
  <dcterms:created xsi:type="dcterms:W3CDTF">2023-09-07T13:19:00Z</dcterms:created>
  <dcterms:modified xsi:type="dcterms:W3CDTF">2026-07-09T11:38:16Z</dcterms:modified>
</cp:coreProperties>
</file>