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tbl>
      <w:tblPr>
        <w:tblStyle w:val="711"/>
        <w:tblW w:w="1045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6487"/>
        <w:gridCol w:w="3963"/>
      </w:tblGrid>
      <w:tr>
        <w:tblPrEx/>
        <w:trPr/>
        <w:tc>
          <w:tcPr>
            <w:tcW w:w="6487" w:type="dxa"/>
            <w:textDirection w:val="lrTb"/>
            <w:noWrap w:val="false"/>
          </w:tcPr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/>
                <w:color w:val="000000" w:themeColor="text1"/>
              </w:rPr>
            </w:pPr>
            <w:r>
              <w:rPr>
                <w:rFonts w:ascii="Times New Roman" w:hAnsi="Times New Roman"/>
                <w:color w:val="000000" w:themeColor="text1"/>
              </w:rPr>
            </w:r>
            <w:r>
              <w:rPr>
                <w:rFonts w:ascii="Times New Roman" w:hAnsi="Times New Roman"/>
                <w:color w:val="000000" w:themeColor="text1"/>
              </w:rPr>
            </w:r>
          </w:p>
        </w:tc>
        <w:tc>
          <w:tcPr>
            <w:tcW w:w="3963" w:type="dxa"/>
            <w:textDirection w:val="lrTb"/>
            <w:noWrap w:val="false"/>
          </w:tcPr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  <w:t xml:space="preserve">Приложение № 1 к</w:t>
            </w: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</w:r>
          </w:p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/>
                <w:color w:val="000000" w:themeColor="text1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  <w:t xml:space="preserve">Трудовому договору от 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&lt;Дата приказа о приеме&gt;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 г. № 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&lt;Договор №&gt;</w:t>
            </w:r>
            <w:r>
              <w:rPr>
                <w:rFonts w:ascii="Times New Roman" w:hAnsi="Times New Roman"/>
                <w:color w:val="000000" w:themeColor="text1"/>
              </w:rPr>
            </w:r>
          </w:p>
        </w:tc>
      </w:tr>
    </w:tbl>
    <w:p>
      <w:pPr>
        <w:pStyle w:val="705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contextualSpacing/>
        <w:jc w:val="center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</w:p>
    <w:p>
      <w:pPr>
        <w:contextualSpacing/>
        <w:jc w:val="center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ДОЛЖНОСТНАЯ ИНСТРУКЦИЯ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</w:p>
    <w:p>
      <w:pPr>
        <w:contextualSpacing/>
        <w:jc w:val="center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официанта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</w:p>
    <w:p>
      <w:pPr>
        <w:contextualSpacing/>
        <w:jc w:val="center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r>
    </w:p>
    <w:p>
      <w:pPr>
        <w:contextualSpacing/>
        <w:jc w:val="center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1. ОБЩИЕ ПОЛОЖЕНИЯ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1.1. Настоящая должностная инструкция определяет обязанности, права и ответственность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о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фицианта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Calibri" w:cs="Times New Roman"/>
          <w:color w:val="000000" w:themeColor="text1"/>
          <w:sz w:val="24"/>
          <w:szCs w:val="24"/>
        </w:rPr>
        <w:t xml:space="preserve">&lt;Полное наименование&gt;</w:t>
      </w:r>
      <w:r>
        <w:rPr>
          <w:rFonts w:ascii="Times New Roman" w:hAnsi="Times New Roman" w:eastAsia="Calibri" w:cs="Times New Roman"/>
          <w:color w:val="000000" w:themeColor="text1"/>
          <w:sz w:val="24"/>
          <w:szCs w:val="24"/>
        </w:rPr>
        <w:t xml:space="preserve"> (далее — Работодатель)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1.2.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Настоящая должностная инструкция разработана на основе Профессионального стандарта 33.013 "</w:t>
      </w:r>
      <w:hyperlink r:id="rId11" w:tooltip="Профстандарт Специалист по управлению персоналом Минтруда России" w:history="1">
        <w:r>
          <w:rPr>
            <w:rStyle w:val="709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 xml:space="preserve">Официант/бармен</w:t>
        </w:r>
      </w:hyperlink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", утвержденного Приказом Минтруда России от 01.12.2015 N 910н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1.3.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Официант назначается на должность и освобождается от должности приказом </w:t>
      </w:r>
      <w:r>
        <w:rPr>
          <w:rFonts w:ascii="Times New Roman" w:hAnsi="Times New Roman" w:eastAsia="Calibri" w:cs="Times New Roman"/>
          <w:color w:val="000000" w:themeColor="text1"/>
          <w:sz w:val="24"/>
          <w:szCs w:val="24"/>
        </w:rPr>
        <w:t xml:space="preserve">&lt;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sz w:val="24"/>
          <w:szCs w:val="24"/>
        </w:rPr>
        <w:t xml:space="preserve">&gt;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</w:t>
      </w:r>
      <w:r>
        <w:rPr>
          <w:color w:val="000000" w:themeColor="text1"/>
          <w:sz w:val="24"/>
          <w:szCs w:val="24"/>
        </w:rPr>
      </w:r>
    </w:p>
    <w:p>
      <w:pPr>
        <w:pStyle w:val="702"/>
        <w:contextualSpacing/>
        <w:jc w:val="both"/>
        <w:spacing w:after="0"/>
        <w:rPr>
          <w:color w:val="000000" w:themeColor="text1"/>
        </w:rPr>
      </w:pPr>
      <w:r>
        <w:rPr>
          <w:color w:val="000000" w:themeColor="text1"/>
          <w:lang w:eastAsia="ru-RU"/>
        </w:rPr>
        <w:t xml:space="preserve">1.4. </w:t>
      </w:r>
      <w:r>
        <w:rPr>
          <w:color w:val="000000" w:themeColor="text1"/>
        </w:rPr>
        <w:t xml:space="preserve">На должность официанта назначается лицо</w:t>
      </w:r>
      <w:r>
        <w:rPr>
          <w:color w:val="000000" w:themeColor="text1"/>
        </w:rPr>
        <w:t xml:space="preserve">,</w:t>
      </w:r>
      <w:r>
        <w:rPr>
          <w:color w:val="000000" w:themeColor="text1"/>
        </w:rPr>
        <w:t xml:space="preserve"> имеющее </w:t>
      </w:r>
      <w:r>
        <w:rPr>
          <w:iCs/>
          <w:color w:val="000000" w:themeColor="text1"/>
        </w:rPr>
        <w:t xml:space="preserve">профессиональное обучение - программы профессионального обучения по профессиям рабочих, служащих</w:t>
      </w:r>
      <w:r>
        <w:rPr>
          <w:color w:val="000000" w:themeColor="text1"/>
        </w:rPr>
        <w:t xml:space="preserve"> и стаж работы по специальности не менее 6-ти месяцев </w:t>
      </w:r>
      <w:r>
        <w:rPr>
          <w:iCs/>
          <w:color w:val="000000" w:themeColor="text1"/>
        </w:rPr>
        <w:t xml:space="preserve">в организациях питания по обслуживанию потребителей под руководством официанта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pStyle w:val="702"/>
        <w:contextualSpacing/>
        <w:jc w:val="both"/>
        <w:spacing w:after="0"/>
        <w:rPr>
          <w:iCs/>
          <w:color w:val="000000" w:themeColor="text1"/>
        </w:rPr>
      </w:pPr>
      <w:r>
        <w:rPr>
          <w:color w:val="000000" w:themeColor="text1"/>
          <w:lang w:eastAsia="ru-RU"/>
        </w:rPr>
        <w:t xml:space="preserve">1.5. </w:t>
      </w:r>
      <w:r>
        <w:rPr>
          <w:iCs/>
          <w:color w:val="000000" w:themeColor="text1"/>
        </w:rPr>
        <w:t xml:space="preserve">Особые условия допуска к работе:</w:t>
      </w:r>
      <w:r>
        <w:rPr>
          <w:iCs/>
          <w:color w:val="000000" w:themeColor="text1"/>
        </w:rPr>
      </w:r>
    </w:p>
    <w:p>
      <w:pPr>
        <w:pStyle w:val="702"/>
        <w:contextualSpacing/>
        <w:jc w:val="both"/>
        <w:spacing w:after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- наличие медици</w:t>
      </w:r>
      <w:r>
        <w:rPr>
          <w:iCs/>
          <w:color w:val="000000" w:themeColor="text1"/>
        </w:rPr>
        <w:t xml:space="preserve">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порядке;</w:t>
      </w:r>
      <w:r>
        <w:rPr>
          <w:iCs/>
          <w:color w:val="000000" w:themeColor="text1"/>
        </w:rPr>
      </w:r>
    </w:p>
    <w:p>
      <w:pPr>
        <w:pStyle w:val="702"/>
        <w:contextualSpacing/>
        <w:jc w:val="both"/>
        <w:spacing w:after="0"/>
        <w:rPr>
          <w:color w:val="000000" w:themeColor="text1"/>
        </w:rPr>
      </w:pPr>
      <w:r>
        <w:rPr>
          <w:iCs/>
          <w:color w:val="000000" w:themeColor="text1"/>
        </w:rPr>
        <w:t xml:space="preserve">- при производстве блюд, напитков и кулинарных изделий с использованием алкоголя возраст не менее 18 лет.</w:t>
      </w:r>
      <w:r>
        <w:rPr>
          <w:color w:val="000000" w:themeColor="text1"/>
        </w:rPr>
      </w:r>
    </w:p>
    <w:p>
      <w:pPr>
        <w:pStyle w:val="702"/>
        <w:contextualSpacing/>
        <w:jc w:val="both"/>
        <w:spacing w:after="0"/>
        <w:rPr>
          <w:iCs/>
          <w:color w:val="000000" w:themeColor="text1"/>
        </w:rPr>
      </w:pPr>
      <w:r>
        <w:rPr>
          <w:color w:val="000000" w:themeColor="text1"/>
        </w:rPr>
        <w:t xml:space="preserve">1.6. </w:t>
      </w:r>
      <w:r>
        <w:rPr>
          <w:iCs/>
          <w:color w:val="000000" w:themeColor="text1"/>
        </w:rPr>
        <w:t xml:space="preserve">Необходимые умения:</w:t>
      </w:r>
      <w:r>
        <w:rPr>
          <w:iCs/>
          <w:color w:val="000000" w:themeColor="text1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-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оценивать наличие столовой посуды, приборов, столового белья, аксессуаров и инвентаря, необходимых для сервировки столов, и прогнозировать потребность в них,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оценивать качество сервировки столов,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организовывать обучение помощников официанта на рабочих местах правилам сервировки столов,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осуществлять контроль выполнения помощниками официанта предварительной сервировки столов,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соблюдать правила личной гигиены и выполнять санитарные правила,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соблюдать правила ресторанного этикета при встрече и приветствии потребителей, размещении за столом, подаче меню,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предлагать потребителям блюда и предоставлять краткую информацию о них в процессе обслуживания,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-консультировать потребителей по выбору вин, крепких спиртных и прочих напитков, их сочетаемости с блюдами,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осуществлять прием заказа на блюда и напитки,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-размещать заказ потребителя,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методы подачи блюд в организациях питания,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-правила и очередность подачи блюд и напитков,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требования к качеству, температуре блюд и напитков при подаче,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правила порционирования и технологии подготовки и презентации блюд в присутствии потребителей;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виды инструментов и оборудования, используемых для подготовки и презентации блюд в присутствии потребителей,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правила и техника замены использованной столовой посуды и столовых приборов,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порядок оформления счетов и расчета по ним с потребителями организации питания,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формы расчетов с потребителями организаций питания,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правила эксплуатации контрольно-кассовой техники и POS-терминалов,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требования охраны труда, производственной санитарии и пожарной безопасности в организациях питания,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правила подготовки к проведению массовых мероприятий в организациях питания и при выездном обслуживании,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особенности обслуживания массовых мероприятий в организациях питания и на выездных мероприятиях,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- нормативно-правовые акты Российской Федерации, регулирующие деятельность организаций питания.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1.7.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Официант в своей деятельности руководствуется: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действующими нормативными документами по вопросам выполняемой работы;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локальными нормативными актами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профессиональным стандартом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33.013 "</w:t>
      </w:r>
      <w:hyperlink r:id="rId12" w:tooltip="Профстандарт Специалист по управлению персоналом Минтруда России" w:history="1">
        <w:r>
          <w:rPr>
            <w:rStyle w:val="709"/>
            <w:rFonts w:ascii="Times New Roman" w:hAnsi="Times New Roman" w:cs="Times New Roman"/>
            <w:color w:val="000000" w:themeColor="text1"/>
            <w:sz w:val="24"/>
            <w:szCs w:val="24"/>
            <w:u w:val="none"/>
          </w:rPr>
          <w:t xml:space="preserve">Официант/бармен</w:t>
        </w:r>
      </w:hyperlink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",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настоящей должностной инструкцией.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1.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8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. Официант должен знать: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нормативные правовые документы, акты технического регулирования на услуги и продукцию общественного питания;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правила сервировки столов и обслуживания посетителей;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характеристику блюд и напитков, включенных в меню;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виды, назначение и требования к используемым столовым приборам;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порядок получения и сдачи столовых приборов;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особенности приготовления, оформления и подачи блюд и напитков;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особенности обслуживания приемов, банкетов, торжеств и других мероприятий;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правила предложения блюд и напитков потребителям;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правила консультирования потребителей о блюдах и напитках в процессе обслуживания;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цены на реализуемую кулинарную продукцию, кондитерские изделия и продаваемые товары;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правила этикета;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правила и очередность подачи блюд, напитков, требования к их оформлению и температуре подачи;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правила получения и сдачи столовой посуды, приборов, столового белья, аксессуаров для зала обслуживания;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правила сервировки столов и обслуживания посетителей при реализации по предварительно оплаченным путевкам, чекам, талонам;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иностранный язык в пределах разговорного минимума и профессиональной терминологии;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правила эксплуатации применяемого оборудования и инвентаря;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правила эксплуатации контрольно–кассовой техники, порядок оформления счетов и расчета с потребителями;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профессиональную терминологию;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нормы и стандарты профессиональной этики;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правила пожарной безопасности;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санитарные нормы и правила, правила личной гигиены и гигиены рабочего места;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правила пользования средствами индивидуальной защиты;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– правила и нормы охраны труда, техники безопасности и противопожарной защиты.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1.9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. Официант подчиняется непосредственному руководителю.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center"/>
        <w:spacing w:after="0" w:line="240" w:lineRule="auto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ru-RU"/>
        </w:rPr>
        <w:t xml:space="preserve">2. 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ru-RU"/>
        </w:rPr>
        <w:t xml:space="preserve">ТР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ru-RU"/>
        </w:rPr>
        <w:t xml:space="preserve">У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ru-RU"/>
        </w:rPr>
        <w:t xml:space="preserve">ДОВЫЕ ФУНКЦИИ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Официант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выполняет следующие функции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: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2.1.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Сервировка столов организации питания: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2.1.1. Оценка наличия запасов столовой посуды, приборов, столового белья, аксессуаров и инвентаря, необходимых для сервировки столов.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2.1.2. Составление заявок на пополнение ассортимента столовой посуды, приборов, столового белья, аксессуаров и инвентаря, необходимых для сервировки столов.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2.1.3. Получение из сервизной столовой посуды, приборов и столового белья.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2.1.4. Сервировка столов с учетом стандартов организации питания.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2.1.5. Обучение помощников официанта на рабочих местах технологиям сервировки столов.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2.1.6. Контроль предварительной сервировки столов.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2.2. Встреча потребителей организации питания и прием заказов от них: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pStyle w:val="710"/>
        <w:jc w:val="both"/>
        <w:spacing w:before="0" w:beforeAutospacing="0" w:after="0" w:afterAutospacing="0"/>
        <w:rPr>
          <w:color w:val="000000" w:themeColor="text1"/>
        </w:rPr>
      </w:pPr>
      <w:r>
        <w:rPr>
          <w:iCs/>
          <w:color w:val="000000" w:themeColor="text1"/>
        </w:rPr>
        <w:t xml:space="preserve">2.2.1. Встреча потребителей организации питания и размещение их в зале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2.2.2. 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Предложение потребителям организации питания меню, карты вин, аперитива и других напитков.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2.2.3. Рекомендация потребителям организации питания по выбору закусок, блюд и напитков.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2.2.4. Прием, оформление и уточнение заказа потребителей организации питания.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2.2.5. Передача заказа потребителей организации питания в основное производство и бар.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2.2.6. Досервировка стола по меню заказа потребителей организации питания.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  <w:t xml:space="preserve">2.3. Подача готовых блюд и напитков, заказанных потребителями организации питания:</w:t>
      </w:r>
      <w:r>
        <w:rPr>
          <w:rFonts w:ascii="Times New Roman" w:hAnsi="Times New Roman" w:cs="Times New Roman"/>
          <w:iCs/>
          <w:color w:val="000000" w:themeColor="text1"/>
          <w:sz w:val="24"/>
          <w:szCs w:val="24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2.3.1. Получение блюд из основного производства организации питания.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2.3.2. Получение напитков, фруктов и других продуктов в баре, буфете.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2.3.3. Подача холодных закусок.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2.3.4. Подача горячих закусок.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2.3.5. Подача первых блюд.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2.3.6. Подача вторых блюд.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2.3.7. Подача сладких блюд, десертов и других кондитерских изделий.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2.3.8. Подача горячих напитков.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2.3.9. Подача алкогольных, слабоалкогольных и безалкогольных напитков.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2.3.10. Проведение заключительных операций по подготовке блюда и презентации в присутствии потребителей.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2.3.11. Замена использованной посуды, приборов и столового белья.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2.4. Проведение расчетов с потребителями организации питания за сделанные заказы: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2.4.1. Оформление счета за сделанный заказ потребителем организации питания.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2.4.2. Предоставление счета за сделанный заказ потребителю организации питания.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2.4.3. Получение оплаты от потребителей организации питания за выполненный заказ.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2.4.4. Проводы потребителей организации питания.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2.5. Обслуживание массовых мероприятий в организациях питания: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2.5.1. Подготовка зала и инвентаря для обслуживания массовых мероприятий в организациях питания.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2.5.2. Подготовка помещения и инвентаря для обслуживания блюдами и напитками на выездных мероприятиях.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2.5.3. Сервировка стола с учетом вида массового мероприятия.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2.5.4. Подача аперитива и закусок на торжественных, официальных приемах и других массовых мероприятиях.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2.5.5. Подача блюд на торжественных, официальных приемах и других массовых мероприятиях.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2.5.6. Подача напитков на торжественных, официальных приемах и мероприятиях.</w:t>
      </w:r>
      <w:r>
        <w:rPr>
          <w:iCs/>
          <w:color w:val="000000" w:themeColor="text1"/>
        </w:rPr>
      </w:r>
    </w:p>
    <w:p>
      <w:pPr>
        <w:pStyle w:val="71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2.5.7. Замена и сбор использованной посуды и приборов на торжественных, официальных приемах и других массовых мероприятиях.</w:t>
      </w:r>
      <w:r>
        <w:rPr>
          <w:iCs/>
          <w:color w:val="000000" w:themeColor="text1"/>
        </w:rPr>
      </w:r>
    </w:p>
    <w:p>
      <w:pPr>
        <w:pStyle w:val="710"/>
        <w:jc w:val="center"/>
        <w:spacing w:before="0" w:beforeAutospacing="0" w:after="0" w:afterAutospacing="0"/>
        <w:rPr>
          <w:b/>
          <w:color w:val="000000" w:themeColor="text1"/>
        </w:rPr>
      </w:pPr>
      <w:r>
        <w:rPr>
          <w:b/>
          <w:color w:val="000000" w:themeColor="text1"/>
        </w:rPr>
        <w:t xml:space="preserve">3. ПРАВА</w:t>
      </w:r>
      <w:r>
        <w:rPr>
          <w:b/>
          <w:color w:val="000000" w:themeColor="text1"/>
        </w:rPr>
      </w:r>
    </w:p>
    <w:p>
      <w:pPr>
        <w:contextualSpacing/>
        <w:ind w:firstLine="708"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Официант вправе: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3.1.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Знакомиться с проектными решениями руководства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, касающимися его деятельности.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3.2.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Вносить предложения по совершенствованию работы, связанной с предусмотренными настоящей инструкцией обязанностями.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3.3.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В пределах своей компетенции сообщать непосредственному руководителю о недостатках, выявленных в процессе исполнения должностных обязанностей, и вносить предложения по их устранению.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3.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4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.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Запрашивать через непосредственного руководителя информацию и документы, необходимые для выполнения своих должностных обязанностей.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center"/>
        <w:spacing w:after="0" w:line="240" w:lineRule="auto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color w:val="000000" w:themeColor="text1"/>
          <w:sz w:val="24"/>
          <w:szCs w:val="24"/>
          <w:lang w:eastAsia="ru-RU"/>
        </w:rPr>
        <w:t xml:space="preserve">4. ОТВЕТСТВЕННОСТЬ</w:t>
      </w:r>
      <w:r>
        <w:rPr>
          <w:rFonts w:ascii="Times New Roman" w:hAnsi="Times New Roman" w:cs="Times New Roman"/>
          <w:b/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Официант несет ответственность: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4.1.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4.2. 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За причинение материального ущерба в пределах, определенных действующим трудовым и гражданским законодательством Российской Федерации.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4.3. 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За соблюдение Федеральный закон от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22.11.1995 года № 171-ФЗ «О государственном регулировании производства и оборота этилового спирта, алкогольной и спиртосодержащей продукции и об ограничении потребления (распития) алкогольной продукции» и Федеральный закон от 23.02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.2013 № 15-ФЗ «Об охране здоровья граждан от воздействия окружающего табачного дыма и последствий потребления табака». За нарушение правил продажи алкогольной и табачной продукции установлена административная ответственность (статья 14.15 и 14.16 КоАП РФ).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jc w:val="both"/>
        <w:spacing w:after="0"/>
        <w:shd w:val="clear" w:color="auto" w:fill="ffffff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Административный штраф за розничную продажу алкогольной продукции несовершеннолетнему составляет: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numPr>
          <w:ilvl w:val="0"/>
          <w:numId w:val="1"/>
        </w:numPr>
        <w:ind w:hanging="284"/>
        <w:jc w:val="both"/>
        <w:spacing w:after="0" w:line="240" w:lineRule="auto"/>
        <w:shd w:val="clear" w:color="auto" w:fill="ffffff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на граждан от 30 тысяч до 50 тысяч рублей;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numPr>
          <w:ilvl w:val="0"/>
          <w:numId w:val="1"/>
        </w:numPr>
        <w:ind w:hanging="284"/>
        <w:jc w:val="both"/>
        <w:spacing w:after="0" w:line="240" w:lineRule="auto"/>
        <w:shd w:val="clear" w:color="auto" w:fill="ffffff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на должностных лиц от 100 тысяч до 200 тысяч рублей;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numPr>
          <w:ilvl w:val="0"/>
          <w:numId w:val="1"/>
        </w:numPr>
        <w:ind w:hanging="284"/>
        <w:jc w:val="both"/>
        <w:spacing w:after="0" w:line="240" w:lineRule="auto"/>
        <w:shd w:val="clear" w:color="auto" w:fill="ffffff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на юридических лиц от 300 тысяч до 500 тысяч рублей (ст.14.16 Кодекса РФ об административных правонарушениях).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jc w:val="both"/>
        <w:spacing w:after="0"/>
        <w:shd w:val="clear" w:color="auto" w:fill="ffffff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За неоднократную розничную продажу алкогольной продукции несовершеннолетним наступает уголовная ответственность в виде штрафа в размере до 80 тысяч руб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лей или в размере заработной платы или иного дохода осужденного за период до 6 месяцев либо исправительных работ на срок до 1 года с лишением права занимать определенные должности или заниматься определенной деятельностью на срок до 3 лет или без такового </w:t>
      </w:r>
      <w:r>
        <w:rPr>
          <w:rFonts w:ascii="Times New Roman" w:hAnsi="Times New Roman" w:eastAsia="Times New Roman" w:cs="Times New Roman"/>
          <w:iCs/>
          <w:color w:val="000000" w:themeColor="text1"/>
          <w:sz w:val="24"/>
          <w:szCs w:val="24"/>
        </w:rPr>
        <w:t xml:space="preserve">(ст.151.1 Уголовного кодекса РФ).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center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4"/>
          <w:szCs w:val="24"/>
        </w:rPr>
        <w:t xml:space="preserve">5. ПОРЯДОК ПЕРЕСМОТРА ДОЛЖНОСТНОЙ ИНСТРУКЦИИ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5.1. Должностная инструкция пересматривается, изменяется и дополняется по мере необходимости, но не реже одного раза в пять лет.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jc w:val="both"/>
        <w:spacing w:after="0" w:line="240" w:lineRule="auto"/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>
      <w:pPr>
        <w:contextualSpacing/>
        <w:ind w:firstLine="708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Должностная инструкция разработана в соответствии с приказом </w:t>
      </w:r>
      <w:r>
        <w:rPr>
          <w:rFonts w:ascii="Times New Roman" w:hAnsi="Times New Roman" w:eastAsia="Calibri" w:cs="Times New Roman"/>
          <w:color w:val="000000" w:themeColor="text1"/>
          <w:sz w:val="24"/>
          <w:szCs w:val="24"/>
        </w:rPr>
        <w:t xml:space="preserve">&lt;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sz w:val="24"/>
          <w:szCs w:val="24"/>
        </w:rPr>
        <w:t xml:space="preserve">&gt;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от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«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__» ______________ 20__ г. № ___________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p>
      <w:pPr>
        <w:contextualSpacing/>
        <w:spacing w:after="0"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tbl>
      <w:tblPr>
        <w:tblStyle w:val="712"/>
        <w:tblW w:w="0" w:type="auto"/>
        <w:tblLook w:val="04A0" w:firstRow="1" w:lastRow="0" w:firstColumn="1" w:lastColumn="0" w:noHBand="0" w:noVBand="1"/>
      </w:tblPr>
      <w:tblGrid>
        <w:gridCol w:w="3495"/>
        <w:gridCol w:w="1008"/>
        <w:gridCol w:w="5071"/>
      </w:tblGrid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С должностной инструкцией ознакомлен (а) и согласен (а):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&lt;Фамилия&gt;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&lt;Инициалы имени, отчества&gt;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(подпись)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(расшифровка подписи)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«_____»_____________20____г.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Экземпляр должностной инструкции получил (а), обязуюсь хранить на рабочем месте: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&lt;Фамилия&gt;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&lt;Инициалы имени, отчества&gt;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(подпись)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(расшифровка подписи)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«_____»_____________20____г.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none" w:color="000000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  <w:u w:val="single"/>
              </w:rPr>
              <w:t xml:space="preserve">Примечание: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4"/>
                <w:szCs w:val="24"/>
              </w:rPr>
              <w:t xml:space="preserve"> Должностная инструкция составляется в 2-х экз.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</w:tbl>
    <w:p>
      <w:pPr>
        <w:contextualSpacing/>
        <w:spacing w:after="0" w:line="240" w:lineRule="auto"/>
        <w:tabs>
          <w:tab w:val="left" w:pos="7120" w:leader="none"/>
        </w:tabs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</w:r>
    </w:p>
    <w:sectPr>
      <w:footerReference w:type="default" r:id="rId9"/>
      <w:footerReference w:type="first" r:id="rId10"/>
      <w:footnotePr/>
      <w:endnotePr/>
      <w:type w:val="nextPage"/>
      <w:pgSz w:w="11906" w:h="16838" w:orient="portrait"/>
      <w:pgMar w:top="1134" w:right="851" w:bottom="851" w:left="1134" w:header="709" w:footer="709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">
    <w:panose1 w:val="02020603050405020304"/>
  </w:font>
  <w:font w:name="Wingdings">
    <w:panose1 w:val="05010000000000000000"/>
  </w:font>
  <w:font w:name="Liberation Sans">
    <w:panose1 w:val="020B06040202020202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85068001"/>
      <w:docPartObj>
        <w:docPartGallery w:val="Page Numbers (Bottom of Page)"/>
        <w:docPartUnique w:val="true"/>
      </w:docPartObj>
      <w:rPr>
        <w:sz w:val="24"/>
      </w:rPr>
    </w:sdtPr>
    <w:sdtContent>
      <w:p>
        <w:pPr>
          <w:pStyle w:val="707"/>
          <w:jc w:val="center"/>
          <w:rPr>
            <w:sz w:val="24"/>
          </w:rPr>
        </w:pPr>
        <w:r>
          <w:rPr>
            <w:sz w:val="24"/>
          </w:rPr>
          <w:fldChar w:fldCharType="begin"/>
        </w:r>
        <w:r>
          <w:rPr>
            <w:sz w:val="24"/>
          </w:rPr>
          <w:instrText xml:space="preserve"> PAGE   \* MERGEFORMAT </w:instrText>
        </w:r>
        <w:r>
          <w:rPr>
            <w:sz w:val="24"/>
          </w:rPr>
          <w:fldChar w:fldCharType="separate"/>
        </w:r>
        <w:r>
          <w:rPr>
            <w:sz w:val="24"/>
          </w:rPr>
          <w:t xml:space="preserve">2</w:t>
        </w:r>
        <w:r>
          <w:rPr>
            <w:sz w:val="24"/>
          </w:rPr>
          <w:fldChar w:fldCharType="end"/>
        </w:r>
        <w:r>
          <w:rPr>
            <w:sz w:val="24"/>
          </w:rPr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667522110"/>
      <w:docPartObj>
        <w:docPartGallery w:val="Page Numbers (Bottom of Page)"/>
        <w:docPartUnique w:val="true"/>
      </w:docPartObj>
      <w:rPr>
        <w:sz w:val="24"/>
      </w:rPr>
    </w:sdtPr>
    <w:sdtContent>
      <w:p>
        <w:pPr>
          <w:pStyle w:val="707"/>
          <w:jc w:val="center"/>
          <w:rPr>
            <w:sz w:val="24"/>
          </w:rPr>
        </w:pPr>
        <w:r>
          <w:rPr>
            <w:sz w:val="24"/>
          </w:rPr>
          <w:fldChar w:fldCharType="begin"/>
        </w:r>
        <w:r>
          <w:rPr>
            <w:sz w:val="24"/>
          </w:rPr>
          <w:instrText xml:space="preserve"> PAGE   \* MERGEFORMAT </w:instrText>
        </w:r>
        <w:r>
          <w:rPr>
            <w:sz w:val="24"/>
          </w:rPr>
          <w:fldChar w:fldCharType="separate"/>
        </w:r>
        <w:r>
          <w:rPr>
            <w:sz w:val="24"/>
          </w:rPr>
          <w:t xml:space="preserve">2</w:t>
        </w:r>
        <w:r>
          <w:rPr>
            <w:sz w:val="24"/>
          </w:rPr>
          <w:fldChar w:fldCharType="end"/>
        </w:r>
        <w:r>
          <w:rPr>
            <w:sz w:val="24"/>
          </w:rPr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"/>
      <w:lvlJc w:val="left"/>
      <w:pPr>
        <w:ind w:left="720" w:hanging="360"/>
        <w:tabs>
          <w:tab w:val="num" w:pos="720" w:leader="none"/>
        </w:tabs>
      </w:pPr>
      <w:rPr>
        <w:rFonts w:hint="default" w:ascii="Wingdings" w:hAnsi="Wingdings"/>
        <w:sz w:val="20"/>
      </w:rPr>
    </w:lvl>
    <w:lvl w:ilvl="1">
      <w:start w:val="1"/>
      <w:numFmt w:val="bullet"/>
      <w:isLgl w:val="false"/>
      <w:suff w:val="tab"/>
      <w:lvlText w:val=""/>
      <w:lvlJc w:val="left"/>
      <w:pPr>
        <w:ind w:left="1440" w:hanging="360"/>
        <w:tabs>
          <w:tab w:val="num" w:pos="1440" w:leader="none"/>
        </w:tabs>
      </w:pPr>
      <w:rPr>
        <w:rFonts w:hint="default" w:ascii="Wingdings" w:hAnsi="Wingdings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200" w:afterAutospacing="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">
    <w:name w:val="Heading 1 Char"/>
    <w:basedOn w:val="698"/>
    <w:link w:val="697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16">
    <w:name w:val="Heading 2"/>
    <w:basedOn w:val="696"/>
    <w:next w:val="696"/>
    <w:link w:val="1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17">
    <w:name w:val="Heading 2 Char"/>
    <w:basedOn w:val="698"/>
    <w:link w:val="16"/>
    <w:uiPriority w:val="9"/>
    <w:rPr>
      <w:rFonts w:ascii="Liberation Sans" w:hAnsi="Liberation Sans" w:eastAsia="Liberation Sans" w:cs="Liberation Sans"/>
      <w:sz w:val="34"/>
    </w:rPr>
  </w:style>
  <w:style w:type="paragraph" w:styleId="18">
    <w:name w:val="Heading 3"/>
    <w:basedOn w:val="696"/>
    <w:next w:val="696"/>
    <w:link w:val="1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19">
    <w:name w:val="Heading 3 Char"/>
    <w:basedOn w:val="698"/>
    <w:link w:val="18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20">
    <w:name w:val="Heading 4"/>
    <w:basedOn w:val="696"/>
    <w:next w:val="696"/>
    <w:link w:val="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1">
    <w:name w:val="Heading 4 Char"/>
    <w:basedOn w:val="698"/>
    <w:link w:val="2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22">
    <w:name w:val="Heading 5"/>
    <w:basedOn w:val="696"/>
    <w:next w:val="696"/>
    <w:link w:val="2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3">
    <w:name w:val="Heading 5 Char"/>
    <w:basedOn w:val="698"/>
    <w:link w:val="22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24">
    <w:name w:val="Heading 6"/>
    <w:basedOn w:val="696"/>
    <w:next w:val="696"/>
    <w:link w:val="2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5">
    <w:name w:val="Heading 6 Char"/>
    <w:basedOn w:val="698"/>
    <w:link w:val="24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26">
    <w:name w:val="Heading 7"/>
    <w:basedOn w:val="696"/>
    <w:next w:val="696"/>
    <w:link w:val="2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27">
    <w:name w:val="Heading 7 Char"/>
    <w:basedOn w:val="698"/>
    <w:link w:val="2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28">
    <w:name w:val="Heading 8"/>
    <w:basedOn w:val="696"/>
    <w:next w:val="696"/>
    <w:link w:val="2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29">
    <w:name w:val="Heading 8 Char"/>
    <w:basedOn w:val="698"/>
    <w:link w:val="28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30">
    <w:name w:val="Heading 9"/>
    <w:basedOn w:val="696"/>
    <w:next w:val="696"/>
    <w:link w:val="3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1">
    <w:name w:val="Heading 9 Char"/>
    <w:basedOn w:val="698"/>
    <w:link w:val="3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34">
    <w:name w:val="No Spacing"/>
    <w:uiPriority w:val="1"/>
    <w:qFormat/>
    <w:pPr>
      <w:spacing w:before="0" w:after="0" w:line="240" w:lineRule="auto"/>
    </w:pPr>
  </w:style>
  <w:style w:type="paragraph" w:styleId="35">
    <w:name w:val="Title"/>
    <w:basedOn w:val="696"/>
    <w:next w:val="696"/>
    <w:link w:val="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6">
    <w:name w:val="Title Char"/>
    <w:basedOn w:val="698"/>
    <w:link w:val="35"/>
    <w:uiPriority w:val="10"/>
    <w:rPr>
      <w:sz w:val="48"/>
      <w:szCs w:val="48"/>
    </w:rPr>
  </w:style>
  <w:style w:type="paragraph" w:styleId="37">
    <w:name w:val="Subtitle"/>
    <w:basedOn w:val="696"/>
    <w:next w:val="696"/>
    <w:link w:val="38"/>
    <w:uiPriority w:val="11"/>
    <w:qFormat/>
    <w:pPr>
      <w:spacing w:before="200" w:after="200"/>
    </w:pPr>
    <w:rPr>
      <w:sz w:val="24"/>
      <w:szCs w:val="24"/>
    </w:rPr>
  </w:style>
  <w:style w:type="character" w:styleId="38">
    <w:name w:val="Subtitle Char"/>
    <w:basedOn w:val="698"/>
    <w:link w:val="37"/>
    <w:uiPriority w:val="11"/>
    <w:rPr>
      <w:sz w:val="24"/>
      <w:szCs w:val="24"/>
    </w:rPr>
  </w:style>
  <w:style w:type="paragraph" w:styleId="39">
    <w:name w:val="Quote"/>
    <w:basedOn w:val="696"/>
    <w:next w:val="696"/>
    <w:link w:val="40"/>
    <w:uiPriority w:val="29"/>
    <w:qFormat/>
    <w:pPr>
      <w:ind w:left="720" w:right="720"/>
    </w:pPr>
    <w:rPr>
      <w:i/>
    </w:rPr>
  </w:style>
  <w:style w:type="character" w:styleId="40">
    <w:name w:val="Quote Char"/>
    <w:link w:val="39"/>
    <w:uiPriority w:val="29"/>
    <w:rPr>
      <w:i/>
    </w:rPr>
  </w:style>
  <w:style w:type="paragraph" w:styleId="41">
    <w:name w:val="Intense Quote"/>
    <w:basedOn w:val="696"/>
    <w:next w:val="696"/>
    <w:link w:val="4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2">
    <w:name w:val="Intense Quote Char"/>
    <w:link w:val="41"/>
    <w:uiPriority w:val="30"/>
    <w:rPr>
      <w:i/>
    </w:rPr>
  </w:style>
  <w:style w:type="character" w:styleId="44">
    <w:name w:val="Header Char"/>
    <w:basedOn w:val="698"/>
    <w:link w:val="705"/>
    <w:uiPriority w:val="99"/>
  </w:style>
  <w:style w:type="character" w:styleId="46">
    <w:name w:val="Footer Char"/>
    <w:basedOn w:val="698"/>
    <w:link w:val="707"/>
    <w:uiPriority w:val="99"/>
  </w:style>
  <w:style w:type="paragraph" w:styleId="47">
    <w:name w:val="Caption"/>
    <w:basedOn w:val="696"/>
    <w:next w:val="696"/>
    <w:link w:val="4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8">
    <w:name w:val="Caption Char"/>
    <w:basedOn w:val="698"/>
    <w:link w:val="47"/>
    <w:uiPriority w:val="35"/>
    <w:rPr>
      <w:b/>
      <w:bCs/>
      <w:color w:val="4f81bd" w:themeColor="accent1"/>
      <w:sz w:val="18"/>
      <w:szCs w:val="18"/>
    </w:rPr>
  </w:style>
  <w:style w:type="table" w:styleId="50">
    <w:name w:val="Table Grid Light"/>
    <w:basedOn w:val="69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69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2">
    <w:name w:val="Plain Table 2"/>
    <w:basedOn w:val="699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3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4">
    <w:name w:val="Plain Table 4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Plain Table 5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6">
    <w:name w:val="Grid Table 1 Light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1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2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3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4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5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1 Light - Accent 6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3">
    <w:name w:val="Grid Table 2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1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2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3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4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5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2 - Accent 6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1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2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3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4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5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3 - Accent 6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">
    <w:name w:val="Grid Table 4"/>
    <w:basedOn w:val="69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69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9">
    <w:name w:val="Grid Table 4 - Accent 2"/>
    <w:basedOn w:val="69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0">
    <w:name w:val="Grid Table 4 - Accent 3"/>
    <w:basedOn w:val="69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1">
    <w:name w:val="Grid Table 4 - Accent 4"/>
    <w:basedOn w:val="69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2">
    <w:name w:val="Grid Table 4 - Accent 5"/>
    <w:basedOn w:val="69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69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5">
    <w:name w:val="Grid Table 5 Dark- Accent 1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2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3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88">
    <w:name w:val="Grid Table 5 Dark- Accent 4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5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90">
    <w:name w:val="Grid Table 5 Dark - Accent 6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91">
    <w:name w:val="Grid Table 6 Colorful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2">
    <w:name w:val="Grid Table 6 Colorful - Accent 1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93">
    <w:name w:val="Grid Table 6 Colorful - Accent 2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94">
    <w:name w:val="Grid Table 6 Colorful - Accent 3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95">
    <w:name w:val="Grid Table 6 Colorful - Accent 4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96">
    <w:name w:val="Grid Table 6 Colorful - Accent 5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7">
    <w:name w:val="Grid Table 6 Colorful - Accent 6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8">
    <w:name w:val="Grid Table 7 Colorful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1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3e70a3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e70a3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e70a3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2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3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5c702f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5c702f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Liberation Sans" w:hAnsi="Liberation Sans"/>
        <w:i/>
        <w:color w:val="5c702f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4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5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7" w:themeColor="accent5" w:themeShade="95"/>
        <w:sz w:val="22"/>
      </w:rPr>
    </w:tblStylePr>
    <w:tblStylePr w:type="firstCol">
      <w:rPr>
        <w:rFonts w:ascii="Liberation Sans" w:hAnsi="Liberation Sans"/>
        <w:i/>
        <w:color w:val="266777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66777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4">
    <w:name w:val="Grid Table 7 Colorful - Accent 6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05307" w:themeColor="accent6" w:themeShade="95"/>
        <w:sz w:val="22"/>
      </w:rPr>
    </w:tblStylePr>
    <w:tblStylePr w:type="firstCol">
      <w:rPr>
        <w:rFonts w:ascii="Liberation Sans" w:hAnsi="Liberation Sans"/>
        <w:i/>
        <w:color w:val="b05307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b05307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5">
    <w:name w:val="List Table 1 Light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9">
    <w:name w:val="List Table 3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1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2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3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4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5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3 - Accent 6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1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2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3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4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5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4 - Accent 6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3">
    <w:name w:val="List Table 5 Dark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4">
    <w:name w:val="List Table 5 Dark - Accent 1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5">
    <w:name w:val="List Table 5 Dark - Accent 2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6">
    <w:name w:val="List Table 5 Dark - Accent 3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7">
    <w:name w:val="List Table 5 Dark - Accent 4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8">
    <w:name w:val="List Table 5 Dark - Accent 5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9">
    <w:name w:val="List Table 5 Dark - Accent 6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0">
    <w:name w:val="List Table 6 Colorful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1">
    <w:name w:val="List Table 6 Colorful - Accent 1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3">
    <w:name w:val="List Table 6 Colorful - Accent 3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4">
    <w:name w:val="List Table 6 Colorful - Accent 4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">
    <w:name w:val="List Table 6 Colorful - Accent 5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6">
    <w:name w:val="List Table 6 Colorful - Accent 6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7">
    <w:name w:val="List Table 7 Colorful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48">
    <w:name w:val="List Table 7 Colorful - Accent 1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2a4b71" w:themeColor="accent1" w:themeShade="95"/>
        <w:sz w:val="22"/>
      </w:rPr>
    </w:tblStylePr>
    <w:tblStylePr w:type="firstCol">
      <w:rPr>
        <w:rFonts w:ascii="Liberation Sans" w:hAnsi="Liberation Sans"/>
        <w:i/>
        <w:color w:val="2a4b71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a4b71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a4b71" w:themeColor="accent1" w:themeShade="95"/>
        <w:sz w:val="22"/>
      </w:rPr>
    </w:tblStylePr>
  </w:style>
  <w:style w:type="table" w:styleId="149">
    <w:name w:val="List Table 7 Colorful - Accent 2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9c3a37" w:themeColor="accent2" w:themeTint="97" w:themeShade="95"/>
        <w:sz w:val="22"/>
      </w:rPr>
    </w:tblStylePr>
  </w:style>
  <w:style w:type="table" w:styleId="150">
    <w:name w:val="List Table 7 Colorful - Accent 3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7c983f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c983f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7c983f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7c983f" w:themeColor="accent3" w:themeTint="98" w:themeShade="95"/>
        <w:sz w:val="22"/>
      </w:rPr>
    </w:tblStylePr>
  </w:style>
  <w:style w:type="table" w:styleId="151">
    <w:name w:val="List Table 7 Colorful - Accent 4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664f82" w:themeColor="accent4" w:themeTint="9A" w:themeShade="95"/>
        <w:sz w:val="22"/>
      </w:rPr>
    </w:tblStylePr>
  </w:style>
  <w:style w:type="table" w:styleId="152">
    <w:name w:val="List Table 7 Colorful - Accent 5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338aa0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8aa0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38aa0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338aa0" w:themeColor="accent5" w:themeTint="9A" w:themeShade="95"/>
        <w:sz w:val="22"/>
      </w:rPr>
    </w:tblStylePr>
  </w:style>
  <w:style w:type="table" w:styleId="153">
    <w:name w:val="List Table 7 Colorful - Accent 6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d9680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d9680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d9680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d9680c" w:themeColor="accent6" w:themeTint="98" w:themeShade="95"/>
        <w:sz w:val="22"/>
      </w:rPr>
    </w:tblStylePr>
  </w:style>
  <w:style w:type="table" w:styleId="154">
    <w:name w:val="Lined - Accent"/>
    <w:basedOn w:val="6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">
    <w:name w:val="Lined - Accent 1"/>
    <w:basedOn w:val="6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56">
    <w:name w:val="Lined - Accent 2"/>
    <w:basedOn w:val="6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57">
    <w:name w:val="Lined - Accent 3"/>
    <w:basedOn w:val="6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58">
    <w:name w:val="Lined - Accent 4"/>
    <w:basedOn w:val="6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59">
    <w:name w:val="Lined - Accent 5"/>
    <w:basedOn w:val="6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0">
    <w:name w:val="Lined - Accent 6"/>
    <w:basedOn w:val="6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1">
    <w:name w:val="Bordered &amp; Lined - Accent"/>
    <w:basedOn w:val="6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2">
    <w:name w:val="Bordered &amp; Lined - Accent 1"/>
    <w:basedOn w:val="6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63">
    <w:name w:val="Bordered &amp; Lined - Accent 2"/>
    <w:basedOn w:val="6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64">
    <w:name w:val="Bordered &amp; Lined - Accent 3"/>
    <w:basedOn w:val="6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65">
    <w:name w:val="Bordered &amp; Lined - Accent 4"/>
    <w:basedOn w:val="6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66">
    <w:name w:val="Bordered &amp; Lined - Accent 5"/>
    <w:basedOn w:val="6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7">
    <w:name w:val="Bordered &amp; Lined - Accent 6"/>
    <w:basedOn w:val="6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8">
    <w:name w:val="Bordered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9">
    <w:name w:val="Bordered - Accent 1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1">
    <w:name w:val="Bordered - Accent 3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2">
    <w:name w:val="Bordered - Accent 4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3">
    <w:name w:val="Bordered - Accent 5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4">
    <w:name w:val="Bordered - Accent 6"/>
    <w:basedOn w:val="6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76">
    <w:name w:val="footnote text"/>
    <w:basedOn w:val="696"/>
    <w:link w:val="177"/>
    <w:uiPriority w:val="99"/>
    <w:semiHidden/>
    <w:unhideWhenUsed/>
    <w:pPr>
      <w:spacing w:after="40" w:line="240" w:lineRule="auto"/>
    </w:pPr>
    <w:rPr>
      <w:sz w:val="18"/>
    </w:rPr>
  </w:style>
  <w:style w:type="character" w:styleId="177">
    <w:name w:val="Footnote Text Char"/>
    <w:link w:val="176"/>
    <w:uiPriority w:val="99"/>
    <w:rPr>
      <w:sz w:val="18"/>
    </w:rPr>
  </w:style>
  <w:style w:type="character" w:styleId="178">
    <w:name w:val="footnote reference"/>
    <w:basedOn w:val="698"/>
    <w:uiPriority w:val="99"/>
    <w:unhideWhenUsed/>
    <w:rPr>
      <w:vertAlign w:val="superscript"/>
    </w:rPr>
  </w:style>
  <w:style w:type="paragraph" w:styleId="179">
    <w:name w:val="endnote text"/>
    <w:basedOn w:val="696"/>
    <w:link w:val="180"/>
    <w:uiPriority w:val="99"/>
    <w:semiHidden/>
    <w:unhideWhenUsed/>
    <w:pPr>
      <w:spacing w:after="0" w:line="240" w:lineRule="auto"/>
    </w:pPr>
    <w:rPr>
      <w:sz w:val="20"/>
    </w:rPr>
  </w:style>
  <w:style w:type="character" w:styleId="180">
    <w:name w:val="Endnote Text Char"/>
    <w:link w:val="179"/>
    <w:uiPriority w:val="99"/>
    <w:rPr>
      <w:sz w:val="20"/>
    </w:rPr>
  </w:style>
  <w:style w:type="character" w:styleId="181">
    <w:name w:val="endnote reference"/>
    <w:basedOn w:val="698"/>
    <w:uiPriority w:val="99"/>
    <w:semiHidden/>
    <w:unhideWhenUsed/>
    <w:rPr>
      <w:vertAlign w:val="superscript"/>
    </w:rPr>
  </w:style>
  <w:style w:type="paragraph" w:styleId="182">
    <w:name w:val="toc 1"/>
    <w:basedOn w:val="696"/>
    <w:next w:val="696"/>
    <w:uiPriority w:val="39"/>
    <w:unhideWhenUsed/>
    <w:pPr>
      <w:ind w:left="0" w:right="0" w:firstLine="0"/>
      <w:spacing w:after="57"/>
    </w:pPr>
  </w:style>
  <w:style w:type="paragraph" w:styleId="183">
    <w:name w:val="toc 2"/>
    <w:basedOn w:val="696"/>
    <w:next w:val="696"/>
    <w:uiPriority w:val="39"/>
    <w:unhideWhenUsed/>
    <w:pPr>
      <w:ind w:left="283" w:right="0" w:firstLine="0"/>
      <w:spacing w:after="57"/>
    </w:pPr>
  </w:style>
  <w:style w:type="paragraph" w:styleId="184">
    <w:name w:val="toc 3"/>
    <w:basedOn w:val="696"/>
    <w:next w:val="696"/>
    <w:uiPriority w:val="39"/>
    <w:unhideWhenUsed/>
    <w:pPr>
      <w:ind w:left="567" w:right="0" w:firstLine="0"/>
      <w:spacing w:after="57"/>
    </w:pPr>
  </w:style>
  <w:style w:type="paragraph" w:styleId="185">
    <w:name w:val="toc 4"/>
    <w:basedOn w:val="696"/>
    <w:next w:val="696"/>
    <w:uiPriority w:val="39"/>
    <w:unhideWhenUsed/>
    <w:pPr>
      <w:ind w:left="850" w:right="0" w:firstLine="0"/>
      <w:spacing w:after="57"/>
    </w:pPr>
  </w:style>
  <w:style w:type="paragraph" w:styleId="186">
    <w:name w:val="toc 5"/>
    <w:basedOn w:val="696"/>
    <w:next w:val="696"/>
    <w:uiPriority w:val="39"/>
    <w:unhideWhenUsed/>
    <w:pPr>
      <w:ind w:left="1134" w:right="0" w:firstLine="0"/>
      <w:spacing w:after="57"/>
    </w:pPr>
  </w:style>
  <w:style w:type="paragraph" w:styleId="187">
    <w:name w:val="toc 6"/>
    <w:basedOn w:val="696"/>
    <w:next w:val="696"/>
    <w:uiPriority w:val="39"/>
    <w:unhideWhenUsed/>
    <w:pPr>
      <w:ind w:left="1417" w:right="0" w:firstLine="0"/>
      <w:spacing w:after="57"/>
    </w:pPr>
  </w:style>
  <w:style w:type="paragraph" w:styleId="188">
    <w:name w:val="toc 7"/>
    <w:basedOn w:val="696"/>
    <w:next w:val="696"/>
    <w:uiPriority w:val="39"/>
    <w:unhideWhenUsed/>
    <w:pPr>
      <w:ind w:left="1701" w:right="0" w:firstLine="0"/>
      <w:spacing w:after="57"/>
    </w:pPr>
  </w:style>
  <w:style w:type="paragraph" w:styleId="189">
    <w:name w:val="toc 8"/>
    <w:basedOn w:val="696"/>
    <w:next w:val="696"/>
    <w:uiPriority w:val="39"/>
    <w:unhideWhenUsed/>
    <w:pPr>
      <w:ind w:left="1984" w:right="0" w:firstLine="0"/>
      <w:spacing w:after="57"/>
    </w:pPr>
  </w:style>
  <w:style w:type="paragraph" w:styleId="190">
    <w:name w:val="toc 9"/>
    <w:basedOn w:val="696"/>
    <w:next w:val="696"/>
    <w:uiPriority w:val="39"/>
    <w:unhideWhenUsed/>
    <w:pPr>
      <w:ind w:left="2268" w:right="0" w:firstLine="0"/>
      <w:spacing w:after="57"/>
    </w:pPr>
  </w:style>
  <w:style w:type="paragraph" w:styleId="191">
    <w:name w:val="TOC Heading"/>
    <w:uiPriority w:val="39"/>
    <w:unhideWhenUsed/>
  </w:style>
  <w:style w:type="paragraph" w:styleId="192">
    <w:name w:val="table of figures"/>
    <w:basedOn w:val="696"/>
    <w:next w:val="696"/>
    <w:uiPriority w:val="99"/>
    <w:unhideWhenUsed/>
    <w:pPr>
      <w:spacing w:after="0" w:afterAutospacing="0"/>
    </w:pPr>
  </w:style>
  <w:style w:type="paragraph" w:styleId="696" w:default="1">
    <w:name w:val="Normal"/>
    <w:qFormat/>
  </w:style>
  <w:style w:type="paragraph" w:styleId="697">
    <w:name w:val="Heading 1"/>
    <w:basedOn w:val="696"/>
    <w:next w:val="696"/>
    <w:link w:val="701"/>
    <w:uiPriority w:val="9"/>
    <w:qFormat/>
    <w:pPr>
      <w:keepLines/>
      <w:keepNext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698" w:default="1">
    <w:name w:val="Default Paragraph Font"/>
    <w:uiPriority w:val="1"/>
    <w:semiHidden/>
    <w:unhideWhenUsed/>
  </w:style>
  <w:style w:type="table" w:styleId="699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700" w:default="1">
    <w:name w:val="No List"/>
    <w:uiPriority w:val="99"/>
    <w:semiHidden/>
    <w:unhideWhenUsed/>
  </w:style>
  <w:style w:type="character" w:styleId="701" w:customStyle="1">
    <w:name w:val="Заголовок 1 Знак"/>
    <w:basedOn w:val="698"/>
    <w:link w:val="697"/>
    <w:uiPriority w:val="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02">
    <w:name w:val="Body Text"/>
    <w:basedOn w:val="696"/>
    <w:link w:val="703"/>
    <w:unhideWhenUsed/>
    <w:pPr>
      <w:spacing w:after="120" w:line="240" w:lineRule="auto"/>
    </w:pPr>
    <w:rPr>
      <w:rFonts w:ascii="Times New Roman" w:hAnsi="Times New Roman" w:eastAsia="Times New Roman" w:cs="Times New Roman"/>
      <w:sz w:val="24"/>
      <w:szCs w:val="24"/>
      <w:lang w:eastAsia="zh-CN"/>
    </w:rPr>
  </w:style>
  <w:style w:type="character" w:styleId="703" w:customStyle="1">
    <w:name w:val="Основной текст Знак"/>
    <w:basedOn w:val="698"/>
    <w:link w:val="702"/>
    <w:rPr>
      <w:rFonts w:ascii="Times New Roman" w:hAnsi="Times New Roman" w:eastAsia="Times New Roman" w:cs="Times New Roman"/>
      <w:sz w:val="24"/>
      <w:szCs w:val="24"/>
      <w:lang w:eastAsia="zh-CN"/>
    </w:rPr>
  </w:style>
  <w:style w:type="paragraph" w:styleId="704">
    <w:name w:val="List Paragraph"/>
    <w:basedOn w:val="696"/>
    <w:uiPriority w:val="34"/>
    <w:qFormat/>
    <w:pPr>
      <w:contextualSpacing/>
      <w:ind w:left="720"/>
    </w:pPr>
  </w:style>
  <w:style w:type="paragraph" w:styleId="705">
    <w:name w:val="Header"/>
    <w:basedOn w:val="696"/>
    <w:link w:val="706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706" w:customStyle="1">
    <w:name w:val="Верхний колонтитул Знак"/>
    <w:basedOn w:val="698"/>
    <w:link w:val="705"/>
    <w:uiPriority w:val="99"/>
  </w:style>
  <w:style w:type="paragraph" w:styleId="707">
    <w:name w:val="Footer"/>
    <w:basedOn w:val="696"/>
    <w:link w:val="708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708" w:customStyle="1">
    <w:name w:val="Нижний колонтитул Знак"/>
    <w:basedOn w:val="698"/>
    <w:link w:val="707"/>
    <w:uiPriority w:val="99"/>
  </w:style>
  <w:style w:type="character" w:styleId="709">
    <w:name w:val="Hyperlink"/>
    <w:basedOn w:val="698"/>
    <w:rPr>
      <w:color w:val="0066cc"/>
      <w:u w:val="single"/>
    </w:rPr>
  </w:style>
  <w:style w:type="paragraph" w:styleId="710">
    <w:name w:val="Normal (Web)"/>
    <w:basedOn w:val="696"/>
    <w:uiPriority w:val="99"/>
    <w:unhideWhenUsed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table" w:styleId="711" w:customStyle="1">
    <w:name w:val="Сетка таблицы1"/>
    <w:basedOn w:val="699"/>
    <w:next w:val="712"/>
    <w:uiPriority w:val="39"/>
    <w:pPr>
      <w:spacing w:after="0" w:line="240" w:lineRule="auto"/>
    </w:pPr>
    <w:rPr>
      <w:rFonts w:ascii="Calibri" w:hAnsi="Calibri" w:eastAsia="Calibri" w:cs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712">
    <w:name w:val="Table Grid"/>
    <w:basedOn w:val="699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hyperlink" Target="http://classinform.ru/profstandarty/07.003-spetcialist-po-upravleniiu-personalom.html" TargetMode="External"/><Relationship Id="rId12" Type="http://schemas.openxmlformats.org/officeDocument/2006/relationships/hyperlink" Target="http://classinform.ru/profstandarty/07.003-spetcialist-po-upravleniiu-personalom.html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r7-office/2025.4.1.1604</Application>
  <Company>Microsoft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Полоьзователь</dc:creator>
  <cp:keywords/>
  <dc:description/>
  <cp:lastModifiedBy>Купцов Никита</cp:lastModifiedBy>
  <cp:revision>73</cp:revision>
  <dcterms:created xsi:type="dcterms:W3CDTF">2014-04-10T08:39:00Z</dcterms:created>
  <dcterms:modified xsi:type="dcterms:W3CDTF">2026-07-09T11:40:07Z</dcterms:modified>
</cp:coreProperties>
</file>