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ДОЛЖНОСТНАЯ ИНСТРУКЦИЯ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сомелье</w:t>
      </w:r>
      <w:r>
        <w:rPr>
          <w:rFonts w:ascii="Times New Roman" w:hAnsi="Times New Roman" w:cs="Times New Roman"/>
          <w:b/>
          <w:bCs/>
        </w:rPr>
      </w:r>
    </w:p>
    <w:p>
      <w:pPr>
        <w:contextualSpacing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</w:r>
      <w:r>
        <w:rPr>
          <w:rFonts w:ascii="Times New Roman" w:hAnsi="Times New Roman" w:cs="Times New Roman"/>
          <w:bCs/>
        </w:rPr>
      </w:r>
    </w:p>
    <w:p>
      <w:pPr>
        <w:contextualSpacing/>
        <w:jc w:val="center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1. ОБЩИЕ ПОЛОЖЕНИЯ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1.1. Настоящая должностная инструкция определяет обязанности, права и ответственность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сомелье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Fonts w:ascii="Times New Roman" w:hAnsi="Times New Roman" w:eastAsia="Calibri" w:cs="Times New Roman"/>
          <w:color w:val="000000" w:themeColor="text1"/>
        </w:rPr>
        <w:t xml:space="preserve">&lt;Полное наименование&gt;</w:t>
      </w:r>
      <w:r>
        <w:rPr>
          <w:rFonts w:ascii="Times New Roman" w:hAnsi="Times New Roman" w:eastAsia="Calibri" w:cs="Times New Roman"/>
          <w:color w:val="000000" w:themeColor="text1"/>
        </w:rPr>
        <w:t xml:space="preserve"> (далее — Работодатель)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1.2. </w:t>
      </w:r>
      <w:r>
        <w:rPr>
          <w:rFonts w:ascii="Times New Roman" w:hAnsi="Times New Roman" w:cs="Times New Roman"/>
          <w:iCs/>
          <w:color w:val="000000" w:themeColor="text1"/>
        </w:rPr>
        <w:t xml:space="preserve">Настоящая должностная инструкция разработана на основе Профессионального стандарта 33.006 "</w:t>
      </w:r>
      <w:r>
        <w:rPr>
          <w:rFonts w:ascii="Times New Roman" w:hAnsi="Times New Roman" w:cs="Times New Roman"/>
          <w:color w:val="000000" w:themeColor="text1"/>
        </w:rPr>
        <w:t xml:space="preserve">Сомелье/</w:t>
      </w:r>
      <w:r>
        <w:rPr>
          <w:rFonts w:ascii="Times New Roman" w:hAnsi="Times New Roman" w:cs="Times New Roman"/>
          <w:color w:val="000000" w:themeColor="text1"/>
        </w:rPr>
        <w:t xml:space="preserve">кавист</w:t>
      </w:r>
      <w:r>
        <w:rPr>
          <w:rFonts w:ascii="Times New Roman" w:hAnsi="Times New Roman" w:cs="Times New Roman"/>
          <w:iCs/>
          <w:color w:val="000000" w:themeColor="text1"/>
        </w:rPr>
        <w:t xml:space="preserve">", утвержденного Приказом Минтруда России от 07.05.2015 N 283н</w:t>
      </w:r>
      <w:r>
        <w:rPr>
          <w:rFonts w:ascii="Times New Roman" w:hAnsi="Times New Roman" w:cs="Times New Roman"/>
          <w:color w:val="000000" w:themeColor="text1"/>
        </w:rPr>
        <w:t xml:space="preserve">.</w:t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1.3.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Сомелье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 назначается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на должность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и освобождается от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должности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 приказом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Fonts w:ascii="Times New Roman" w:hAnsi="Times New Roman" w:eastAsia="Calibri" w:cs="Times New Roman"/>
          <w:color w:val="000000" w:themeColor="text1"/>
        </w:rPr>
        <w:t xml:space="preserve">&lt;</w:t>
      </w:r>
      <w:r>
        <w:rPr>
          <w:rFonts w:ascii="Times New Roman" w:hAnsi="Times New Roman" w:cs="Times New Roman"/>
          <w:color w:val="000000" w:themeColor="text1"/>
        </w:rPr>
        <w:t xml:space="preserve">Должность руководителя</w:t>
      </w:r>
      <w:r>
        <w:rPr>
          <w:rFonts w:ascii="Times New Roman" w:hAnsi="Times New Roman" w:eastAsia="Calibri" w:cs="Times New Roman"/>
          <w:color w:val="000000" w:themeColor="text1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1.4.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На должность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сомелье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назначается лицо, имеющее </w:t>
      </w:r>
      <w:r>
        <w:rPr>
          <w:rFonts w:ascii="Times New Roman" w:hAnsi="Times New Roman" w:cs="Times New Roman"/>
          <w:iCs/>
          <w:color w:val="000000" w:themeColor="text1"/>
        </w:rPr>
        <w:t xml:space="preserve">среднее профессиональное образование - программы подготовки квалифицированных рабочих (служащих) и опытом работы не менее шести месяцев.</w:t>
      </w:r>
      <w:r>
        <w:rPr>
          <w:rFonts w:ascii="Times New Roman" w:hAnsi="Times New Roman" w:cs="Times New Roman"/>
          <w:i/>
          <w:iCs/>
          <w:color w:val="000000" w:themeColor="text1"/>
        </w:rPr>
      </w:r>
    </w:p>
    <w:p>
      <w:pPr>
        <w:pStyle w:val="777"/>
        <w:contextualSpacing/>
        <w:jc w:val="both"/>
        <w:spacing w:after="0"/>
        <w:rPr>
          <w:iCs/>
          <w:color w:val="000000" w:themeColor="text1"/>
        </w:rPr>
      </w:pPr>
      <w:r>
        <w:rPr>
          <w:color w:val="000000" w:themeColor="text1"/>
        </w:rPr>
        <w:t xml:space="preserve">1.5. </w:t>
      </w:r>
      <w:r>
        <w:rPr>
          <w:iCs/>
          <w:color w:val="000000" w:themeColor="text1"/>
        </w:rPr>
        <w:t xml:space="preserve">Особые условия допуска к работе:</w:t>
      </w:r>
      <w:r>
        <w:rPr>
          <w:iCs/>
          <w:color w:val="000000" w:themeColor="text1"/>
        </w:rPr>
      </w:r>
    </w:p>
    <w:p>
      <w:pPr>
        <w:pStyle w:val="789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наличие личной медицинской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порядке;</w:t>
      </w:r>
      <w:r>
        <w:rPr>
          <w:iCs/>
          <w:color w:val="000000" w:themeColor="text1"/>
        </w:rPr>
      </w:r>
    </w:p>
    <w:p>
      <w:pPr>
        <w:jc w:val="both"/>
        <w:widowControl/>
        <w:rPr>
          <w:rFonts w:ascii="Times New Roman" w:hAnsi="Times New Roman" w:eastAsia="Times New Roman" w:cs="Times New Roman"/>
          <w:iCs/>
          <w:color w:val="000000" w:themeColor="text1"/>
        </w:rPr>
      </w:pPr>
      <w:r>
        <w:rPr>
          <w:rFonts w:ascii="Times New Roman" w:hAnsi="Times New Roman" w:eastAsia="Times New Roman" w:cs="Times New Roman"/>
          <w:iCs/>
          <w:color w:val="000000" w:themeColor="text1"/>
        </w:rPr>
        <w:t xml:space="preserve">- возраст старше 18 лет.</w:t>
      </w:r>
      <w:r>
        <w:rPr>
          <w:rFonts w:ascii="Times New Roman" w:hAnsi="Times New Roman" w:eastAsia="Times New Roman" w:cs="Times New Roman"/>
          <w:iCs/>
          <w:color w:val="000000" w:themeColor="text1"/>
        </w:rPr>
      </w:r>
    </w:p>
    <w:p>
      <w:pPr>
        <w:pStyle w:val="789"/>
        <w:jc w:val="both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 xml:space="preserve">1.6. Сомелье в своей деятельности руководствуется:</w:t>
      </w:r>
      <w:r>
        <w:rPr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действующими нормативными правовыми актами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Работодателя</w:t>
      </w:r>
      <w:r>
        <w:rPr>
          <w:rFonts w:ascii="Times New Roman" w:hAnsi="Times New Roman" w:cs="Times New Roman"/>
          <w:color w:val="000000" w:themeColor="text1"/>
        </w:rPr>
        <w:t xml:space="preserve"> по вопросам выполняемой работы;</w:t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Style w:val="790"/>
          <w:rFonts w:ascii="Times New Roman" w:hAnsi="Times New Roman" w:cs="Times New Roman"/>
          <w:iCs/>
          <w:color w:val="000000" w:themeColor="text1"/>
        </w:rPr>
        <w:t xml:space="preserve">- уставом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Работодателя</w:t>
      </w:r>
      <w:r>
        <w:rPr>
          <w:rFonts w:ascii="Times New Roman" w:hAnsi="Times New Roman" w:cs="Times New Roman"/>
          <w:color w:val="000000" w:themeColor="text1"/>
        </w:rPr>
        <w:t xml:space="preserve">, локальными нормативными актами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Работодателя</w:t>
      </w:r>
      <w:r>
        <w:rPr>
          <w:rFonts w:ascii="Times New Roman" w:hAnsi="Times New Roman" w:cs="Times New Roman"/>
          <w:color w:val="000000" w:themeColor="text1"/>
        </w:rPr>
        <w:t xml:space="preserve">;</w:t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профессиональным стандартом </w:t>
      </w:r>
      <w:r>
        <w:rPr>
          <w:rFonts w:ascii="Times New Roman" w:hAnsi="Times New Roman" w:cs="Times New Roman"/>
          <w:iCs/>
          <w:color w:val="000000" w:themeColor="text1"/>
        </w:rPr>
        <w:t xml:space="preserve">33.006 "</w:t>
      </w:r>
      <w:r>
        <w:rPr>
          <w:rFonts w:ascii="Times New Roman" w:hAnsi="Times New Roman" w:cs="Times New Roman"/>
          <w:color w:val="000000" w:themeColor="text1"/>
        </w:rPr>
        <w:t xml:space="preserve">Сомелье/</w:t>
      </w:r>
      <w:r>
        <w:rPr>
          <w:rFonts w:ascii="Times New Roman" w:hAnsi="Times New Roman" w:cs="Times New Roman"/>
          <w:color w:val="000000" w:themeColor="text1"/>
        </w:rPr>
        <w:t xml:space="preserve">кавист</w:t>
      </w:r>
      <w:r>
        <w:rPr>
          <w:rFonts w:ascii="Times New Roman" w:hAnsi="Times New Roman" w:cs="Times New Roman"/>
          <w:iCs/>
          <w:color w:val="000000" w:themeColor="text1"/>
        </w:rPr>
        <w:t xml:space="preserve">",</w:t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настоящей должностной инструкцией.</w:t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1.7. Сомелье должен знать: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- </w:t>
      </w:r>
      <w:r>
        <w:rPr>
          <w:rFonts w:ascii="Times New Roman" w:hAnsi="Times New Roman" w:cs="Times New Roman"/>
          <w:iCs/>
          <w:color w:val="000000" w:themeColor="text1"/>
        </w:rPr>
        <w:t xml:space="preserve">законодательство российской федерации, регулирующее деятельность предприятий питания;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характеристики различных видов вин, прочих напитков и условия их хранения;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винные аксессуары и их назначение;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мотивация, потребности и предпочтения потребителей в отношении вин, прочих напитков;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технологии стимулирования продаж вин и прочих напитков на предприятиях питания;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правила этикета и особенности обслуживания различных групп потребителей вином, прочими напитками;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методы контроля качества продукции бара и работы обслуживающего персонала;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характеристики различных видов продукции бара, требования к их качеству и безопасности, условиям хранения;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технологии организации презентаций и промоакций винной продукции, прочих напитков предприятий питания;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особенности дегустации различных видов вин, прочих напитков.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1.8. Сомелье должен уметь: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</w:t>
      </w:r>
      <w:r>
        <w:rPr>
          <w:rFonts w:ascii="Times New Roman" w:hAnsi="Times New Roman" w:cs="Times New Roman"/>
          <w:iCs/>
          <w:color w:val="000000" w:themeColor="text1"/>
        </w:rPr>
        <w:t xml:space="preserve">владеть технологиями исследования конъюнктуры рынка винной продукции;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владеть навыками разработки и актуализации винной карты предприятия питания;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разрабатывать меры по повышению рейтинга непопулярного ассортимента вин, прочих напитков;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корректировать винную коллекцию предприятия питания на основе истории продаж каждого вина и вносить новые напитки в винную коллекцию предприятия питания с учетом возникших потребностей потребителей;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осуществлять взаимодействие с шеф-поваром (поваром) для обеспечения совместимости винного и гастрономического меню предприятия питания;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владеть навыками исследования факторов, влияющих на разработку чайного, кофейного меню предприятия питания;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владеть методами оценки оптимального ассортимента чая, кофе с учетом потребительских предпочтений и концепции предприятия питания;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оценивать реальные возможности предприятия питания по внедрению предложенного чайного и кофейного меню и поддержанию их в актуальном состоянии;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владеть навыками обслуживания вином, прочими напитками в зале предприятия питания и на выездных мероприятиях (кейтеринге);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владеть навыками разрешения спорных вопросов с потребителями в области соответствия вин, напитков заявленному уровню;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соблюдать требования охраны труда, гигиены и санитарии в процессе обслуживания гостей вином, прочими напитками;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владеть иностранными языками с учетом характеристик постоянной клиентуры предприятия питания и основного ассортимента вин;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владеть методами выявления рисков в области качества приготовления и безопасности продукции бара и разрабатывать предложения по их минимизации и устранению;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владеть навыками отбора средней пробы продукции бара для проведения лабораторных исследований;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владеть навыками планирования и подготовки к участию в профессиональных конкурсах, выставках и дегустациях;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владеть методами организации винных мероприятия и мероприятий по представлению других напитков на предприятии питания;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организовывать презентации и промоакций поставщиков вин, прочих напитков на территории предприятия питания.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1.9.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Сомелье п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одчиняется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непосредственно </w:t>
      </w:r>
      <w:r>
        <w:rPr>
          <w:rFonts w:ascii="Times New Roman" w:hAnsi="Times New Roman" w:eastAsia="Calibri" w:cs="Times New Roman"/>
          <w:color w:val="000000" w:themeColor="text1"/>
        </w:rPr>
        <w:t xml:space="preserve">&lt;</w:t>
      </w:r>
      <w:r>
        <w:rPr>
          <w:rFonts w:ascii="Times New Roman" w:hAnsi="Times New Roman" w:cs="Times New Roman"/>
          <w:color w:val="000000" w:themeColor="text1"/>
        </w:rPr>
        <w:t xml:space="preserve">Должность руководителя</w:t>
      </w:r>
      <w:r>
        <w:rPr>
          <w:rFonts w:ascii="Times New Roman" w:hAnsi="Times New Roman" w:eastAsia="Calibri" w:cs="Times New Roman"/>
          <w:color w:val="000000" w:themeColor="text1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jc w:val="both"/>
        <w:widowControl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1.10. </w:t>
      </w:r>
      <w:r>
        <w:rPr>
          <w:rFonts w:ascii="Times New Roman" w:hAnsi="Times New Roman" w:cs="Times New Roman"/>
          <w:color w:val="000000" w:themeColor="text1"/>
        </w:rPr>
        <w:t xml:space="preserve">На время отсутствия сомелье (отпуск, болезнь и пр.) его обязанности исполняет лицо, назначенное в установленном порядке.</w:t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1.11.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Сомелье является материально-ответственным лицом и несет полную материальную ответственность за сохранность вверенных ему материальных ценностей в соответствии с действующим законодательством.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center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2. </w:t>
      </w:r>
      <w:r>
        <w:rPr>
          <w:rFonts w:ascii="Times New Roman" w:hAnsi="Times New Roman" w:cs="Times New Roman"/>
          <w:b/>
          <w:color w:val="000000" w:themeColor="text1"/>
        </w:rPr>
        <w:t xml:space="preserve">ТРУДОВЫЕ ФУНКЦИИ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ind w:firstLine="708"/>
        <w:jc w:val="both"/>
        <w:widowControl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Сомелье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выполняет следующие функции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: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2.1.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</w:rPr>
        <w:t xml:space="preserve">Разработка винной политики предприятия питания и управление продажами вин, прочих напитков: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2.1.1. Анализ факторов внешней и внутренней среды, влияющих на винную политику предприятия питания и продажи вин, прочих напитков.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2.1.2. Разработка предложений по совершенствованию винной политики предприятия питания и управлению продажами вин, прочих напитков.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2.1.3. Составление винной карты предприятия питания.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2.1.4. Приобретение для предприятия питания ежегодных справочников по винам, прочим напиткам, другой профессиональной литературы.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 Разработка чайного и кофейного меню: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2.2.1. Анализ чайного меню предприятия питания и разработка мер по его совершенствованию.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2.2.2. Анализ кофейного меню предприятия питания и разработка мер по его совершенствованию.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2.3. Обслуживание гостей предприятий питания вином, прочими напитками: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2.3.1. Предоставление потребителям полной информации о характеристиках различных видов вин, прочих напитков их сочетаемости с блюдами и другими напитками.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2.3.2. </w:t>
      </w:r>
      <w:r>
        <w:rPr>
          <w:rFonts w:ascii="Times New Roman" w:hAnsi="Times New Roman" w:cs="Times New Roman"/>
          <w:iCs/>
          <w:color w:val="000000" w:themeColor="text1"/>
        </w:rPr>
        <w:t xml:space="preserve">Декантирование</w:t>
      </w:r>
      <w:r>
        <w:rPr>
          <w:rFonts w:ascii="Times New Roman" w:hAnsi="Times New Roman" w:cs="Times New Roman"/>
          <w:iCs/>
          <w:color w:val="000000" w:themeColor="text1"/>
        </w:rPr>
        <w:t xml:space="preserve"> и подача вина, прочих напитков гостям предприятия питания.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2.3.3. Обучение обслуживающего персонала правилам презентации и подачи вина, прочих напитков, сервировки стола.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2.4. Контроль качества работы обслуживающего персонала и продукции бара: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2.4.1. Контроль процедур презентации обслуживающим персоналом ассортимента винной продукции предприятия питания и предоставления рекомендаций по вину, прочим напиткам, правильному сочетанию блюд и напитков.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2.4.2. Контроль процесса подачи обслуживающим персоналом вина, прочих напитков, соблюдения протокола и этикета.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2.4.3. Контроль соблюдения санитарных правил и гигиенических норм, правил по охране труда, противопожарной безопасности в процессе работы обслуживающего персонал.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2.4.4. Проверка и оценка соответствия условий в баре требованиям к качеству приготовления и безопасности продукции бара, принятие мер по устранению отклонений.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2.4.5. Контроль соблюдения работниками рецептуры и технологии приготовления продукции бара, приготовления заготовок и безопасности их хранения.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2.5. Выступление на профессиональных конкурсах и иных винных мероприятиях: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2.5.1. Посещение профессиональных дегустаций вина и прочих напитков, обучающих семинаров и других профессиональных мероприятий.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2.5.2. Подготовка к участию и выступление на профессиональных конкурсах сомелье.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2.5.3. Организация презентаций, промоакций и дегустаций продукции поставщиков вин, прочих напитков на территории предприятия питания.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</w:p>
    <w:p>
      <w:pPr>
        <w:contextualSpacing/>
        <w:jc w:val="center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3. ПРАВА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Сомелье вправе: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3.1.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Требовать от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руководства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создания необходимых условий для хранения материальных ценностей, обеспечения форменной одеждой и всем необходимым для должного сервисного обслуживания посетителей.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3.2.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Не принимать со склада товары, не отвечающие стандартам и вино-водочные изделия без соответствующей маркировки.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3.3.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Прекращать обслуживание посетителей, находящихся в нетрезвом состоянии, либо не соблюдающих норм поведения, принятых на фирме.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3.4.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Вносить руководству предложения по улучшению ассортимента приготовления напитков и блюд.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contextualSpacing/>
        <w:widowControl/>
        <w:tabs>
          <w:tab w:val="center" w:pos="4679" w:leader="none"/>
          <w:tab w:val="left" w:pos="8025" w:leader="none"/>
        </w:tabs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4. ОТВЕТСТВЕННОСТЬ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ind w:firstLine="708"/>
        <w:jc w:val="both"/>
        <w:widowControl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Сомелье несет ответственность за: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</w:p>
    <w:p>
      <w:pPr>
        <w:pStyle w:val="777"/>
        <w:contextualSpacing/>
        <w:jc w:val="both"/>
        <w:spacing w:after="0"/>
        <w:rPr>
          <w:bCs/>
          <w:color w:val="000000" w:themeColor="text1"/>
        </w:rPr>
      </w:pPr>
      <w:r>
        <w:rPr>
          <w:color w:val="000000" w:themeColor="text1"/>
        </w:rPr>
        <w:t xml:space="preserve">4.1. Отвечает за надлежащее выполнение обязанностей, указанных в должностной инструкции.</w:t>
      </w:r>
      <w:r>
        <w:rPr>
          <w:b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4.2. Несёт материальную ответственность за сохранность вверенных материальных ценностей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Работодателя</w:t>
      </w:r>
      <w:r>
        <w:rPr>
          <w:rFonts w:ascii="Times New Roman" w:hAnsi="Times New Roman" w:cs="Times New Roman"/>
          <w:bCs/>
          <w:color w:val="000000" w:themeColor="text1"/>
        </w:rPr>
        <w:t xml:space="preserve">.</w:t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4.3. За соблюдение Федеральный </w:t>
      </w:r>
      <w:r>
        <w:rPr>
          <w:rFonts w:ascii="Times New Roman" w:hAnsi="Times New Roman" w:cs="Times New Roman"/>
          <w:bCs/>
          <w:color w:val="000000" w:themeColor="text1"/>
        </w:rPr>
        <w:t xml:space="preserve">закон от </w:t>
      </w:r>
      <w:r>
        <w:rPr>
          <w:rFonts w:ascii="Times New Roman" w:hAnsi="Times New Roman" w:cs="Times New Roman"/>
          <w:color w:val="000000" w:themeColor="text1"/>
        </w:rPr>
        <w:t xml:space="preserve">22.11.1995 года № 171-ФЗ «О государственном регулировании производства и оборота этилового спирта, алкогольной и спиртосодержащей продукции и об ограничении потребления (распития) алкогольной продукции» и Федеральный закон от 23.02</w:t>
      </w:r>
      <w:r>
        <w:rPr>
          <w:rFonts w:ascii="Times New Roman" w:hAnsi="Times New Roman" w:cs="Times New Roman"/>
          <w:color w:val="000000" w:themeColor="text1"/>
        </w:rPr>
        <w:t xml:space="preserve">.2013 № 15-ФЗ «Об охране здоровья граждан от воздействия окружающего табачного дыма и последствий потребления табака». За нарушение правил продажи алкогольной и табачной продукции установлена административная ответственность (статья 14.15 и 14.16 КоАП РФ).</w:t>
      </w:r>
      <w:r>
        <w:rPr>
          <w:rFonts w:ascii="Times New Roman" w:hAnsi="Times New Roman" w:cs="Times New Roman"/>
          <w:color w:val="000000" w:themeColor="text1"/>
        </w:rPr>
      </w:r>
    </w:p>
    <w:p>
      <w:pPr>
        <w:jc w:val="both"/>
        <w:shd w:val="clear" w:color="auto" w:fill="ffffff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Административный штраф за розничную продажу алкогольной продукции несовершеннолетнему составляет: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numPr>
          <w:ilvl w:val="0"/>
          <w:numId w:val="7"/>
        </w:numPr>
        <w:ind w:hanging="284"/>
        <w:jc w:val="both"/>
        <w:shd w:val="clear" w:color="auto" w:fill="ffffff"/>
        <w:widowControl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на граждан от 30 тысяч до 50 тысяч рублей;</w:t>
      </w:r>
      <w:r>
        <w:rPr>
          <w:rFonts w:ascii="Times New Roman" w:hAnsi="Times New Roman" w:cs="Times New Roman"/>
          <w:color w:val="000000" w:themeColor="text1"/>
        </w:rPr>
      </w:r>
    </w:p>
    <w:p>
      <w:pPr>
        <w:numPr>
          <w:ilvl w:val="0"/>
          <w:numId w:val="7"/>
        </w:numPr>
        <w:ind w:hanging="284"/>
        <w:jc w:val="both"/>
        <w:shd w:val="clear" w:color="auto" w:fill="ffffff"/>
        <w:widowControl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на должностных лиц от 100 тысяч до 200 тысяч рублей;</w:t>
      </w:r>
      <w:r>
        <w:rPr>
          <w:rFonts w:ascii="Times New Roman" w:hAnsi="Times New Roman" w:cs="Times New Roman"/>
          <w:color w:val="000000" w:themeColor="text1"/>
        </w:rPr>
      </w:r>
    </w:p>
    <w:p>
      <w:pPr>
        <w:numPr>
          <w:ilvl w:val="0"/>
          <w:numId w:val="7"/>
        </w:numPr>
        <w:ind w:hanging="284"/>
        <w:jc w:val="both"/>
        <w:shd w:val="clear" w:color="auto" w:fill="ffffff"/>
        <w:widowControl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на юридических лиц от 300 тысяч до 500 тысяч рублей (ст.14.16 Кодекса РФ об административных правонарушениях).</w:t>
      </w:r>
      <w:r>
        <w:rPr>
          <w:rFonts w:ascii="Times New Roman" w:hAnsi="Times New Roman" w:cs="Times New Roman"/>
          <w:color w:val="000000" w:themeColor="text1"/>
        </w:rPr>
      </w:r>
    </w:p>
    <w:p>
      <w:pPr>
        <w:jc w:val="both"/>
        <w:shd w:val="clear" w:color="auto" w:fill="ffffff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За неоднократную розничную продажу алкогольной продукции несовершеннолетним наступает уголовная ответственность в виде штрафа в размере до 80 тысяч руб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лей или в размере заработной платы или иного дохода осужденного за период до 6 месяцев либо исправительных работ на срок до 1 года с лишением права занимать определенные должности или заниматься определенной деятельностью на срок до 3 лет или без такового </w:t>
      </w:r>
      <w:r>
        <w:rPr>
          <w:rFonts w:ascii="Times New Roman" w:hAnsi="Times New Roman" w:eastAsia="Times New Roman" w:cs="Times New Roman"/>
          <w:iCs/>
          <w:color w:val="000000" w:themeColor="text1"/>
        </w:rPr>
        <w:t xml:space="preserve">(ст.151.1 Уголовного кодекса РФ).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center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5. ПОРЯДОК ПЕРЕСМОТРА ДОЛЖНОСТНОЙ ИНСТРУКЦИИ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5.1. Должностная инструкция пересматривается, изменяется и дополняется по мере необходимости, но не реже одного раза в пять лет.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Должностная инструкция разработана в соответствии с приказом </w:t>
      </w:r>
      <w:r>
        <w:rPr>
          <w:rFonts w:ascii="Times New Roman" w:hAnsi="Times New Roman" w:eastAsia="Calibri" w:cs="Times New Roman"/>
          <w:color w:val="000000" w:themeColor="text1"/>
        </w:rPr>
        <w:t xml:space="preserve">&lt;</w:t>
      </w:r>
      <w:r>
        <w:rPr>
          <w:rFonts w:ascii="Times New Roman" w:hAnsi="Times New Roman" w:cs="Times New Roman"/>
          <w:color w:val="000000" w:themeColor="text1"/>
        </w:rPr>
        <w:t xml:space="preserve">Должность руководителя</w:t>
      </w:r>
      <w:r>
        <w:rPr>
          <w:rFonts w:ascii="Times New Roman" w:hAnsi="Times New Roman" w:eastAsia="Calibri" w:cs="Times New Roman"/>
          <w:color w:val="000000" w:themeColor="text1"/>
        </w:rPr>
        <w:t xml:space="preserve">&gt;</w:t>
      </w:r>
      <w:r>
        <w:rPr>
          <w:rFonts w:ascii="Times New Roman" w:hAnsi="Times New Roman" w:cs="Times New Roman"/>
          <w:color w:val="000000" w:themeColor="text1"/>
        </w:rPr>
        <w:t xml:space="preserve"> от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«</w:t>
      </w:r>
      <w:r>
        <w:rPr>
          <w:rFonts w:ascii="Times New Roman" w:hAnsi="Times New Roman" w:cs="Times New Roman"/>
          <w:color w:val="000000" w:themeColor="text1"/>
        </w:rPr>
        <w:t xml:space="preserve">__» ______________ 20__ г. № ___________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ind w:firstLine="708"/>
        <w:jc w:val="both"/>
        <w:rPr>
          <w:rFonts w:ascii="Times New Roman" w:hAnsi="Times New Roman" w:cs="Times New Roman" w:eastAsiaTheme="minorHAnsi"/>
          <w:b/>
          <w:bCs/>
          <w:color w:val="000000" w:themeColor="text1"/>
        </w:rPr>
      </w:pPr>
      <w:r>
        <w:rPr>
          <w:rFonts w:ascii="Times New Roman" w:hAnsi="Times New Roman" w:cs="Times New Roman" w:eastAsiaTheme="minorHAnsi"/>
          <w:b/>
          <w:bCs/>
          <w:color w:val="000000" w:themeColor="text1"/>
        </w:rPr>
      </w:r>
      <w:r>
        <w:rPr>
          <w:rFonts w:ascii="Times New Roman" w:hAnsi="Times New Roman" w:cs="Times New Roman" w:eastAsiaTheme="minorHAnsi"/>
          <w:b/>
          <w:bCs/>
          <w:color w:val="000000" w:themeColor="text1"/>
        </w:rPr>
      </w:r>
    </w:p>
    <w:tbl>
      <w:tblPr>
        <w:tblStyle w:val="792"/>
        <w:tblW w:w="0" w:type="auto"/>
        <w:tblInd w:w="0" w:type="dxa"/>
        <w:tblLook w:val="04A0" w:firstRow="1" w:lastRow="0" w:firstColumn="1" w:lastColumn="0" w:noHBand="0" w:noVBand="1"/>
      </w:tblPr>
      <w:tblGrid>
        <w:gridCol w:w="3495"/>
        <w:gridCol w:w="1008"/>
        <w:gridCol w:w="5070"/>
      </w:tblGrid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 должностной инструкцией ознакомлен (а) и согласен (а):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&lt;Фамилия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&lt;Инициалы работника&gt;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«_____»_____________20____г.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Экземпляр должностной инструкции получил (а), обязуюсь хранить на рабочем месте: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&lt;Фамилия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&lt;Инициалы работника&gt;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«_____»_____________20____г.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none" w:color="000000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spacing w:after="255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Примечание: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Должностная инструкция составляется в 2-х экз.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>
      <w:pPr>
        <w:contextualSpacing/>
        <w:ind w:firstLine="708"/>
        <w:jc w:val="both"/>
        <w:widowControl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continuous"/>
      <w:pgSz w:w="11909" w:h="16838" w:orient="portrait"/>
      <w:pgMar w:top="1134" w:right="851" w:bottom="1134" w:left="1701" w:header="709" w:footer="709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ahoma">
    <w:panose1 w:val="020B0604030504040204"/>
  </w:font>
  <w:font w:name="Consolas">
    <w:panose1 w:val="020B0609020204030204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ourier New">
    <w:panose1 w:val="020703090202050204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1"/>
      <w:jc w:val="center"/>
    </w:pPr>
    <w:r/>
    <w:r/>
  </w:p>
  <w:p>
    <w:pPr>
      <w:pStyle w:val="781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34545792"/>
      <w:docPartObj>
        <w:docPartGallery w:val="Page Numbers (Bottom of Page)"/>
        <w:docPartUnique w:val="true"/>
      </w:docPartObj>
      <w:rPr/>
    </w:sdtPr>
    <w:sdtContent>
      <w:p>
        <w:pPr>
          <w:pStyle w:val="781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 xml:space="preserve">2</w:t>
        </w:r>
        <w:r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/>
      <w:r/>
    </w:p>
  </w:footnote>
  <w:footnote w:type="continuationSeparator" w:id="0">
    <w:p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9"/>
    </w:pPr>
    <w:r/>
    <w:r/>
  </w:p>
  <w:p>
    <w:pPr>
      <w:pStyle w:val="7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91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82"/>
      <w:gridCol w:w="3963"/>
    </w:tblGrid>
    <w:tr>
      <w:tblPrEx/>
      <w:trPr/>
      <w:tc>
        <w:tcPr>
          <w:tcW w:w="5382" w:type="dxa"/>
          <w:textDirection w:val="lrTb"/>
          <w:noWrap w:val="false"/>
        </w:tcPr>
        <w:p>
          <w:pPr>
            <w:spacing w:line="256" w:lineRule="auto"/>
            <w:tabs>
              <w:tab w:val="center" w:pos="4677" w:leader="none"/>
              <w:tab w:val="right" w:pos="9355" w:leader="none"/>
            </w:tabs>
            <w:rPr>
              <w:rFonts w:ascii="Times New Roman" w:hAnsi="Times New Roman" w:eastAsia="Times New Roman"/>
              <w:color w:val="000000" w:themeColor="text1"/>
            </w:rPr>
          </w:pPr>
          <w:r>
            <w:rPr>
              <w:rFonts w:ascii="Times New Roman" w:hAnsi="Times New Roman" w:eastAsia="Times New Roman"/>
              <w:color w:val="000000" w:themeColor="text1"/>
              <w:lang w:eastAsia="ru-RU"/>
            </w:rPr>
          </w:r>
          <w:r>
            <w:rPr>
              <w:rFonts w:ascii="Times New Roman" w:hAnsi="Times New Roman" w:eastAsia="Times New Roman"/>
              <w:color w:val="000000" w:themeColor="text1"/>
            </w:rPr>
          </w:r>
        </w:p>
      </w:tc>
      <w:tc>
        <w:tcPr>
          <w:tcW w:w="3963" w:type="dxa"/>
          <w:textDirection w:val="lrTb"/>
          <w:noWrap w:val="false"/>
        </w:tcPr>
        <w:p>
          <w:pPr>
            <w:spacing w:line="256" w:lineRule="auto"/>
            <w:tabs>
              <w:tab w:val="center" w:pos="4677" w:leader="none"/>
              <w:tab w:val="right" w:pos="9355" w:leader="none"/>
            </w:tabs>
            <w:rPr>
              <w:rFonts w:ascii="Times New Roman" w:hAnsi="Times New Roman" w:eastAsia="Times New Roman"/>
              <w:color w:val="000000" w:themeColor="text1"/>
              <w:sz w:val="20"/>
              <w:szCs w:val="20"/>
            </w:rPr>
          </w:pPr>
          <w:r>
            <w:rPr>
              <w:rFonts w:ascii="Times New Roman" w:hAnsi="Times New Roman" w:eastAsia="Times New Roman"/>
              <w:color w:val="000000" w:themeColor="text1"/>
              <w:sz w:val="20"/>
              <w:szCs w:val="20"/>
              <w:lang w:eastAsia="ru-RU"/>
            </w:rPr>
            <w:t xml:space="preserve">Приложение № 1 к</w:t>
          </w:r>
          <w:r>
            <w:rPr>
              <w:rFonts w:ascii="Times New Roman" w:hAnsi="Times New Roman" w:eastAsia="Times New Roman"/>
              <w:color w:val="000000" w:themeColor="text1"/>
              <w:sz w:val="20"/>
              <w:szCs w:val="20"/>
            </w:rPr>
          </w:r>
        </w:p>
        <w:p>
          <w:pPr>
            <w:spacing w:line="256" w:lineRule="auto"/>
            <w:tabs>
              <w:tab w:val="center" w:pos="4677" w:leader="none"/>
              <w:tab w:val="right" w:pos="9355" w:leader="none"/>
            </w:tabs>
            <w:rPr>
              <w:rFonts w:ascii="Times New Roman" w:hAnsi="Times New Roman" w:eastAsia="Times New Roman"/>
              <w:color w:val="000000" w:themeColor="text1"/>
            </w:rPr>
          </w:pPr>
          <w:r>
            <w:rPr>
              <w:rFonts w:ascii="Times New Roman" w:hAnsi="Times New Roman" w:eastAsia="Times New Roman"/>
              <w:color w:val="000000" w:themeColor="text1"/>
              <w:sz w:val="20"/>
              <w:szCs w:val="20"/>
              <w:lang w:eastAsia="ru-RU"/>
            </w:rPr>
            <w:t xml:space="preserve">Трудовому договору от </w:t>
          </w:r>
          <w:r>
            <w:rPr>
              <w:rFonts w:ascii="Times New Roman" w:hAnsi="Times New Roman" w:eastAsia="Times New Roman"/>
              <w:color w:val="000000" w:themeColor="text1"/>
              <w:sz w:val="20"/>
              <w:szCs w:val="20"/>
              <w:lang w:eastAsia="ru-RU"/>
            </w:rPr>
            <w:t xml:space="preserve">&lt;Дата приказа о приеме&gt;</w:t>
          </w:r>
          <w:r>
            <w:rPr>
              <w:rFonts w:ascii="Times New Roman" w:hAnsi="Times New Roman" w:eastAsia="Times New Roman"/>
              <w:color w:val="000000" w:themeColor="text1"/>
              <w:sz w:val="20"/>
              <w:szCs w:val="20"/>
              <w:lang w:eastAsia="ru-RU"/>
            </w:rPr>
            <w:t xml:space="preserve"> г. № </w:t>
          </w:r>
          <w:r>
            <w:rPr>
              <w:rFonts w:ascii="Times New Roman" w:hAnsi="Times New Roman" w:eastAsia="Times New Roman"/>
              <w:color w:val="000000" w:themeColor="text1"/>
              <w:sz w:val="20"/>
              <w:szCs w:val="20"/>
              <w:lang w:eastAsia="ru-RU"/>
            </w:rPr>
            <w:t xml:space="preserve">&lt;Договор №&gt;</w:t>
          </w:r>
          <w:r>
            <w:rPr>
              <w:rFonts w:ascii="Times New Roman" w:hAnsi="Times New Roman" w:eastAsia="Times New Roman"/>
              <w:color w:val="000000" w:themeColor="text1"/>
            </w:rPr>
          </w:r>
        </w:p>
      </w:tc>
    </w:tr>
  </w:tbl>
  <w:p>
    <w:pPr>
      <w:pStyle w:val="7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  <w:sz w:val="20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%2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6">
    <w:multiLevelType w:val="hybridMultilevel"/>
    <w:lvl w:ilvl="0">
      <w:start w:val="1"/>
      <w:numFmt w:val="upperRoman"/>
      <w:isLgl w:val="false"/>
      <w:suff w:val="tab"/>
      <w:lvlText w:val="%1."/>
      <w:lvlJc w:val="left"/>
      <w:pPr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ourier New" w:hAnsi="Courier New" w:eastAsia="Courier New" w:cs="Courier New"/>
        <w:sz w:val="24"/>
        <w:szCs w:val="24"/>
        <w:lang w:val="ru-RU" w:eastAsia="ru-RU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57"/>
    <w:link w:val="756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755"/>
    <w:next w:val="755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757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755"/>
    <w:next w:val="755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757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755"/>
    <w:next w:val="755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757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755"/>
    <w:next w:val="755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757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755"/>
    <w:next w:val="755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757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755"/>
    <w:next w:val="755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757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755"/>
    <w:next w:val="755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757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755"/>
    <w:next w:val="755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757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755"/>
    <w:next w:val="755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757"/>
    <w:link w:val="35"/>
    <w:uiPriority w:val="10"/>
    <w:rPr>
      <w:sz w:val="48"/>
      <w:szCs w:val="48"/>
    </w:rPr>
  </w:style>
  <w:style w:type="paragraph" w:styleId="37">
    <w:name w:val="Subtitle"/>
    <w:basedOn w:val="755"/>
    <w:next w:val="755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757"/>
    <w:link w:val="37"/>
    <w:uiPriority w:val="11"/>
    <w:rPr>
      <w:sz w:val="24"/>
      <w:szCs w:val="24"/>
    </w:rPr>
  </w:style>
  <w:style w:type="paragraph" w:styleId="39">
    <w:name w:val="Quote"/>
    <w:basedOn w:val="755"/>
    <w:next w:val="755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755"/>
    <w:next w:val="755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757"/>
    <w:link w:val="779"/>
    <w:uiPriority w:val="99"/>
  </w:style>
  <w:style w:type="character" w:styleId="46">
    <w:name w:val="Footer Char"/>
    <w:basedOn w:val="757"/>
    <w:link w:val="781"/>
    <w:uiPriority w:val="99"/>
  </w:style>
  <w:style w:type="paragraph" w:styleId="47">
    <w:name w:val="Caption"/>
    <w:basedOn w:val="755"/>
    <w:next w:val="755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757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7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7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75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755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757"/>
    <w:uiPriority w:val="99"/>
    <w:unhideWhenUsed/>
    <w:rPr>
      <w:vertAlign w:val="superscript"/>
    </w:rPr>
  </w:style>
  <w:style w:type="paragraph" w:styleId="179">
    <w:name w:val="endnote text"/>
    <w:basedOn w:val="755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757"/>
    <w:uiPriority w:val="99"/>
    <w:semiHidden/>
    <w:unhideWhenUsed/>
    <w:rPr>
      <w:vertAlign w:val="superscript"/>
    </w:rPr>
  </w:style>
  <w:style w:type="paragraph" w:styleId="182">
    <w:name w:val="toc 1"/>
    <w:basedOn w:val="755"/>
    <w:next w:val="755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755"/>
    <w:next w:val="755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755"/>
    <w:next w:val="755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755"/>
    <w:next w:val="755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755"/>
    <w:next w:val="755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755"/>
    <w:next w:val="755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755"/>
    <w:next w:val="755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755"/>
    <w:next w:val="755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755"/>
    <w:next w:val="755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755"/>
    <w:next w:val="755"/>
    <w:uiPriority w:val="99"/>
    <w:unhideWhenUsed/>
    <w:pPr>
      <w:spacing w:after="0" w:afterAutospacing="0"/>
    </w:pPr>
  </w:style>
  <w:style w:type="paragraph" w:styleId="755" w:default="1">
    <w:name w:val="Normal"/>
    <w:rPr>
      <w:color w:val="000000"/>
    </w:rPr>
  </w:style>
  <w:style w:type="paragraph" w:styleId="756">
    <w:name w:val="Heading 1"/>
    <w:basedOn w:val="755"/>
    <w:next w:val="755"/>
    <w:link w:val="783"/>
    <w:qFormat/>
    <w:pPr>
      <w:keepNext/>
      <w:widowControl/>
      <w:outlineLvl w:val="0"/>
    </w:pPr>
    <w:rPr>
      <w:rFonts w:ascii="Times New Roman" w:hAnsi="Times New Roman" w:eastAsia="Times New Roman" w:cs="Times New Roman"/>
      <w:b/>
      <w:bCs/>
      <w:color w:val="auto"/>
      <w:lang w:eastAsia="zh-CN"/>
    </w:rPr>
  </w:style>
  <w:style w:type="character" w:styleId="757" w:default="1">
    <w:name w:val="Default Paragraph Font"/>
    <w:uiPriority w:val="1"/>
    <w:semiHidden/>
    <w:unhideWhenUsed/>
  </w:style>
  <w:style w:type="table" w:styleId="75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9" w:default="1">
    <w:name w:val="No List"/>
    <w:uiPriority w:val="99"/>
    <w:semiHidden/>
    <w:unhideWhenUsed/>
  </w:style>
  <w:style w:type="character" w:styleId="760">
    <w:name w:val="Hyperlink"/>
    <w:basedOn w:val="757"/>
    <w:rPr>
      <w:color w:val="0066cc"/>
      <w:u w:val="single"/>
    </w:rPr>
  </w:style>
  <w:style w:type="character" w:styleId="761" w:customStyle="1">
    <w:name w:val="Заголовок №1_"/>
    <w:basedOn w:val="757"/>
    <w:link w:val="771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styleId="762" w:customStyle="1">
    <w:name w:val="Подпись к картинке Exact"/>
    <w:basedOn w:val="757"/>
    <w:link w:val="772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styleId="763" w:customStyle="1">
    <w:name w:val="Основной текст (2) Exact"/>
    <w:basedOn w:val="757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styleId="764" w:customStyle="1">
    <w:name w:val="Основной текст (3) Exact"/>
    <w:basedOn w:val="757"/>
    <w:link w:val="774"/>
    <w:rPr>
      <w:rFonts w:ascii="Consolas" w:hAnsi="Consolas" w:eastAsia="Consolas" w:cs="Consolas"/>
      <w:b w:val="0"/>
      <w:bCs w:val="0"/>
      <w:i/>
      <w:iCs/>
      <w:smallCaps w:val="0"/>
      <w:strike w:val="0"/>
      <w:sz w:val="94"/>
      <w:szCs w:val="94"/>
      <w:u w:val="none"/>
    </w:rPr>
  </w:style>
  <w:style w:type="character" w:styleId="765" w:customStyle="1">
    <w:name w:val="Основной текст (2)_"/>
    <w:basedOn w:val="757"/>
    <w:link w:val="773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styleId="766" w:customStyle="1">
    <w:name w:val="Основной текст (2) + Курсив;Интервал -1 pt"/>
    <w:basedOn w:val="765"/>
    <w:rPr>
      <w:rFonts w:ascii="Times New Roman" w:hAnsi="Times New Roman" w:eastAsia="Times New Roman" w:cs="Times New Roman"/>
      <w:b/>
      <w:bCs/>
      <w:i/>
      <w:iCs/>
      <w:smallCaps w:val="0"/>
      <w:strike w:val="0"/>
      <w:color w:val="000000"/>
      <w:spacing w:val="-20"/>
      <w:position w:val="0"/>
      <w:sz w:val="22"/>
      <w:szCs w:val="22"/>
      <w:u w:val="none"/>
      <w:lang w:val="ru-RU"/>
    </w:rPr>
  </w:style>
  <w:style w:type="character" w:styleId="767" w:customStyle="1">
    <w:name w:val="Основной текст_"/>
    <w:basedOn w:val="757"/>
    <w:link w:val="775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styleId="768" w:customStyle="1">
    <w:name w:val="Заголовок №2_"/>
    <w:basedOn w:val="757"/>
    <w:link w:val="776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styleId="769" w:customStyle="1">
    <w:name w:val="Основной текст + 8 pt"/>
    <w:basedOn w:val="767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6"/>
      <w:szCs w:val="16"/>
      <w:u w:val="none"/>
      <w:lang w:val="ru-RU"/>
    </w:rPr>
  </w:style>
  <w:style w:type="character" w:styleId="770" w:customStyle="1">
    <w:name w:val="Основной текст + Интервал 0 pt"/>
    <w:basedOn w:val="767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-10"/>
      <w:position w:val="0"/>
      <w:sz w:val="20"/>
      <w:szCs w:val="20"/>
      <w:u w:val="none"/>
      <w:lang w:val="ru-RU"/>
    </w:rPr>
  </w:style>
  <w:style w:type="paragraph" w:styleId="771" w:customStyle="1">
    <w:name w:val="Заголовок №1"/>
    <w:basedOn w:val="755"/>
    <w:link w:val="761"/>
    <w:pPr>
      <w:jc w:val="center"/>
      <w:spacing w:line="0" w:lineRule="atLeast"/>
      <w:shd w:val="clear" w:color="auto" w:fill="ffffff"/>
      <w:outlineLvl w:val="0"/>
    </w:pPr>
    <w:rPr>
      <w:rFonts w:ascii="Times New Roman" w:hAnsi="Times New Roman" w:eastAsia="Times New Roman" w:cs="Times New Roman"/>
      <w:b/>
      <w:bCs/>
      <w:sz w:val="34"/>
      <w:szCs w:val="34"/>
    </w:rPr>
  </w:style>
  <w:style w:type="paragraph" w:styleId="772" w:customStyle="1">
    <w:name w:val="Подпись к картинке"/>
    <w:basedOn w:val="755"/>
    <w:link w:val="762"/>
    <w:pPr>
      <w:jc w:val="right"/>
      <w:spacing w:line="413" w:lineRule="exact"/>
      <w:shd w:val="clear" w:color="auto" w:fill="ffffff"/>
    </w:pPr>
    <w:rPr>
      <w:rFonts w:ascii="Times New Roman" w:hAnsi="Times New Roman" w:eastAsia="Times New Roman" w:cs="Times New Roman"/>
      <w:b/>
      <w:bCs/>
      <w:spacing w:val="3"/>
      <w:sz w:val="19"/>
      <w:szCs w:val="19"/>
    </w:rPr>
  </w:style>
  <w:style w:type="paragraph" w:styleId="773" w:customStyle="1">
    <w:name w:val="Основной текст (2)"/>
    <w:basedOn w:val="755"/>
    <w:link w:val="765"/>
    <w:pPr>
      <w:ind w:hanging="1260"/>
      <w:jc w:val="right"/>
      <w:spacing w:line="0" w:lineRule="atLeast"/>
      <w:shd w:val="clear" w:color="auto" w:fill="ffffff"/>
    </w:pPr>
    <w:rPr>
      <w:rFonts w:ascii="Times New Roman" w:hAnsi="Times New Roman" w:eastAsia="Times New Roman" w:cs="Times New Roman"/>
      <w:b/>
      <w:bCs/>
      <w:sz w:val="22"/>
      <w:szCs w:val="22"/>
    </w:rPr>
  </w:style>
  <w:style w:type="paragraph" w:styleId="774" w:customStyle="1">
    <w:name w:val="Основной текст (3)"/>
    <w:basedOn w:val="755"/>
    <w:link w:val="764"/>
    <w:pPr>
      <w:spacing w:line="0" w:lineRule="atLeast"/>
      <w:shd w:val="clear" w:color="auto" w:fill="ffffff"/>
    </w:pPr>
    <w:rPr>
      <w:rFonts w:ascii="Consolas" w:hAnsi="Consolas" w:eastAsia="Consolas" w:cs="Consolas"/>
      <w:i/>
      <w:iCs/>
      <w:sz w:val="94"/>
      <w:szCs w:val="94"/>
    </w:rPr>
  </w:style>
  <w:style w:type="paragraph" w:styleId="775" w:customStyle="1">
    <w:name w:val="Основной текст1"/>
    <w:basedOn w:val="755"/>
    <w:link w:val="767"/>
    <w:pPr>
      <w:spacing w:before="360" w:line="288" w:lineRule="exact"/>
      <w:shd w:val="clear" w:color="auto" w:fill="ffffff"/>
    </w:pPr>
    <w:rPr>
      <w:rFonts w:ascii="Times New Roman" w:hAnsi="Times New Roman" w:eastAsia="Times New Roman" w:cs="Times New Roman"/>
      <w:sz w:val="20"/>
      <w:szCs w:val="20"/>
    </w:rPr>
  </w:style>
  <w:style w:type="paragraph" w:styleId="776" w:customStyle="1">
    <w:name w:val="Заголовок №2"/>
    <w:basedOn w:val="755"/>
    <w:link w:val="768"/>
    <w:pPr>
      <w:spacing w:before="240" w:after="360" w:line="0" w:lineRule="atLeast"/>
      <w:shd w:val="clear" w:color="auto" w:fill="ffffff"/>
      <w:outlineLvl w:val="1"/>
    </w:pPr>
    <w:rPr>
      <w:rFonts w:ascii="Times New Roman" w:hAnsi="Times New Roman" w:eastAsia="Times New Roman" w:cs="Times New Roman"/>
      <w:b/>
      <w:bCs/>
      <w:sz w:val="22"/>
      <w:szCs w:val="22"/>
    </w:rPr>
  </w:style>
  <w:style w:type="paragraph" w:styleId="777">
    <w:name w:val="Body Text"/>
    <w:basedOn w:val="755"/>
    <w:link w:val="778"/>
    <w:pPr>
      <w:spacing w:after="120"/>
      <w:widowControl/>
    </w:pPr>
    <w:rPr>
      <w:rFonts w:ascii="Times New Roman" w:hAnsi="Times New Roman" w:eastAsia="Times New Roman" w:cs="Times New Roman"/>
      <w:color w:val="auto"/>
      <w:lang w:eastAsia="zh-CN"/>
    </w:rPr>
  </w:style>
  <w:style w:type="character" w:styleId="778" w:customStyle="1">
    <w:name w:val="Основной текст Знак"/>
    <w:basedOn w:val="757"/>
    <w:link w:val="777"/>
    <w:rPr>
      <w:rFonts w:ascii="Times New Roman" w:hAnsi="Times New Roman" w:eastAsia="Times New Roman" w:cs="Times New Roman"/>
      <w:lang w:eastAsia="zh-CN"/>
    </w:rPr>
  </w:style>
  <w:style w:type="paragraph" w:styleId="779">
    <w:name w:val="Header"/>
    <w:basedOn w:val="755"/>
    <w:link w:val="780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80" w:customStyle="1">
    <w:name w:val="Верхний колонтитул Знак"/>
    <w:basedOn w:val="757"/>
    <w:link w:val="779"/>
    <w:uiPriority w:val="99"/>
    <w:rPr>
      <w:color w:val="000000"/>
    </w:rPr>
  </w:style>
  <w:style w:type="paragraph" w:styleId="781">
    <w:name w:val="Footer"/>
    <w:basedOn w:val="755"/>
    <w:link w:val="782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82" w:customStyle="1">
    <w:name w:val="Нижний колонтитул Знак"/>
    <w:basedOn w:val="757"/>
    <w:link w:val="781"/>
    <w:uiPriority w:val="99"/>
    <w:rPr>
      <w:color w:val="000000"/>
    </w:rPr>
  </w:style>
  <w:style w:type="character" w:styleId="783" w:customStyle="1">
    <w:name w:val="Заголовок 1 Знак"/>
    <w:basedOn w:val="757"/>
    <w:link w:val="756"/>
    <w:rPr>
      <w:rFonts w:ascii="Times New Roman" w:hAnsi="Times New Roman" w:eastAsia="Times New Roman" w:cs="Times New Roman"/>
      <w:b/>
      <w:bCs/>
      <w:lang w:eastAsia="zh-CN"/>
    </w:rPr>
  </w:style>
  <w:style w:type="paragraph" w:styleId="784">
    <w:name w:val="List Paragraph"/>
    <w:basedOn w:val="755"/>
    <w:uiPriority w:val="34"/>
    <w:qFormat/>
    <w:pPr>
      <w:contextualSpacing/>
      <w:ind w:left="720"/>
    </w:pPr>
  </w:style>
  <w:style w:type="character" w:styleId="785">
    <w:name w:val="Strong"/>
    <w:basedOn w:val="757"/>
    <w:uiPriority w:val="22"/>
    <w:qFormat/>
    <w:rPr>
      <w:b/>
      <w:bCs/>
    </w:rPr>
  </w:style>
  <w:style w:type="character" w:styleId="786" w:customStyle="1">
    <w:name w:val="apple-converted-space"/>
    <w:basedOn w:val="757"/>
  </w:style>
  <w:style w:type="paragraph" w:styleId="787">
    <w:name w:val="Balloon Text"/>
    <w:basedOn w:val="755"/>
    <w:link w:val="788"/>
    <w:uiPriority w:val="99"/>
    <w:semiHidden/>
    <w:unhideWhenUsed/>
    <w:rPr>
      <w:rFonts w:ascii="Tahoma" w:hAnsi="Tahoma" w:cs="Tahoma"/>
      <w:sz w:val="16"/>
      <w:szCs w:val="16"/>
    </w:rPr>
  </w:style>
  <w:style w:type="character" w:styleId="788" w:customStyle="1">
    <w:name w:val="Текст выноски Знак"/>
    <w:basedOn w:val="757"/>
    <w:link w:val="787"/>
    <w:uiPriority w:val="99"/>
    <w:semiHidden/>
    <w:rPr>
      <w:rFonts w:ascii="Tahoma" w:hAnsi="Tahoma" w:cs="Tahoma"/>
      <w:color w:val="000000"/>
      <w:sz w:val="16"/>
      <w:szCs w:val="16"/>
    </w:rPr>
  </w:style>
  <w:style w:type="paragraph" w:styleId="789">
    <w:name w:val="Normal (Web)"/>
    <w:basedOn w:val="755"/>
    <w:uiPriority w:val="99"/>
    <w:unhideWhenUsed/>
    <w:pPr>
      <w:spacing w:before="100" w:beforeAutospacing="1" w:after="100" w:afterAutospacing="1"/>
      <w:widowControl/>
    </w:pPr>
    <w:rPr>
      <w:rFonts w:ascii="Times New Roman" w:hAnsi="Times New Roman" w:eastAsia="Times New Roman" w:cs="Times New Roman"/>
      <w:color w:val="auto"/>
    </w:rPr>
  </w:style>
  <w:style w:type="character" w:styleId="790" w:customStyle="1">
    <w:name w:val="fill"/>
    <w:basedOn w:val="757"/>
  </w:style>
  <w:style w:type="table" w:styleId="791" w:customStyle="1">
    <w:name w:val="Сетка таблицы1"/>
    <w:basedOn w:val="758"/>
    <w:uiPriority w:val="39"/>
    <w:pPr>
      <w:widowControl/>
    </w:pPr>
    <w:rPr>
      <w:rFonts w:ascii="Calibri" w:hAnsi="Calibri" w:eastAsia="Calibri" w:cs="Times New Roman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92">
    <w:name w:val="Table Grid"/>
    <w:basedOn w:val="758"/>
    <w:uiPriority w:val="59"/>
    <w:pPr>
      <w:widowControl/>
    </w:pPr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>Microsoft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Купцов Никита</cp:lastModifiedBy>
  <cp:revision>51</cp:revision>
  <dcterms:created xsi:type="dcterms:W3CDTF">2013-02-20T11:51:00Z</dcterms:created>
  <dcterms:modified xsi:type="dcterms:W3CDTF">2026-07-09T11:43:42Z</dcterms:modified>
</cp:coreProperties>
</file>