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608C5" w:rsidRDefault="006D7A36">
      <w:pPr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white"/>
        </w:rPr>
      </w:pPr>
      <w:bookmarkStart w:id="0" w:name="_gjdgxs" w:colFirst="0" w:colLast="0"/>
      <w:bookmarkEnd w:id="0"/>
      <w:r>
        <w:t>Below are the references for our project</w:t>
      </w:r>
      <w:r>
        <w:rPr>
          <w:b/>
        </w:rPr>
        <w:t xml:space="preserve"> “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An IOT based framework for Statistical Analysis and Screening of Covid-19”. As we were unable to get the physical copies of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references,we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have linked the soft copies of our references through hyperlinks provided below the references. These links will 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ake you directly to the soft copies of the references we have used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white"/>
        </w:rPr>
        <w:t>.</w:t>
      </w:r>
    </w:p>
    <w:p w14:paraId="00000002" w14:textId="77777777" w:rsidR="008608C5" w:rsidRDefault="008608C5">
      <w:pPr>
        <w:rPr>
          <w:rFonts w:ascii="Roboto" w:eastAsia="Roboto" w:hAnsi="Roboto" w:cs="Roboto"/>
          <w:b/>
          <w:color w:val="999999"/>
          <w:sz w:val="20"/>
          <w:szCs w:val="20"/>
          <w:highlight w:val="white"/>
        </w:rPr>
      </w:pPr>
    </w:p>
    <w:p w14:paraId="00000003" w14:textId="77777777" w:rsidR="008608C5" w:rsidRDefault="006D7A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Dhiraj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Sunehra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Pini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Ramakrishna, “Web-based patient health monitoring system using </w:t>
      </w:r>
      <w:r>
        <w:rPr>
          <w:rFonts w:ascii="Arial" w:eastAsia="Arial" w:hAnsi="Arial" w:cs="Arial"/>
          <w:color w:val="222222"/>
          <w:sz w:val="24"/>
          <w:szCs w:val="24"/>
        </w:rPr>
        <w:t>Raspberry Pi”, IEEE, 04 May 2017.</w:t>
      </w:r>
    </w:p>
    <w:p w14:paraId="00000004" w14:textId="77777777" w:rsidR="008608C5" w:rsidRDefault="006D7A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s://ieeexplore.ieee.org/document/7918028</w:t>
        </w:r>
      </w:hyperlink>
    </w:p>
    <w:p w14:paraId="00000005" w14:textId="77777777" w:rsidR="008608C5" w:rsidRDefault="008608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77777777" w:rsidR="008608C5" w:rsidRDefault="008608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7" w14:textId="77777777" w:rsidR="008608C5" w:rsidRDefault="006D7A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An IOT Based Patient Monitoring System using Raspberry Pi”, IEEE, 31 October 2016.</w:t>
      </w:r>
    </w:p>
    <w:p w14:paraId="00000008" w14:textId="77777777" w:rsidR="008608C5" w:rsidRDefault="006D7A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https://ieeexplore.ieee.org/document/7725378</w:t>
        </w:r>
      </w:hyperlink>
    </w:p>
    <w:p w14:paraId="00000009" w14:textId="77777777" w:rsidR="008608C5" w:rsidRDefault="008608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8608C5" w:rsidRDefault="006D7A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M. Surya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Deekshith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Gupta,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Vamsikrishna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Patchava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, Virginia Menezes, “Healthcare based on IoT using Raspberry Pi”, IEEE, 14 January 2016</w:t>
      </w:r>
    </w:p>
    <w:p w14:paraId="0000000B" w14:textId="77777777" w:rsidR="008608C5" w:rsidRDefault="006D7A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https://ieeexplore.ieee.org/document/7380571</w:t>
        </w:r>
      </w:hyperlink>
    </w:p>
    <w:p w14:paraId="0000000C" w14:textId="77777777" w:rsidR="008608C5" w:rsidRDefault="008608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8608C5" w:rsidRDefault="006D7A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M.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Udin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Har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un Al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Rasyid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Alif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Akbar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Pranata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Bih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-Hwang Lee, Ferry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Astika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Saputra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Amang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Sudarsono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, “Portable electrocardiogram sensor monitoring system based on body area network”, IEEE, 28 July 2016.</w:t>
      </w:r>
    </w:p>
    <w:p w14:paraId="0000000E" w14:textId="77777777" w:rsidR="008608C5" w:rsidRDefault="006D7A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tps://ieeexplore.ieee.org/document/7521006</w:t>
        </w:r>
      </w:hyperlink>
    </w:p>
    <w:p w14:paraId="0000000F" w14:textId="77777777" w:rsidR="008608C5" w:rsidRDefault="008608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8608C5" w:rsidRDefault="006D7A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Tripathy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, A.K.; Mohapatra, A.G.; Mohanty, S.P.;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Kougianos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, E.; Joshi, A.M.; Das, G.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EasyBand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: A Wearable for Safety-Aware Mobility During Pandemic Outbreak. IEEE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Consum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. Electron. Mag. 2020, 9, 57–61.</w:t>
      </w:r>
    </w:p>
    <w:p w14:paraId="00000011" w14:textId="77777777" w:rsidR="008608C5" w:rsidRDefault="006D7A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hyperlink r:id="rId9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https://ieeexplore.ieee.org/document/9085930</w:t>
        </w:r>
      </w:hyperlink>
    </w:p>
    <w:p w14:paraId="00000012" w14:textId="77777777" w:rsidR="008608C5" w:rsidRDefault="008608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3" w14:textId="77777777" w:rsidR="008608C5" w:rsidRDefault="006D7A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Yamanoor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, N.S.;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Yamanoor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, S. Low-Cost Contact Thermometry for Screening and Monitoring during the COVID-19 Pandemic. In Proceedings of the 2020 IEE</w:t>
      </w:r>
      <w:r>
        <w:rPr>
          <w:rFonts w:ascii="Arial" w:eastAsia="Arial" w:hAnsi="Arial" w:cs="Arial"/>
          <w:color w:val="222222"/>
          <w:sz w:val="24"/>
          <w:szCs w:val="24"/>
        </w:rPr>
        <w:t>E International IOT, Electronics and Mechatronics Conference (IEMTRONICS), Vancouver, BC, Canada, 9–12 September 2020; pp. 1–6</w:t>
      </w:r>
    </w:p>
    <w:p w14:paraId="00000014" w14:textId="77777777" w:rsidR="008608C5" w:rsidRDefault="006D7A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hyperlink r:id="rId10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https://ieeexplore.ieee.org/document/9216444</w:t>
        </w:r>
      </w:hyperlink>
    </w:p>
    <w:p w14:paraId="00000015" w14:textId="77777777" w:rsidR="008608C5" w:rsidRDefault="008608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</w:p>
    <w:p w14:paraId="00000016" w14:textId="77777777" w:rsidR="008608C5" w:rsidRDefault="006D7A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Zhu, Y.; Chen, L.; Ji, H.; Xi, M.; Fang, Y.; Li, Y. The risk and prevention of novel coronavirus pneumonia infections among inpatients in psychiatric hospitals.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Neurosci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. Bull. 2020, 36, 299–302.</w:t>
      </w:r>
    </w:p>
    <w:p w14:paraId="00000017" w14:textId="77777777" w:rsidR="008608C5" w:rsidRDefault="006D7A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hyperlink r:id="rId11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https://pubmed.ncbi.nlm.nih.gov/32096116/</w:t>
        </w:r>
      </w:hyperlink>
    </w:p>
    <w:p w14:paraId="00000018" w14:textId="77777777" w:rsidR="008608C5" w:rsidRDefault="008608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</w:p>
    <w:p w14:paraId="00000019" w14:textId="77777777" w:rsidR="008608C5" w:rsidRDefault="006D7A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360"/>
        <w:rPr>
          <w:sz w:val="24"/>
          <w:szCs w:val="24"/>
        </w:rPr>
      </w:pP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Tahamtan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, A.;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Ardebili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, A. Real-time RT-PCR in COVID-19 detection: Issues affecting the results. Expert Rev. Mol. Diagn. 2020, 20, 453–454.</w:t>
      </w:r>
    </w:p>
    <w:p w14:paraId="0000001A" w14:textId="77777777" w:rsidR="008608C5" w:rsidRDefault="006D7A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44"/>
        <w:rPr>
          <w:rFonts w:ascii="Arial" w:eastAsia="Arial" w:hAnsi="Arial" w:cs="Arial"/>
          <w:color w:val="222222"/>
          <w:sz w:val="24"/>
          <w:szCs w:val="24"/>
        </w:rPr>
      </w:pPr>
      <w:hyperlink r:id="rId12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https://pubmed.ncbi.nlm.nih.gov/32297805/</w:t>
        </w:r>
      </w:hyperlink>
    </w:p>
    <w:p w14:paraId="0000001B" w14:textId="77777777" w:rsidR="008608C5" w:rsidRDefault="008608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44"/>
        <w:rPr>
          <w:rFonts w:ascii="Arial" w:eastAsia="Arial" w:hAnsi="Arial" w:cs="Arial"/>
          <w:color w:val="222222"/>
          <w:sz w:val="24"/>
          <w:szCs w:val="24"/>
        </w:rPr>
      </w:pPr>
    </w:p>
    <w:p w14:paraId="0000001C" w14:textId="77777777" w:rsidR="008608C5" w:rsidRDefault="006D7A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Manta, C.; J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ain, S.S.;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Coravos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, A.; Mendelsohn, D.;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Izmailova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, E.S. An Evaluation of Biometric Monitoring Technologies for Vital Signs in the Era of COVID-19. Clin.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Transl.Sci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. 2020, 13, 1034–1044.</w:t>
      </w:r>
    </w:p>
    <w:p w14:paraId="0000001D" w14:textId="77777777" w:rsidR="008608C5" w:rsidRDefault="006D7A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44"/>
        <w:rPr>
          <w:rFonts w:ascii="Arial" w:eastAsia="Arial" w:hAnsi="Arial" w:cs="Arial"/>
          <w:color w:val="222222"/>
          <w:sz w:val="24"/>
          <w:szCs w:val="24"/>
        </w:rPr>
      </w:pPr>
      <w:hyperlink r:id="rId13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https://p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ubmed.ncbi.nlm.nih.gov/32866314/</w:t>
        </w:r>
      </w:hyperlink>
    </w:p>
    <w:p w14:paraId="0000001E" w14:textId="77777777" w:rsidR="008608C5" w:rsidRDefault="008608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8608C5" w:rsidRDefault="008608C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bookmarkStart w:id="1" w:name="_GoBack"/>
      <w:bookmarkEnd w:id="1"/>
    </w:p>
    <w:sectPr w:rsidR="008608C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B4DCE"/>
    <w:multiLevelType w:val="multilevel"/>
    <w:tmpl w:val="45D80246"/>
    <w:lvl w:ilvl="0">
      <w:start w:val="1"/>
      <w:numFmt w:val="decimal"/>
      <w:lvlText w:val="%1)"/>
      <w:lvlJc w:val="left"/>
      <w:pPr>
        <w:ind w:left="644" w:hanging="359"/>
      </w:pPr>
      <w:rPr>
        <w:rFonts w:ascii="Arial" w:eastAsia="Arial" w:hAnsi="Arial" w:cs="Arial"/>
        <w:color w:val="2222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8C5"/>
    <w:rsid w:val="006D7A36"/>
    <w:rsid w:val="0086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2CB0"/>
  <w15:docId w15:val="{AD4234A4-7506-40CD-A470-646706E8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7521006" TargetMode="External"/><Relationship Id="rId13" Type="http://schemas.openxmlformats.org/officeDocument/2006/relationships/hyperlink" Target="https://pubmed.ncbi.nlm.nih.gov/3286631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7380571" TargetMode="External"/><Relationship Id="rId12" Type="http://schemas.openxmlformats.org/officeDocument/2006/relationships/hyperlink" Target="https://pubmed.ncbi.nlm.nih.gov/3229780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7725378" TargetMode="External"/><Relationship Id="rId11" Type="http://schemas.openxmlformats.org/officeDocument/2006/relationships/hyperlink" Target="https://pubmed.ncbi.nlm.nih.gov/32096116/" TargetMode="External"/><Relationship Id="rId5" Type="http://schemas.openxmlformats.org/officeDocument/2006/relationships/hyperlink" Target="https://ieeexplore.ieee.org/document/791802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eeexplore.ieee.org/document/92164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908593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Gholap</cp:lastModifiedBy>
  <cp:revision>2</cp:revision>
  <dcterms:created xsi:type="dcterms:W3CDTF">2022-05-08T06:35:00Z</dcterms:created>
  <dcterms:modified xsi:type="dcterms:W3CDTF">2022-05-08T06:35:00Z</dcterms:modified>
</cp:coreProperties>
</file>