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5.png" ContentType="image/png"/>
  <Override PartName="/word/media/rId38.png" ContentType="image/png"/>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Macroeconomics 1 Group Presentation</w:t>
      </w:r>
    </w:p>
    <w:p>
      <w:pPr>
        <w:pStyle w:val="Author"/>
      </w:pPr>
      <w:r>
        <w:t xml:space="preserve">Group C4</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echo =</w:t>
      </w:r>
      <w:r>
        <w:rPr>
          <w:rStyle w:val="NormalTok"/>
        </w:rPr>
        <w:t xml:space="preserve"> </w:t>
      </w:r>
      <w:r>
        <w:rPr>
          <w:rStyle w:val="ConstantTok"/>
        </w:rPr>
        <w:t xml:space="preserve">FALSE</w:t>
      </w:r>
      <w:r>
        <w:rPr>
          <w:rStyle w:val="NormalTok"/>
        </w:rPr>
        <w:t xml:space="preserve">)</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message =</w:t>
      </w:r>
      <w:r>
        <w:rPr>
          <w:rStyle w:val="NormalTok"/>
        </w:rPr>
        <w:t xml:space="preserve"> </w:t>
      </w:r>
      <w:r>
        <w:rPr>
          <w:rStyle w:val="ConstantTok"/>
        </w:rPr>
        <w:t xml:space="preserve">FALSE</w:t>
      </w:r>
      <w:r>
        <w:rPr>
          <w:rStyle w:val="NormalTok"/>
        </w:rPr>
        <w:t xml:space="preserve">)</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FunctionTok"/>
        </w:rPr>
        <w:t xml:space="preserve">library</w:t>
      </w:r>
      <w:r>
        <w:rPr>
          <w:rStyle w:val="NormalTok"/>
        </w:rPr>
        <w:t xml:space="preserve">(tidyverse)</w:t>
      </w:r>
    </w:p>
    <w:p>
      <w:pPr>
        <w:pStyle w:val="SourceCode"/>
      </w:pPr>
      <w:r>
        <w:rPr>
          <w:rStyle w:val="VerbatimChar"/>
        </w:rPr>
        <w:t xml:space="preserve">## Warning: package 'ggplot2' was built under R version 4.4.3</w:t>
      </w:r>
    </w:p>
    <w:p>
      <w:pPr>
        <w:pStyle w:val="SourceCode"/>
      </w:pPr>
      <w:r>
        <w:rPr>
          <w:rStyle w:val="VerbatimChar"/>
        </w:rPr>
        <w:t xml:space="preserve">## Warning: package 'readr' was built under R version 4.4.3</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(ggpubr)</w:t>
      </w:r>
      <w:r>
        <w:br/>
      </w:r>
      <w:r>
        <w:rPr>
          <w:rStyle w:val="FunctionTok"/>
        </w:rPr>
        <w:t xml:space="preserve">library</w:t>
      </w:r>
      <w:r>
        <w:rPr>
          <w:rStyle w:val="NormalTok"/>
        </w:rPr>
        <w:t xml:space="preserve">(knitr)</w:t>
      </w:r>
    </w:p>
    <w:bookmarkStart w:id="41" w:name="question-2"/>
    <w:p>
      <w:pPr>
        <w:pStyle w:val="Heading1"/>
      </w:pPr>
      <w:r>
        <w:t xml:space="preserve">Question 2</w:t>
      </w:r>
    </w:p>
    <w:p>
      <w:pPr>
        <w:pStyle w:val="FirstParagraph"/>
      </w:pPr>
      <w:r>
        <w:drawing>
          <wp:inline>
            <wp:extent cx="5334000" cy="4267200"/>
            <wp:effectExtent b="0" l="0" r="0" t="0"/>
            <wp:docPr descr="" title="" id="21" name="Picture"/>
            <a:graphic>
              <a:graphicData uri="http://schemas.openxmlformats.org/drawingml/2006/picture">
                <pic:pic>
                  <pic:nvPicPr>
                    <pic:cNvPr descr="macro_groupwork_files/figure-docx/question%202-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24" name="Picture"/>
            <a:graphic>
              <a:graphicData uri="http://schemas.openxmlformats.org/drawingml/2006/picture">
                <pic:pic>
                  <pic:nvPicPr>
                    <pic:cNvPr descr="macro_groupwork_files/figure-docx/question%202-2.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27" name="Picture"/>
            <a:graphic>
              <a:graphicData uri="http://schemas.openxmlformats.org/drawingml/2006/picture">
                <pic:pic>
                  <pic:nvPicPr>
                    <pic:cNvPr descr="macro_groupwork_files/figure-docx/question%202-3.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30" name="Picture"/>
            <a:graphic>
              <a:graphicData uri="http://schemas.openxmlformats.org/drawingml/2006/picture">
                <pic:pic>
                  <pic:nvPicPr>
                    <pic:cNvPr descr="macro_groupwork_files/figure-docx/question%202-4.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From the previous 4 graphs, we can primarily see the following happened in Ireland:</w:t>
      </w:r>
    </w:p>
    <w:p>
      <w:pPr>
        <w:pStyle w:val="Compact"/>
        <w:numPr>
          <w:ilvl w:val="0"/>
          <w:numId w:val="1001"/>
        </w:numPr>
      </w:pPr>
      <w:r>
        <w:t xml:space="preserve">There is a constant increasing rate in population and HCI growth rate;</w:t>
      </w:r>
    </w:p>
    <w:p>
      <w:pPr>
        <w:pStyle w:val="Compact"/>
        <w:numPr>
          <w:ilvl w:val="0"/>
          <w:numId w:val="1001"/>
        </w:numPr>
      </w:pPr>
      <w:r>
        <w:t xml:space="preserve">There is a higher falling rate in average working hours in the earlier period (1970-2000) than in the later period (2000-2021);</w:t>
      </w:r>
    </w:p>
    <w:p>
      <w:pPr>
        <w:pStyle w:val="Compact"/>
        <w:numPr>
          <w:ilvl w:val="0"/>
          <w:numId w:val="1001"/>
        </w:numPr>
      </w:pPr>
      <w:r>
        <w:t xml:space="preserve">There is a higher TFP growth rate in the earlier period (1970-2000), nd remained high and fluctuated in the later period;</w:t>
      </w:r>
    </w:p>
    <w:p>
      <w:pPr>
        <w:pStyle w:val="Compact"/>
        <w:numPr>
          <w:ilvl w:val="0"/>
          <w:numId w:val="1001"/>
        </w:numPr>
      </w:pPr>
      <w:r>
        <w:t xml:space="preserve">Capital stock is rising approximately at the same rate as GDP, while capital stock is not as responsive to the fall in GDP, which suggest that there could be some lags in the adjustment of capital stock to changes in GDP.</w:t>
      </w:r>
    </w:p>
    <w:p>
      <w:pPr>
        <w:pStyle w:val="Compact"/>
        <w:numPr>
          <w:ilvl w:val="0"/>
          <w:numId w:val="1001"/>
        </w:numPr>
      </w:pPr>
      <w:r>
        <w:t xml:space="preserve">After 2015, the depreciation rate rise dramatically.</w:t>
      </w:r>
    </w:p>
    <w:p>
      <w:pPr>
        <w:pStyle w:val="FirstParagraph"/>
      </w:pPr>
      <w:r>
        <w:t xml:space="preserve">Then we want to see how accurate was the Solow model in estimating the GDP in Ireland.</w:t>
      </w:r>
    </w:p>
    <w:p>
      <w:pPr>
        <w:pStyle w:val="BodyText"/>
      </w:pPr>
      <w:r>
        <w:t xml:space="preserve">We note that in Solow Model</w:t>
      </w:r>
    </w:p>
    <w:p>
      <w:pPr>
        <w:pStyle w:val="BodyText"/>
      </w:pPr>
      <m:oMathPara>
        <m:oMathParaPr>
          <m:jc m:val="center"/>
        </m:oMathParaPr>
        <m:oMath>
          <m:sSub>
            <m:e>
              <m:r>
                <m:t>y</m:t>
              </m:r>
            </m:e>
            <m:sub>
              <m:r>
                <m:t>t</m:t>
              </m:r>
            </m:sub>
          </m:sSub>
          <m:r>
            <m:rPr>
              <m:sty m:val="p"/>
            </m:rPr>
            <m:t>=</m:t>
          </m:r>
          <m:acc>
            <m:accPr>
              <m:chr m:val="‾"/>
            </m:accPr>
            <m:e>
              <m:r>
                <m:t>A</m:t>
              </m:r>
            </m:e>
          </m:acc>
          <m:sSup>
            <m:e>
              <m:r>
                <m:t>k</m:t>
              </m:r>
            </m:e>
            <m:sup>
              <m:r>
                <m:t>α</m:t>
              </m:r>
            </m:sup>
          </m:sSup>
        </m:oMath>
      </m:oMathPara>
    </w:p>
    <w:p>
      <w:pPr>
        <w:pStyle w:val="FirstParagraph"/>
      </w:pPr>
      <w:r>
        <w:t xml:space="preserve">so we would like to name a new variable y* to estimate the predicted per capita</w:t>
      </w:r>
      <w:r>
        <w:t xml:space="preserve"> </w:t>
      </w:r>
      <w:r>
        <w:t xml:space="preserve">output level by the Solow model.</w:t>
      </w:r>
    </w:p>
    <w:p>
      <w:pPr>
        <w:pStyle w:val="BodyText"/>
      </w:pPr>
      <w:r>
        <w:drawing>
          <wp:inline>
            <wp:extent cx="5334000" cy="4267200"/>
            <wp:effectExtent b="0" l="0" r="0" t="0"/>
            <wp:docPr descr="" title="" id="33" name="Picture"/>
            <a:graphic>
              <a:graphicData uri="http://schemas.openxmlformats.org/drawingml/2006/picture">
                <pic:pic>
                  <pic:nvPicPr>
                    <pic:cNvPr descr="macro_groupwork_files/figure-docx/Solow%20Model-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above graph shows that the Solow model with</w:t>
      </w:r>
      <w:r>
        <w:t xml:space="preserve"> </w:t>
      </w:r>
      <m:oMath>
        <m:r>
          <m:t>α</m:t>
        </m:r>
        <m:r>
          <m:rPr>
            <m:sty m:val="p"/>
          </m:rPr>
          <m:t>=</m:t>
        </m:r>
        <m:r>
          <m:t>0.43</m:t>
        </m:r>
      </m:oMath>
      <w:r>
        <w:t xml:space="preserve"> </w:t>
      </w:r>
      <w:r>
        <w:t xml:space="preserve">is a good estimation</w:t>
      </w:r>
      <w:r>
        <w:t xml:space="preserve"> </w:t>
      </w:r>
      <w:r>
        <w:t xml:space="preserve">of the actual per capita GDP during 1970 to around 2015, while the model with</w:t>
      </w:r>
      <w:r>
        <w:t xml:space="preserve"> </w:t>
      </w:r>
      <m:oMath>
        <m:r>
          <m:t>α</m:t>
        </m:r>
        <m:r>
          <m:rPr>
            <m:sty m:val="p"/>
          </m:rPr>
          <m:t>=</m:t>
        </m:r>
        <m:r>
          <m:t>0.44</m:t>
        </m:r>
      </m:oMath>
      <w:r>
        <w:t xml:space="preserve"> </w:t>
      </w:r>
      <w:r>
        <w:t xml:space="preserve">well estimated the actual per capita GDP from around 2020 onwards. however, the model fell to capture some short term fluctuations in the actual per capita GDP, such as 2000-2010 and 2015-2020. This may be due to a rapid improvement in technology or a rapid increase in capital stock during these periods, which are not explained by the Solow model.</w:t>
      </w:r>
    </w:p>
    <w:p>
      <w:pPr>
        <w:pStyle w:val="BodyText"/>
      </w:pPr>
      <w:r>
        <w:t xml:space="preserve">We then find the contribution of capital and TFP to the growth of the per capita GDP growth. We use</w:t>
      </w:r>
      <w:r>
        <w:t xml:space="preserve"> </w:t>
      </w:r>
      <m:oMath>
        <m:r>
          <m:t>α</m:t>
        </m:r>
        <m:r>
          <m:rPr>
            <m:sty m:val="p"/>
          </m:rPr>
          <m:t>=</m:t>
        </m:r>
        <m:r>
          <m:t>0.43</m:t>
        </m:r>
      </m:oMath>
      <w:r>
        <w:t xml:space="preserve"> </w:t>
      </w:r>
      <w:r>
        <w:t xml:space="preserve">for 1970-2015, and</w:t>
      </w:r>
      <w:r>
        <w:t xml:space="preserve"> </w:t>
      </w:r>
      <m:oMath>
        <m:r>
          <m:t>α</m:t>
        </m:r>
        <m:r>
          <m:rPr>
            <m:sty m:val="p"/>
          </m:rPr>
          <m:t>=</m:t>
        </m:r>
        <m:r>
          <m:t>0.44</m:t>
        </m:r>
      </m:oMath>
      <w:r>
        <w:t xml:space="preserve"> </w:t>
      </w:r>
      <w:r>
        <w:t xml:space="preserve">for the following period.</w:t>
      </w:r>
    </w:p>
    <w:p>
      <w:pPr>
        <w:pStyle w:val="BodyText"/>
      </w:pPr>
      <w:r>
        <w:drawing>
          <wp:inline>
            <wp:extent cx="5334000" cy="4267200"/>
            <wp:effectExtent b="0" l="0" r="0" t="0"/>
            <wp:docPr descr="" title="" id="36" name="Picture"/>
            <a:graphic>
              <a:graphicData uri="http://schemas.openxmlformats.org/drawingml/2006/picture">
                <pic:pic>
                  <pic:nvPicPr>
                    <pic:cNvPr descr="macro_groupwork_files/figure-docx/growth%20accounting-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r>
        <w:drawing>
          <wp:inline>
            <wp:extent cx="5334000" cy="4267200"/>
            <wp:effectExtent b="0" l="0" r="0" t="0"/>
            <wp:docPr descr="" title="" id="39" name="Picture"/>
            <a:graphic>
              <a:graphicData uri="http://schemas.openxmlformats.org/drawingml/2006/picture">
                <pic:pic>
                  <pic:nvPicPr>
                    <pic:cNvPr descr="macro_groupwork_files/figure-docx/growth%20accounting-2.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TableCaption"/>
      </w:pPr>
      <w:r>
        <w:t xml:space="preserve">Growth Accounting for Ireland (1970-2021)</w:t>
      </w:r>
    </w:p>
    <w:tbl>
      <w:tblPr>
        <w:tblStyle w:val="Table"/>
        <w:tblW w:type="pct" w:w="5000"/>
        <w:tblLayout w:type="fixed"/>
        <w:tblLook w:firstRow="1" w:lastRow="0" w:firstColumn="0" w:lastColumn="0" w:noHBand="0" w:noVBand="0" w:val="0020"/>
        <w:tblCaption w:val="Growth Accounting for Ireland (1970-2021)"/>
      </w:tblPr>
      <w:tblGrid>
        <w:gridCol w:w="501"/>
        <w:gridCol w:w="1503"/>
        <w:gridCol w:w="1804"/>
        <w:gridCol w:w="1102"/>
        <w:gridCol w:w="1403"/>
        <w:gridCol w:w="1604"/>
      </w:tblGrid>
      <w:tr>
        <w:trPr>
          <w:tblHeader w:val="on"/>
        </w:trPr>
        <w:tc>
          <w:tcPr/>
          <w:p>
            <w:pPr>
              <w:pStyle w:val="Compact"/>
              <w:jc w:val="right"/>
            </w:pPr>
            <w:r>
              <w:t xml:space="preserve">year</w:t>
            </w:r>
          </w:p>
        </w:tc>
        <w:tc>
          <w:tcPr/>
          <w:p>
            <w:pPr>
              <w:pStyle w:val="Compact"/>
              <w:jc w:val="right"/>
            </w:pPr>
            <w:r>
              <w:t xml:space="preserve">growth_capital</w:t>
            </w:r>
          </w:p>
        </w:tc>
        <w:tc>
          <w:tcPr/>
          <w:p>
            <w:pPr>
              <w:pStyle w:val="Compact"/>
              <w:jc w:val="right"/>
            </w:pPr>
            <w:r>
              <w:t xml:space="preserve">growth_population</w:t>
            </w:r>
          </w:p>
        </w:tc>
        <w:tc>
          <w:tcPr/>
          <w:p>
            <w:pPr>
              <w:pStyle w:val="Compact"/>
              <w:jc w:val="right"/>
            </w:pPr>
            <w:r>
              <w:t xml:space="preserve">growth_tfp</w:t>
            </w:r>
          </w:p>
        </w:tc>
        <w:tc>
          <w:tcPr/>
          <w:p>
            <w:pPr>
              <w:pStyle w:val="Compact"/>
              <w:jc w:val="right"/>
            </w:pPr>
            <w:r>
              <w:t xml:space="preserve">growth_output</w:t>
            </w:r>
          </w:p>
        </w:tc>
        <w:tc>
          <w:tcPr/>
          <w:p>
            <w:pPr>
              <w:pStyle w:val="Compact"/>
              <w:jc w:val="left"/>
            </w:pPr>
            <w:r>
              <w:t xml:space="preserve">max_contributor</w:t>
            </w:r>
          </w:p>
        </w:tc>
      </w:tr>
      <w:tr>
        <w:tc>
          <w:tcPr/>
          <w:p>
            <w:pPr>
              <w:pStyle w:val="Compact"/>
              <w:jc w:val="right"/>
            </w:pPr>
            <w:r>
              <w:t xml:space="preserve">1971</w:t>
            </w:r>
          </w:p>
        </w:tc>
        <w:tc>
          <w:tcPr/>
          <w:p>
            <w:pPr>
              <w:pStyle w:val="Compact"/>
              <w:jc w:val="right"/>
            </w:pPr>
            <w:r>
              <w:t xml:space="preserve">2.88</w:t>
            </w:r>
          </w:p>
        </w:tc>
        <w:tc>
          <w:tcPr/>
          <w:p>
            <w:pPr>
              <w:pStyle w:val="Compact"/>
              <w:jc w:val="right"/>
            </w:pPr>
            <w:r>
              <w:t xml:space="preserve">0.62</w:t>
            </w:r>
          </w:p>
        </w:tc>
        <w:tc>
          <w:tcPr/>
          <w:p>
            <w:pPr>
              <w:pStyle w:val="Compact"/>
              <w:jc w:val="right"/>
            </w:pPr>
            <w:r>
              <w:t xml:space="preserve">0.08</w:t>
            </w:r>
          </w:p>
        </w:tc>
        <w:tc>
          <w:tcPr/>
          <w:p>
            <w:pPr>
              <w:pStyle w:val="Compact"/>
              <w:jc w:val="right"/>
            </w:pPr>
            <w:r>
              <w:t xml:space="preserve">3.47</w:t>
            </w:r>
          </w:p>
        </w:tc>
        <w:tc>
          <w:tcPr/>
          <w:p>
            <w:pPr>
              <w:pStyle w:val="Compact"/>
              <w:jc w:val="left"/>
            </w:pPr>
            <w:r>
              <w:t xml:space="preserve">growth_capital</w:t>
            </w:r>
          </w:p>
        </w:tc>
      </w:tr>
      <w:tr>
        <w:tc>
          <w:tcPr/>
          <w:p>
            <w:pPr>
              <w:pStyle w:val="Compact"/>
              <w:jc w:val="right"/>
            </w:pPr>
            <w:r>
              <w:t xml:space="preserve">1975</w:t>
            </w:r>
          </w:p>
        </w:tc>
        <w:tc>
          <w:tcPr/>
          <w:p>
            <w:pPr>
              <w:pStyle w:val="Compact"/>
              <w:jc w:val="right"/>
            </w:pPr>
            <w:r>
              <w:t xml:space="preserve">1.87</w:t>
            </w:r>
          </w:p>
        </w:tc>
        <w:tc>
          <w:tcPr/>
          <w:p>
            <w:pPr>
              <w:pStyle w:val="Compact"/>
              <w:jc w:val="right"/>
            </w:pPr>
            <w:r>
              <w:t xml:space="preserve">0.87</w:t>
            </w:r>
          </w:p>
        </w:tc>
        <w:tc>
          <w:tcPr/>
          <w:p>
            <w:pPr>
              <w:pStyle w:val="Compact"/>
              <w:jc w:val="right"/>
            </w:pPr>
            <w:r>
              <w:t xml:space="preserve">4.57</w:t>
            </w:r>
          </w:p>
        </w:tc>
        <w:tc>
          <w:tcPr/>
          <w:p>
            <w:pPr>
              <w:pStyle w:val="Compact"/>
              <w:jc w:val="right"/>
            </w:pPr>
            <w:r>
              <w:t xml:space="preserve">5.66</w:t>
            </w:r>
          </w:p>
        </w:tc>
        <w:tc>
          <w:tcPr/>
          <w:p>
            <w:pPr>
              <w:pStyle w:val="Compact"/>
              <w:jc w:val="left"/>
            </w:pPr>
            <w:r>
              <w:t xml:space="preserve">growth_tfp</w:t>
            </w:r>
          </w:p>
        </w:tc>
      </w:tr>
      <w:tr>
        <w:tc>
          <w:tcPr/>
          <w:p>
            <w:pPr>
              <w:pStyle w:val="Compact"/>
              <w:jc w:val="right"/>
            </w:pPr>
            <w:r>
              <w:t xml:space="preserve">1980</w:t>
            </w:r>
          </w:p>
        </w:tc>
        <w:tc>
          <w:tcPr/>
          <w:p>
            <w:pPr>
              <w:pStyle w:val="Compact"/>
              <w:jc w:val="right"/>
            </w:pPr>
            <w:r>
              <w:t xml:space="preserve">2.47</w:t>
            </w:r>
          </w:p>
        </w:tc>
        <w:tc>
          <w:tcPr/>
          <w:p>
            <w:pPr>
              <w:pStyle w:val="Compact"/>
              <w:jc w:val="right"/>
            </w:pPr>
            <w:r>
              <w:t xml:space="preserve">0.66</w:t>
            </w:r>
          </w:p>
        </w:tc>
        <w:tc>
          <w:tcPr/>
          <w:p>
            <w:pPr>
              <w:pStyle w:val="Compact"/>
              <w:jc w:val="right"/>
            </w:pPr>
            <w:r>
              <w:t xml:space="preserve">2.31</w:t>
            </w:r>
          </w:p>
        </w:tc>
        <w:tc>
          <w:tcPr/>
          <w:p>
            <w:pPr>
              <w:pStyle w:val="Compact"/>
              <w:jc w:val="right"/>
            </w:pPr>
            <w:r>
              <w:t xml:space="preserve">3.08</w:t>
            </w:r>
          </w:p>
        </w:tc>
        <w:tc>
          <w:tcPr/>
          <w:p>
            <w:pPr>
              <w:pStyle w:val="Compact"/>
              <w:jc w:val="left"/>
            </w:pPr>
            <w:r>
              <w:t xml:space="preserve">growth_capital</w:t>
            </w:r>
          </w:p>
        </w:tc>
      </w:tr>
      <w:tr>
        <w:tc>
          <w:tcPr/>
          <w:p>
            <w:pPr>
              <w:pStyle w:val="Compact"/>
              <w:jc w:val="right"/>
            </w:pPr>
            <w:r>
              <w:t xml:space="preserve">1985</w:t>
            </w:r>
          </w:p>
        </w:tc>
        <w:tc>
          <w:tcPr/>
          <w:p>
            <w:pPr>
              <w:pStyle w:val="Compact"/>
              <w:jc w:val="right"/>
            </w:pPr>
            <w:r>
              <w:t xml:space="preserve">0.92</w:t>
            </w:r>
          </w:p>
        </w:tc>
        <w:tc>
          <w:tcPr/>
          <w:p>
            <w:pPr>
              <w:pStyle w:val="Compact"/>
              <w:jc w:val="right"/>
            </w:pPr>
            <w:r>
              <w:t xml:space="preserve">0.24</w:t>
            </w:r>
          </w:p>
        </w:tc>
        <w:tc>
          <w:tcPr/>
          <w:p>
            <w:pPr>
              <w:pStyle w:val="Compact"/>
              <w:jc w:val="right"/>
            </w:pPr>
            <w:r>
              <w:t xml:space="preserve">2.05</w:t>
            </w:r>
          </w:p>
        </w:tc>
        <w:tc>
          <w:tcPr/>
          <w:p>
            <w:pPr>
              <w:pStyle w:val="Compact"/>
              <w:jc w:val="right"/>
            </w:pPr>
            <w:r>
              <w:t xml:space="preserve">3.08</w:t>
            </w:r>
          </w:p>
        </w:tc>
        <w:tc>
          <w:tcPr/>
          <w:p>
            <w:pPr>
              <w:pStyle w:val="Compact"/>
              <w:jc w:val="left"/>
            </w:pPr>
            <w:r>
              <w:t xml:space="preserve">growth_tfp</w:t>
            </w:r>
          </w:p>
        </w:tc>
      </w:tr>
      <w:tr>
        <w:tc>
          <w:tcPr/>
          <w:p>
            <w:pPr>
              <w:pStyle w:val="Compact"/>
              <w:jc w:val="right"/>
            </w:pPr>
            <w:r>
              <w:t xml:space="preserve">1990</w:t>
            </w:r>
          </w:p>
        </w:tc>
        <w:tc>
          <w:tcPr/>
          <w:p>
            <w:pPr>
              <w:pStyle w:val="Compact"/>
              <w:jc w:val="right"/>
            </w:pPr>
            <w:r>
              <w:t xml:space="preserve">1.53</w:t>
            </w:r>
          </w:p>
        </w:tc>
        <w:tc>
          <w:tcPr/>
          <w:p>
            <w:pPr>
              <w:pStyle w:val="Compact"/>
              <w:jc w:val="right"/>
            </w:pPr>
            <w:r>
              <w:t xml:space="preserve">0.05</w:t>
            </w:r>
          </w:p>
        </w:tc>
        <w:tc>
          <w:tcPr/>
          <w:p>
            <w:pPr>
              <w:pStyle w:val="Compact"/>
              <w:jc w:val="right"/>
            </w:pPr>
            <w:r>
              <w:t xml:space="preserve">4.08</w:t>
            </w:r>
          </w:p>
        </w:tc>
        <w:tc>
          <w:tcPr/>
          <w:p>
            <w:pPr>
              <w:pStyle w:val="Compact"/>
              <w:jc w:val="right"/>
            </w:pPr>
            <w:r>
              <w:t xml:space="preserve">8.54</w:t>
            </w:r>
          </w:p>
        </w:tc>
        <w:tc>
          <w:tcPr/>
          <w:p>
            <w:pPr>
              <w:pStyle w:val="Compact"/>
              <w:jc w:val="left"/>
            </w:pPr>
            <w:r>
              <w:t xml:space="preserve">growth_tfp</w:t>
            </w:r>
          </w:p>
        </w:tc>
      </w:tr>
      <w:tr>
        <w:tc>
          <w:tcPr/>
          <w:p>
            <w:pPr>
              <w:pStyle w:val="Compact"/>
              <w:jc w:val="right"/>
            </w:pPr>
            <w:r>
              <w:t xml:space="preserve">1995</w:t>
            </w:r>
          </w:p>
        </w:tc>
        <w:tc>
          <w:tcPr/>
          <w:p>
            <w:pPr>
              <w:pStyle w:val="Compact"/>
              <w:jc w:val="right"/>
            </w:pPr>
            <w:r>
              <w:t xml:space="preserve">1.67</w:t>
            </w:r>
          </w:p>
        </w:tc>
        <w:tc>
          <w:tcPr/>
          <w:p>
            <w:pPr>
              <w:pStyle w:val="Compact"/>
              <w:jc w:val="right"/>
            </w:pPr>
            <w:r>
              <w:t xml:space="preserve">0.33</w:t>
            </w:r>
          </w:p>
        </w:tc>
        <w:tc>
          <w:tcPr/>
          <w:p>
            <w:pPr>
              <w:pStyle w:val="Compact"/>
              <w:jc w:val="right"/>
            </w:pPr>
            <w:r>
              <w:t xml:space="preserve">4.93</w:t>
            </w:r>
          </w:p>
        </w:tc>
        <w:tc>
          <w:tcPr/>
          <w:p>
            <w:pPr>
              <w:pStyle w:val="Compact"/>
              <w:jc w:val="right"/>
            </w:pPr>
            <w:r>
              <w:t xml:space="preserve">9.58</w:t>
            </w:r>
          </w:p>
        </w:tc>
        <w:tc>
          <w:tcPr/>
          <w:p>
            <w:pPr>
              <w:pStyle w:val="Compact"/>
              <w:jc w:val="left"/>
            </w:pPr>
            <w:r>
              <w:t xml:space="preserve">growth_tfp</w:t>
            </w:r>
          </w:p>
        </w:tc>
      </w:tr>
      <w:tr>
        <w:tc>
          <w:tcPr/>
          <w:p>
            <w:pPr>
              <w:pStyle w:val="Compact"/>
              <w:jc w:val="right"/>
            </w:pPr>
            <w:r>
              <w:t xml:space="preserve">2000</w:t>
            </w:r>
          </w:p>
        </w:tc>
        <w:tc>
          <w:tcPr/>
          <w:p>
            <w:pPr>
              <w:pStyle w:val="Compact"/>
              <w:jc w:val="right"/>
            </w:pPr>
            <w:r>
              <w:t xml:space="preserve">2.90</w:t>
            </w:r>
          </w:p>
        </w:tc>
        <w:tc>
          <w:tcPr/>
          <w:p>
            <w:pPr>
              <w:pStyle w:val="Compact"/>
              <w:jc w:val="right"/>
            </w:pPr>
            <w:r>
              <w:t xml:space="preserve">0.76</w:t>
            </w:r>
          </w:p>
        </w:tc>
        <w:tc>
          <w:tcPr/>
          <w:p>
            <w:pPr>
              <w:pStyle w:val="Compact"/>
              <w:jc w:val="right"/>
            </w:pPr>
            <w:r>
              <w:t xml:space="preserve">3.36</w:t>
            </w:r>
          </w:p>
        </w:tc>
        <w:tc>
          <w:tcPr/>
          <w:p>
            <w:pPr>
              <w:pStyle w:val="Compact"/>
              <w:jc w:val="right"/>
            </w:pPr>
            <w:r>
              <w:t xml:space="preserve">9.41</w:t>
            </w:r>
          </w:p>
        </w:tc>
        <w:tc>
          <w:tcPr/>
          <w:p>
            <w:pPr>
              <w:pStyle w:val="Compact"/>
              <w:jc w:val="left"/>
            </w:pPr>
            <w:r>
              <w:t xml:space="preserve">growth_tfp</w:t>
            </w:r>
          </w:p>
        </w:tc>
      </w:tr>
      <w:tr>
        <w:tc>
          <w:tcPr/>
          <w:p>
            <w:pPr>
              <w:pStyle w:val="Compact"/>
              <w:jc w:val="right"/>
            </w:pPr>
            <w:r>
              <w:t xml:space="preserve">2005</w:t>
            </w:r>
          </w:p>
        </w:tc>
        <w:tc>
          <w:tcPr/>
          <w:p>
            <w:pPr>
              <w:pStyle w:val="Compact"/>
              <w:jc w:val="right"/>
            </w:pPr>
            <w:r>
              <w:t xml:space="preserve">3.33</w:t>
            </w:r>
          </w:p>
        </w:tc>
        <w:tc>
          <w:tcPr/>
          <w:p>
            <w:pPr>
              <w:pStyle w:val="Compact"/>
              <w:jc w:val="right"/>
            </w:pPr>
            <w:r>
              <w:t xml:space="preserve">1.25</w:t>
            </w:r>
          </w:p>
        </w:tc>
        <w:tc>
          <w:tcPr/>
          <w:p>
            <w:pPr>
              <w:pStyle w:val="Compact"/>
              <w:jc w:val="right"/>
            </w:pPr>
            <w:r>
              <w:t xml:space="preserve">-1.04</w:t>
            </w:r>
          </w:p>
        </w:tc>
        <w:tc>
          <w:tcPr/>
          <w:p>
            <w:pPr>
              <w:pStyle w:val="Compact"/>
              <w:jc w:val="right"/>
            </w:pPr>
            <w:r>
              <w:t xml:space="preserve">5.76</w:t>
            </w:r>
          </w:p>
        </w:tc>
        <w:tc>
          <w:tcPr/>
          <w:p>
            <w:pPr>
              <w:pStyle w:val="Compact"/>
              <w:jc w:val="left"/>
            </w:pPr>
            <w:r>
              <w:t xml:space="preserve">growth_capital</w:t>
            </w:r>
          </w:p>
        </w:tc>
      </w:tr>
      <w:tr>
        <w:tc>
          <w:tcPr/>
          <w:p>
            <w:pPr>
              <w:pStyle w:val="Compact"/>
              <w:jc w:val="right"/>
            </w:pPr>
            <w:r>
              <w:t xml:space="preserve">2010</w:t>
            </w:r>
          </w:p>
        </w:tc>
        <w:tc>
          <w:tcPr/>
          <w:p>
            <w:pPr>
              <w:pStyle w:val="Compact"/>
              <w:jc w:val="right"/>
            </w:pPr>
            <w:r>
              <w:t xml:space="preserve">0.67</w:t>
            </w:r>
          </w:p>
        </w:tc>
        <w:tc>
          <w:tcPr/>
          <w:p>
            <w:pPr>
              <w:pStyle w:val="Compact"/>
              <w:jc w:val="right"/>
            </w:pPr>
            <w:r>
              <w:t xml:space="preserve">0.31</w:t>
            </w:r>
          </w:p>
        </w:tc>
        <w:tc>
          <w:tcPr/>
          <w:p>
            <w:pPr>
              <w:pStyle w:val="Compact"/>
              <w:jc w:val="right"/>
            </w:pPr>
            <w:r>
              <w:t xml:space="preserve">2.71</w:t>
            </w:r>
          </w:p>
        </w:tc>
        <w:tc>
          <w:tcPr/>
          <w:p>
            <w:pPr>
              <w:pStyle w:val="Compact"/>
              <w:jc w:val="right"/>
            </w:pPr>
            <w:r>
              <w:t xml:space="preserve">1.70</w:t>
            </w:r>
          </w:p>
        </w:tc>
        <w:tc>
          <w:tcPr/>
          <w:p>
            <w:pPr>
              <w:pStyle w:val="Compact"/>
              <w:jc w:val="left"/>
            </w:pPr>
            <w:r>
              <w:t xml:space="preserve">growth_tfp</w:t>
            </w:r>
          </w:p>
        </w:tc>
      </w:tr>
      <w:tr>
        <w:tc>
          <w:tcPr/>
          <w:p>
            <w:pPr>
              <w:pStyle w:val="Compact"/>
              <w:jc w:val="right"/>
            </w:pPr>
            <w:r>
              <w:t xml:space="preserve">2015</w:t>
            </w:r>
          </w:p>
        </w:tc>
        <w:tc>
          <w:tcPr/>
          <w:p>
            <w:pPr>
              <w:pStyle w:val="Compact"/>
              <w:jc w:val="right"/>
            </w:pPr>
            <w:r>
              <w:t xml:space="preserve">2.68</w:t>
            </w:r>
          </w:p>
        </w:tc>
        <w:tc>
          <w:tcPr/>
          <w:p>
            <w:pPr>
              <w:pStyle w:val="Compact"/>
              <w:jc w:val="right"/>
            </w:pPr>
            <w:r>
              <w:t xml:space="preserve">0.54</w:t>
            </w:r>
          </w:p>
        </w:tc>
        <w:tc>
          <w:tcPr/>
          <w:p>
            <w:pPr>
              <w:pStyle w:val="Compact"/>
              <w:jc w:val="right"/>
            </w:pPr>
            <w:r>
              <w:t xml:space="preserve">16.79</w:t>
            </w:r>
          </w:p>
        </w:tc>
        <w:tc>
          <w:tcPr/>
          <w:p>
            <w:pPr>
              <w:pStyle w:val="Compact"/>
              <w:jc w:val="right"/>
            </w:pPr>
            <w:r>
              <w:t xml:space="preserve">24.62</w:t>
            </w:r>
          </w:p>
        </w:tc>
        <w:tc>
          <w:tcPr/>
          <w:p>
            <w:pPr>
              <w:pStyle w:val="Compact"/>
              <w:jc w:val="left"/>
            </w:pPr>
            <w:r>
              <w:t xml:space="preserve">growth_tfp</w:t>
            </w:r>
          </w:p>
        </w:tc>
      </w:tr>
      <w:tr>
        <w:tc>
          <w:tcPr/>
          <w:p>
            <w:pPr>
              <w:pStyle w:val="Compact"/>
              <w:jc w:val="right"/>
            </w:pPr>
            <w:r>
              <w:t xml:space="preserve">2020</w:t>
            </w:r>
          </w:p>
        </w:tc>
        <w:tc>
          <w:tcPr/>
          <w:p>
            <w:pPr>
              <w:pStyle w:val="Compact"/>
              <w:jc w:val="right"/>
            </w:pPr>
            <w:r>
              <w:t xml:space="preserve">3.60</w:t>
            </w:r>
          </w:p>
        </w:tc>
        <w:tc>
          <w:tcPr/>
          <w:p>
            <w:pPr>
              <w:pStyle w:val="Compact"/>
              <w:jc w:val="right"/>
            </w:pPr>
            <w:r>
              <w:t xml:space="preserve">0.57</w:t>
            </w:r>
          </w:p>
        </w:tc>
        <w:tc>
          <w:tcPr/>
          <w:p>
            <w:pPr>
              <w:pStyle w:val="Compact"/>
              <w:jc w:val="right"/>
            </w:pPr>
            <w:r>
              <w:t xml:space="preserve">3.91</w:t>
            </w:r>
          </w:p>
        </w:tc>
        <w:tc>
          <w:tcPr/>
          <w:p>
            <w:pPr>
              <w:pStyle w:val="Compact"/>
              <w:jc w:val="right"/>
            </w:pPr>
            <w:r>
              <w:t xml:space="preserve">7.15</w:t>
            </w:r>
          </w:p>
        </w:tc>
        <w:tc>
          <w:tcPr/>
          <w:p>
            <w:pPr>
              <w:pStyle w:val="Compact"/>
              <w:jc w:val="left"/>
            </w:pPr>
            <w:r>
              <w:t xml:space="preserve">growth_tfp</w:t>
            </w:r>
          </w:p>
        </w:tc>
      </w:tr>
    </w:tbl>
    <w:p/>
    <w:p>
      <w:pPr>
        <w:pStyle w:val="TableCaption"/>
      </w:pPr>
      <w:r>
        <w:t xml:space="preserve">Per Capita Growth Accounting for Ireland (1970-2021)</w:t>
      </w:r>
    </w:p>
    <w:tbl>
      <w:tblPr>
        <w:tblStyle w:val="Table"/>
        <w:tblW w:type="auto" w:w="0"/>
        <w:tblLook w:firstRow="1" w:lastRow="0" w:firstColumn="0" w:lastColumn="0" w:noHBand="0" w:noVBand="0" w:val="0020"/>
        <w:tblCaption w:val="Per Capita Growth Accounting for Ireland (1970-2021)"/>
      </w:tblPr>
      <w:tblGrid>
        <w:gridCol w:w="1980"/>
        <w:gridCol w:w="1980"/>
        <w:gridCol w:w="1980"/>
        <w:gridCol w:w="1980"/>
      </w:tblGrid>
      <w:tr>
        <w:trPr>
          <w:tblHeader w:val="on"/>
        </w:trPr>
        <w:tc>
          <w:tcPr/>
          <w:p>
            <w:pPr>
              <w:pStyle w:val="Compact"/>
              <w:jc w:val="right"/>
            </w:pPr>
            <w:r>
              <w:t xml:space="preserve">year</w:t>
            </w:r>
          </w:p>
        </w:tc>
        <w:tc>
          <w:tcPr/>
          <w:p>
            <w:pPr>
              <w:pStyle w:val="Compact"/>
              <w:jc w:val="right"/>
            </w:pPr>
            <w:r>
              <w:t xml:space="preserve">growth_capital</w:t>
            </w:r>
          </w:p>
        </w:tc>
        <w:tc>
          <w:tcPr/>
          <w:p>
            <w:pPr>
              <w:pStyle w:val="Compact"/>
              <w:jc w:val="right"/>
            </w:pPr>
            <w:r>
              <w:t xml:space="preserve">growth_tfp</w:t>
            </w:r>
          </w:p>
        </w:tc>
        <w:tc>
          <w:tcPr/>
          <w:p>
            <w:pPr>
              <w:pStyle w:val="Compact"/>
              <w:jc w:val="right"/>
            </w:pPr>
            <w:r>
              <w:t xml:space="preserve">growth_output</w:t>
            </w:r>
          </w:p>
        </w:tc>
      </w:tr>
      <w:tr>
        <w:tc>
          <w:tcPr/>
          <w:p>
            <w:pPr>
              <w:pStyle w:val="Compact"/>
              <w:jc w:val="right"/>
            </w:pPr>
            <w:r>
              <w:t xml:space="preserve">1971</w:t>
            </w:r>
          </w:p>
        </w:tc>
        <w:tc>
          <w:tcPr/>
          <w:p>
            <w:pPr>
              <w:pStyle w:val="Compact"/>
              <w:jc w:val="right"/>
            </w:pPr>
            <w:r>
              <w:t xml:space="preserve">2.39</w:t>
            </w:r>
          </w:p>
        </w:tc>
        <w:tc>
          <w:tcPr/>
          <w:p>
            <w:pPr>
              <w:pStyle w:val="Compact"/>
              <w:jc w:val="right"/>
            </w:pPr>
            <w:r>
              <w:t xml:space="preserve">0.08</w:t>
            </w:r>
          </w:p>
        </w:tc>
        <w:tc>
          <w:tcPr/>
          <w:p>
            <w:pPr>
              <w:pStyle w:val="Compact"/>
              <w:jc w:val="right"/>
            </w:pPr>
            <w:r>
              <w:t xml:space="preserve">2.36</w:t>
            </w:r>
          </w:p>
        </w:tc>
      </w:tr>
      <w:tr>
        <w:tc>
          <w:tcPr/>
          <w:p>
            <w:pPr>
              <w:pStyle w:val="Compact"/>
              <w:jc w:val="right"/>
            </w:pPr>
            <w:r>
              <w:t xml:space="preserve">1975</w:t>
            </w:r>
          </w:p>
        </w:tc>
        <w:tc>
          <w:tcPr/>
          <w:p>
            <w:pPr>
              <w:pStyle w:val="Compact"/>
              <w:jc w:val="right"/>
            </w:pPr>
            <w:r>
              <w:t xml:space="preserve">1.19</w:t>
            </w:r>
          </w:p>
        </w:tc>
        <w:tc>
          <w:tcPr/>
          <w:p>
            <w:pPr>
              <w:pStyle w:val="Compact"/>
              <w:jc w:val="right"/>
            </w:pPr>
            <w:r>
              <w:t xml:space="preserve">4.57</w:t>
            </w:r>
          </w:p>
        </w:tc>
        <w:tc>
          <w:tcPr/>
          <w:p>
            <w:pPr>
              <w:pStyle w:val="Compact"/>
              <w:jc w:val="right"/>
            </w:pPr>
            <w:r>
              <w:t xml:space="preserve">4.10</w:t>
            </w:r>
          </w:p>
        </w:tc>
      </w:tr>
      <w:tr>
        <w:tc>
          <w:tcPr/>
          <w:p>
            <w:pPr>
              <w:pStyle w:val="Compact"/>
              <w:jc w:val="right"/>
            </w:pPr>
            <w:r>
              <w:t xml:space="preserve">1980</w:t>
            </w:r>
          </w:p>
        </w:tc>
        <w:tc>
          <w:tcPr/>
          <w:p>
            <w:pPr>
              <w:pStyle w:val="Compact"/>
              <w:jc w:val="right"/>
            </w:pPr>
            <w:r>
              <w:t xml:space="preserve">1.97</w:t>
            </w:r>
          </w:p>
        </w:tc>
        <w:tc>
          <w:tcPr/>
          <w:p>
            <w:pPr>
              <w:pStyle w:val="Compact"/>
              <w:jc w:val="right"/>
            </w:pPr>
            <w:r>
              <w:t xml:space="preserve">2.31</w:t>
            </w:r>
          </w:p>
        </w:tc>
        <w:tc>
          <w:tcPr/>
          <w:p>
            <w:pPr>
              <w:pStyle w:val="Compact"/>
              <w:jc w:val="right"/>
            </w:pPr>
            <w:r>
              <w:t xml:space="preserve">1.91</w:t>
            </w:r>
          </w:p>
        </w:tc>
      </w:tr>
      <w:tr>
        <w:tc>
          <w:tcPr/>
          <w:p>
            <w:pPr>
              <w:pStyle w:val="Compact"/>
              <w:jc w:val="right"/>
            </w:pPr>
            <w:r>
              <w:t xml:space="preserve">1985</w:t>
            </w:r>
          </w:p>
        </w:tc>
        <w:tc>
          <w:tcPr/>
          <w:p>
            <w:pPr>
              <w:pStyle w:val="Compact"/>
              <w:jc w:val="right"/>
            </w:pPr>
            <w:r>
              <w:t xml:space="preserve">0.76</w:t>
            </w:r>
          </w:p>
        </w:tc>
        <w:tc>
          <w:tcPr/>
          <w:p>
            <w:pPr>
              <w:pStyle w:val="Compact"/>
              <w:jc w:val="right"/>
            </w:pPr>
            <w:r>
              <w:t xml:space="preserve">2.05</w:t>
            </w:r>
          </w:p>
        </w:tc>
        <w:tc>
          <w:tcPr/>
          <w:p>
            <w:pPr>
              <w:pStyle w:val="Compact"/>
              <w:jc w:val="right"/>
            </w:pPr>
            <w:r>
              <w:t xml:space="preserve">2.63</w:t>
            </w:r>
          </w:p>
        </w:tc>
      </w:tr>
      <w:tr>
        <w:tc>
          <w:tcPr/>
          <w:p>
            <w:pPr>
              <w:pStyle w:val="Compact"/>
              <w:jc w:val="right"/>
            </w:pPr>
            <w:r>
              <w:t xml:space="preserve">1990</w:t>
            </w:r>
          </w:p>
        </w:tc>
        <w:tc>
          <w:tcPr/>
          <w:p>
            <w:pPr>
              <w:pStyle w:val="Compact"/>
              <w:jc w:val="right"/>
            </w:pPr>
            <w:r>
              <w:t xml:space="preserve">1.49</w:t>
            </w:r>
          </w:p>
        </w:tc>
        <w:tc>
          <w:tcPr/>
          <w:p>
            <w:pPr>
              <w:pStyle w:val="Compact"/>
              <w:jc w:val="right"/>
            </w:pPr>
            <w:r>
              <w:t xml:space="preserve">4.08</w:t>
            </w:r>
          </w:p>
        </w:tc>
        <w:tc>
          <w:tcPr/>
          <w:p>
            <w:pPr>
              <w:pStyle w:val="Compact"/>
              <w:jc w:val="right"/>
            </w:pPr>
            <w:r>
              <w:t xml:space="preserve">8.45</w:t>
            </w:r>
          </w:p>
        </w:tc>
      </w:tr>
      <w:tr>
        <w:tc>
          <w:tcPr/>
          <w:p>
            <w:pPr>
              <w:pStyle w:val="Compact"/>
              <w:jc w:val="right"/>
            </w:pPr>
            <w:r>
              <w:t xml:space="preserve">1995</w:t>
            </w:r>
          </w:p>
        </w:tc>
        <w:tc>
          <w:tcPr/>
          <w:p>
            <w:pPr>
              <w:pStyle w:val="Compact"/>
              <w:jc w:val="right"/>
            </w:pPr>
            <w:r>
              <w:t xml:space="preserve">1.42</w:t>
            </w:r>
          </w:p>
        </w:tc>
        <w:tc>
          <w:tcPr/>
          <w:p>
            <w:pPr>
              <w:pStyle w:val="Compact"/>
              <w:jc w:val="right"/>
            </w:pPr>
            <w:r>
              <w:t xml:space="preserve">4.93</w:t>
            </w:r>
          </w:p>
        </w:tc>
        <w:tc>
          <w:tcPr/>
          <w:p>
            <w:pPr>
              <w:pStyle w:val="Compact"/>
              <w:jc w:val="right"/>
            </w:pPr>
            <w:r>
              <w:t xml:space="preserve">8.93</w:t>
            </w:r>
          </w:p>
        </w:tc>
      </w:tr>
      <w:tr>
        <w:tc>
          <w:tcPr/>
          <w:p>
            <w:pPr>
              <w:pStyle w:val="Compact"/>
              <w:jc w:val="right"/>
            </w:pPr>
            <w:r>
              <w:t xml:space="preserve">2000</w:t>
            </w:r>
          </w:p>
        </w:tc>
        <w:tc>
          <w:tcPr/>
          <w:p>
            <w:pPr>
              <w:pStyle w:val="Compact"/>
              <w:jc w:val="right"/>
            </w:pPr>
            <w:r>
              <w:t xml:space="preserve">2.29</w:t>
            </w:r>
          </w:p>
        </w:tc>
        <w:tc>
          <w:tcPr/>
          <w:p>
            <w:pPr>
              <w:pStyle w:val="Compact"/>
              <w:jc w:val="right"/>
            </w:pPr>
            <w:r>
              <w:t xml:space="preserve">3.36</w:t>
            </w:r>
          </w:p>
        </w:tc>
        <w:tc>
          <w:tcPr/>
          <w:p>
            <w:pPr>
              <w:pStyle w:val="Compact"/>
              <w:jc w:val="right"/>
            </w:pPr>
            <w:r>
              <w:t xml:space="preserve">7.97</w:t>
            </w:r>
          </w:p>
        </w:tc>
      </w:tr>
      <w:tr>
        <w:tc>
          <w:tcPr/>
          <w:p>
            <w:pPr>
              <w:pStyle w:val="Compact"/>
              <w:jc w:val="right"/>
            </w:pPr>
            <w:r>
              <w:t xml:space="preserve">2005</w:t>
            </w:r>
          </w:p>
        </w:tc>
        <w:tc>
          <w:tcPr/>
          <w:p>
            <w:pPr>
              <w:pStyle w:val="Compact"/>
              <w:jc w:val="right"/>
            </w:pPr>
            <w:r>
              <w:t xml:space="preserve">2.33</w:t>
            </w:r>
          </w:p>
        </w:tc>
        <w:tc>
          <w:tcPr/>
          <w:p>
            <w:pPr>
              <w:pStyle w:val="Compact"/>
              <w:jc w:val="right"/>
            </w:pPr>
            <w:r>
              <w:t xml:space="preserve">-1.04</w:t>
            </w:r>
          </w:p>
        </w:tc>
        <w:tc>
          <w:tcPr/>
          <w:p>
            <w:pPr>
              <w:pStyle w:val="Compact"/>
              <w:jc w:val="right"/>
            </w:pPr>
            <w:r>
              <w:t xml:space="preserve">3.50</w:t>
            </w:r>
          </w:p>
        </w:tc>
      </w:tr>
      <w:tr>
        <w:tc>
          <w:tcPr/>
          <w:p>
            <w:pPr>
              <w:pStyle w:val="Compact"/>
              <w:jc w:val="right"/>
            </w:pPr>
            <w:r>
              <w:t xml:space="preserve">2010</w:t>
            </w:r>
          </w:p>
        </w:tc>
        <w:tc>
          <w:tcPr/>
          <w:p>
            <w:pPr>
              <w:pStyle w:val="Compact"/>
              <w:jc w:val="right"/>
            </w:pPr>
            <w:r>
              <w:t xml:space="preserve">0.42</w:t>
            </w:r>
          </w:p>
        </w:tc>
        <w:tc>
          <w:tcPr/>
          <w:p>
            <w:pPr>
              <w:pStyle w:val="Compact"/>
              <w:jc w:val="right"/>
            </w:pPr>
            <w:r>
              <w:t xml:space="preserve">2.71</w:t>
            </w:r>
          </w:p>
        </w:tc>
        <w:tc>
          <w:tcPr/>
          <w:p>
            <w:pPr>
              <w:pStyle w:val="Compact"/>
              <w:jc w:val="right"/>
            </w:pPr>
            <w:r>
              <w:t xml:space="preserve">1.14</w:t>
            </w:r>
          </w:p>
        </w:tc>
      </w:tr>
      <w:tr>
        <w:tc>
          <w:tcPr/>
          <w:p>
            <w:pPr>
              <w:pStyle w:val="Compact"/>
              <w:jc w:val="right"/>
            </w:pPr>
            <w:r>
              <w:t xml:space="preserve">2015</w:t>
            </w:r>
          </w:p>
        </w:tc>
        <w:tc>
          <w:tcPr/>
          <w:p>
            <w:pPr>
              <w:pStyle w:val="Compact"/>
              <w:jc w:val="right"/>
            </w:pPr>
            <w:r>
              <w:t xml:space="preserve">2.25</w:t>
            </w:r>
          </w:p>
        </w:tc>
        <w:tc>
          <w:tcPr/>
          <w:p>
            <w:pPr>
              <w:pStyle w:val="Compact"/>
              <w:jc w:val="right"/>
            </w:pPr>
            <w:r>
              <w:t xml:space="preserve">16.79</w:t>
            </w:r>
          </w:p>
        </w:tc>
        <w:tc>
          <w:tcPr/>
          <w:p>
            <w:pPr>
              <w:pStyle w:val="Compact"/>
              <w:jc w:val="right"/>
            </w:pPr>
            <w:r>
              <w:t xml:space="preserve">23.46</w:t>
            </w:r>
          </w:p>
        </w:tc>
      </w:tr>
      <w:tr>
        <w:tc>
          <w:tcPr/>
          <w:p>
            <w:pPr>
              <w:pStyle w:val="Compact"/>
              <w:jc w:val="right"/>
            </w:pPr>
            <w:r>
              <w:t xml:space="preserve">2020</w:t>
            </w:r>
          </w:p>
        </w:tc>
        <w:tc>
          <w:tcPr/>
          <w:p>
            <w:pPr>
              <w:pStyle w:val="Compact"/>
              <w:jc w:val="right"/>
            </w:pPr>
            <w:r>
              <w:t xml:space="preserve">3.12</w:t>
            </w:r>
          </w:p>
        </w:tc>
        <w:tc>
          <w:tcPr/>
          <w:p>
            <w:pPr>
              <w:pStyle w:val="Compact"/>
              <w:jc w:val="right"/>
            </w:pPr>
            <w:r>
              <w:t xml:space="preserve">3.91</w:t>
            </w:r>
          </w:p>
        </w:tc>
        <w:tc>
          <w:tcPr/>
          <w:p>
            <w:pPr>
              <w:pStyle w:val="Compact"/>
              <w:jc w:val="right"/>
            </w:pPr>
            <w:r>
              <w:t xml:space="preserve">6.09</w:t>
            </w:r>
          </w:p>
        </w:tc>
      </w:tr>
    </w:tbl>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Macroeconomics 1 Group Presentation</dc:title>
  <dc:creator>Group C4</dc:creator>
  <cp:keywords/>
  <dcterms:created xsi:type="dcterms:W3CDTF">2026-02-22T00:23:39Z</dcterms:created>
  <dcterms:modified xsi:type="dcterms:W3CDTF">2026-02-22T00:23:39Z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