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381"/>
        <w:gridCol w:w="7403"/>
        <w:gridCol w:w="1843"/>
      </w:tblGrid>
      <w:tr w:rsidR="00AB5DA3" w:rsidRPr="00EB2513" w14:paraId="689D3D43" w14:textId="77777777" w:rsidTr="00295263">
        <w:tc>
          <w:tcPr>
            <w:tcW w:w="1381" w:type="dxa"/>
          </w:tcPr>
          <w:p w14:paraId="39D24C67" w14:textId="77777777" w:rsidR="00AB5DA3" w:rsidRPr="00EB2513" w:rsidRDefault="00AB5DA3" w:rsidP="00295263">
            <w:pPr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EB2513">
              <w:rPr>
                <w:b/>
                <w:bCs/>
                <w:sz w:val="24"/>
                <w:szCs w:val="24"/>
              </w:rPr>
              <w:t>StudentID</w:t>
            </w:r>
            <w:r>
              <w:rPr>
                <w:b/>
                <w:bCs/>
                <w:sz w:val="24"/>
                <w:szCs w:val="24"/>
              </w:rPr>
              <w:t>s</w:t>
            </w:r>
            <w:proofErr w:type="spellEnd"/>
            <w:r w:rsidRPr="00EB251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403" w:type="dxa"/>
          </w:tcPr>
          <w:p w14:paraId="53C9D7D8" w14:textId="37F4F6C0" w:rsidR="00AB5DA3" w:rsidRPr="00EB2513" w:rsidRDefault="008D324E" w:rsidP="00295263">
            <w:pPr>
              <w:rPr>
                <w:sz w:val="28"/>
                <w:szCs w:val="28"/>
              </w:rPr>
            </w:pPr>
            <w:r w:rsidRPr="008D324E">
              <w:rPr>
                <w:sz w:val="28"/>
                <w:szCs w:val="28"/>
              </w:rPr>
              <w:t>293867</w:t>
            </w:r>
          </w:p>
        </w:tc>
        <w:tc>
          <w:tcPr>
            <w:tcW w:w="1843" w:type="dxa"/>
          </w:tcPr>
          <w:p w14:paraId="016A5DCD" w14:textId="77777777" w:rsidR="00AB5DA3" w:rsidRPr="00EB2513" w:rsidRDefault="00AB5DA3" w:rsidP="00295263">
            <w:pPr>
              <w:jc w:val="center"/>
              <w:rPr>
                <w:sz w:val="24"/>
                <w:szCs w:val="24"/>
              </w:rPr>
            </w:pPr>
            <w:r w:rsidRPr="00EB2513">
              <w:rPr>
                <w:sz w:val="24"/>
                <w:szCs w:val="24"/>
              </w:rPr>
              <w:t>Score:</w:t>
            </w:r>
          </w:p>
        </w:tc>
      </w:tr>
      <w:tr w:rsidR="00AB5DA3" w:rsidRPr="00EB2513" w14:paraId="70AFD92F" w14:textId="77777777" w:rsidTr="00295263">
        <w:tc>
          <w:tcPr>
            <w:tcW w:w="1381" w:type="dxa"/>
          </w:tcPr>
          <w:p w14:paraId="73443198" w14:textId="77777777" w:rsidR="00AB5DA3" w:rsidRPr="00EB2513" w:rsidRDefault="00AB5DA3" w:rsidP="00295263">
            <w:pPr>
              <w:jc w:val="right"/>
              <w:rPr>
                <w:b/>
                <w:bCs/>
              </w:rPr>
            </w:pPr>
            <w:r w:rsidRPr="00EB2513">
              <w:rPr>
                <w:b/>
                <w:bCs/>
                <w:sz w:val="24"/>
                <w:szCs w:val="24"/>
              </w:rPr>
              <w:t>Class:</w:t>
            </w:r>
          </w:p>
        </w:tc>
        <w:tc>
          <w:tcPr>
            <w:tcW w:w="7403" w:type="dxa"/>
          </w:tcPr>
          <w:p w14:paraId="1A2F7BFF" w14:textId="1F7CCC9C" w:rsidR="00AB5DA3" w:rsidRPr="00EB2513" w:rsidRDefault="008D324E" w:rsidP="00295263">
            <w:pPr>
              <w:rPr>
                <w:sz w:val="28"/>
                <w:szCs w:val="28"/>
              </w:rPr>
            </w:pPr>
            <w:r w:rsidRPr="008D324E">
              <w:rPr>
                <w:sz w:val="28"/>
                <w:szCs w:val="28"/>
              </w:rPr>
              <w:t>Data Warehouse Mini-Project</w:t>
            </w:r>
          </w:p>
        </w:tc>
        <w:tc>
          <w:tcPr>
            <w:tcW w:w="1843" w:type="dxa"/>
            <w:vMerge w:val="restart"/>
          </w:tcPr>
          <w:p w14:paraId="2AB4AF25" w14:textId="77777777" w:rsidR="00AB5DA3" w:rsidRPr="00EB2513" w:rsidRDefault="00AB5DA3" w:rsidP="00295263"/>
        </w:tc>
      </w:tr>
      <w:tr w:rsidR="00AB5DA3" w:rsidRPr="00EB2513" w14:paraId="096C413D" w14:textId="77777777" w:rsidTr="00295263">
        <w:tc>
          <w:tcPr>
            <w:tcW w:w="1381" w:type="dxa"/>
          </w:tcPr>
          <w:p w14:paraId="252BC980" w14:textId="77777777" w:rsidR="00AB5DA3" w:rsidRPr="00EB2513" w:rsidRDefault="00AB5DA3" w:rsidP="00295263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03" w:type="dxa"/>
          </w:tcPr>
          <w:p w14:paraId="1BDDFCDB" w14:textId="24C3F589" w:rsidR="00AB5DA3" w:rsidRPr="00EB2513" w:rsidRDefault="008D324E" w:rsidP="00295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23-06-2026</w:t>
            </w:r>
          </w:p>
        </w:tc>
        <w:tc>
          <w:tcPr>
            <w:tcW w:w="1843" w:type="dxa"/>
            <w:vMerge/>
          </w:tcPr>
          <w:p w14:paraId="2E3A30BB" w14:textId="77777777" w:rsidR="00AB5DA3" w:rsidRPr="00EB2513" w:rsidRDefault="00AB5DA3" w:rsidP="00295263"/>
        </w:tc>
      </w:tr>
    </w:tbl>
    <w:p w14:paraId="05E9272E" w14:textId="77B4143E" w:rsidR="0067733F" w:rsidRPr="00EB2513" w:rsidRDefault="00B74D5B" w:rsidP="004101C2">
      <w:pPr>
        <w:widowControl w:val="0"/>
        <w:autoSpaceDE w:val="0"/>
        <w:autoSpaceDN w:val="0"/>
        <w:adjustRightInd w:val="0"/>
        <w:jc w:val="both"/>
        <w:rPr>
          <w:rStyle w:val="nfasissutil"/>
        </w:rPr>
      </w:pPr>
      <w:r w:rsidRPr="00EB2513">
        <w:rPr>
          <w:rStyle w:val="nfasissutil"/>
        </w:rPr>
        <w:t xml:space="preserve">This </w:t>
      </w:r>
      <w:r w:rsidR="00C6080D">
        <w:rPr>
          <w:rStyle w:val="nfasissutil"/>
        </w:rPr>
        <w:t>mini project</w:t>
      </w:r>
      <w:r w:rsidRPr="00EB2513">
        <w:rPr>
          <w:rStyle w:val="nfasissutil"/>
        </w:rPr>
        <w:t xml:space="preserve"> assignment consists of</w:t>
      </w:r>
      <w:r w:rsidR="00B55D70" w:rsidRPr="00EB2513">
        <w:rPr>
          <w:rStyle w:val="nfasissutil"/>
        </w:rPr>
        <w:t xml:space="preserve"> </w:t>
      </w:r>
      <w:r w:rsidR="005E2C2B">
        <w:rPr>
          <w:rStyle w:val="nfasissutil"/>
        </w:rPr>
        <w:t>2</w:t>
      </w:r>
      <w:r w:rsidRPr="00EB2513">
        <w:rPr>
          <w:rStyle w:val="nfasissutil"/>
        </w:rPr>
        <w:t xml:space="preserve"> task</w:t>
      </w:r>
      <w:r w:rsidR="005E2C2B">
        <w:rPr>
          <w:rStyle w:val="nfasissutil"/>
        </w:rPr>
        <w:t>s</w:t>
      </w:r>
      <w:r w:rsidRPr="00EB2513">
        <w:rPr>
          <w:rStyle w:val="nfasissutil"/>
        </w:rPr>
        <w:t xml:space="preserve">. </w:t>
      </w:r>
      <w:r w:rsidR="00F02B72">
        <w:rPr>
          <w:rStyle w:val="nfasissutil"/>
        </w:rPr>
        <w:t>Y</w:t>
      </w:r>
      <w:r w:rsidRPr="00EB2513">
        <w:rPr>
          <w:rStyle w:val="nfasissutil"/>
        </w:rPr>
        <w:t xml:space="preserve">ou </w:t>
      </w:r>
      <w:r w:rsidR="00F02B72">
        <w:rPr>
          <w:rStyle w:val="nfasissutil"/>
        </w:rPr>
        <w:t xml:space="preserve">should focus on providing complete solution, however if you are unable </w:t>
      </w:r>
      <w:r w:rsidR="00407C44">
        <w:rPr>
          <w:rStyle w:val="nfasissutil"/>
        </w:rPr>
        <w:t xml:space="preserve">to </w:t>
      </w:r>
      <w:r w:rsidRPr="00EB2513">
        <w:rPr>
          <w:rStyle w:val="nfasissutil"/>
        </w:rPr>
        <w:t xml:space="preserve">solve </w:t>
      </w:r>
      <w:r w:rsidR="00F02B72">
        <w:rPr>
          <w:rStyle w:val="nfasissutil"/>
        </w:rPr>
        <w:t>a particular step</w:t>
      </w:r>
      <w:r w:rsidRPr="00EB2513">
        <w:rPr>
          <w:rStyle w:val="nfasissutil"/>
        </w:rPr>
        <w:t xml:space="preserve">, try to give at least a partial solution or </w:t>
      </w:r>
      <w:r w:rsidR="00F02B72">
        <w:rPr>
          <w:rStyle w:val="nfasissutil"/>
        </w:rPr>
        <w:t xml:space="preserve">provide </w:t>
      </w:r>
      <w:r w:rsidRPr="00EB2513">
        <w:rPr>
          <w:rStyle w:val="nfasissutil"/>
        </w:rPr>
        <w:t xml:space="preserve">justification for the reason for the lack of a solution. </w:t>
      </w:r>
      <w:r w:rsidR="00360B33">
        <w:rPr>
          <w:rStyle w:val="nfasissutil"/>
        </w:rPr>
        <w:t>Please note that q</w:t>
      </w:r>
      <w:r w:rsidR="00360B33" w:rsidRPr="00360B33">
        <w:rPr>
          <w:rStyle w:val="nfasissutil"/>
        </w:rPr>
        <w:t xml:space="preserve">uality and scope of the provided solution </w:t>
      </w:r>
      <w:r w:rsidR="0011073D" w:rsidRPr="00360B33">
        <w:rPr>
          <w:rStyle w:val="nfasissutil"/>
        </w:rPr>
        <w:t>affect</w:t>
      </w:r>
      <w:r w:rsidR="00360B33" w:rsidRPr="00360B33">
        <w:rPr>
          <w:rStyle w:val="nfasissutil"/>
        </w:rPr>
        <w:t xml:space="preserve"> the grade.</w:t>
      </w:r>
    </w:p>
    <w:p w14:paraId="2410D6AB" w14:textId="5DEE2829" w:rsidR="00AD7410" w:rsidRDefault="00C6080D" w:rsidP="00AD7410">
      <w:pPr>
        <w:pStyle w:val="Ttulo1"/>
        <w:rPr>
          <w:b/>
          <w:bCs/>
        </w:rPr>
      </w:pPr>
      <w:r>
        <w:rPr>
          <w:b/>
          <w:bCs/>
        </w:rPr>
        <w:t xml:space="preserve">Mini-project </w:t>
      </w:r>
      <w:r w:rsidR="001756DB">
        <w:rPr>
          <w:b/>
          <w:bCs/>
        </w:rPr>
        <w:t>4</w:t>
      </w:r>
      <w:r w:rsidR="009E35BE">
        <w:rPr>
          <w:b/>
          <w:bCs/>
        </w:rPr>
        <w:t xml:space="preserve"> </w:t>
      </w:r>
      <w:r w:rsidR="003C1571">
        <w:rPr>
          <w:b/>
          <w:bCs/>
        </w:rPr>
        <w:t>-</w:t>
      </w:r>
      <w:r w:rsidR="00A068E8" w:rsidRPr="00A068E8">
        <w:rPr>
          <w:b/>
          <w:bCs/>
        </w:rPr>
        <w:t xml:space="preserve"> </w:t>
      </w:r>
      <w:r w:rsidR="00D54310">
        <w:rPr>
          <w:b/>
          <w:bCs/>
        </w:rPr>
        <w:t>Consumption</w:t>
      </w:r>
    </w:p>
    <w:p w14:paraId="5218606D" w14:textId="77777777" w:rsidR="00037B58" w:rsidRDefault="009E35BE" w:rsidP="00D54310">
      <w:pPr>
        <w:pStyle w:val="QuestionDesc"/>
      </w:pPr>
      <w:r>
        <w:t>The f</w:t>
      </w:r>
      <w:r w:rsidR="00F00C80">
        <w:t xml:space="preserve">ocus </w:t>
      </w:r>
      <w:r>
        <w:t xml:space="preserve">of this stage </w:t>
      </w:r>
      <w:r w:rsidR="00F00C80">
        <w:t xml:space="preserve">is on </w:t>
      </w:r>
      <w:r w:rsidR="00D54310">
        <w:t>prepare data consumption for the end users.</w:t>
      </w:r>
      <w:r w:rsidR="008A5987">
        <w:t xml:space="preserve"> </w:t>
      </w:r>
    </w:p>
    <w:p w14:paraId="39DE9A4C" w14:textId="2F53FFF1" w:rsidR="00D54310" w:rsidRDefault="00535306" w:rsidP="00D54310">
      <w:pPr>
        <w:pStyle w:val="QuestionDesc"/>
      </w:pPr>
      <w:r>
        <w:t>You</w:t>
      </w:r>
      <w:r w:rsidR="008A5987">
        <w:t xml:space="preserve"> will create a dedicated dashboard for </w:t>
      </w:r>
      <w:r w:rsidR="0023490E">
        <w:t xml:space="preserve">the selected type of user and focusing on a selected aspect of analysis. </w:t>
      </w:r>
      <w:r w:rsidR="00625C63">
        <w:t xml:space="preserve">You can choose the user type and the selected aspect </w:t>
      </w:r>
      <w:r w:rsidR="003C1571">
        <w:t>-</w:t>
      </w:r>
      <w:r w:rsidR="00625C63">
        <w:t xml:space="preserve"> just make sure that </w:t>
      </w:r>
      <w:r w:rsidR="00054426">
        <w:t>the result</w:t>
      </w:r>
      <w:r w:rsidR="00037B58">
        <w:t xml:space="preserve"> (dashboard) is consistent with the goals. </w:t>
      </w:r>
      <w:r w:rsidR="00054426">
        <w:t xml:space="preserve">The quality and complexity of the dashboard </w:t>
      </w:r>
      <w:r w:rsidR="0011073D">
        <w:t>affect</w:t>
      </w:r>
      <w:r w:rsidR="00054426">
        <w:t xml:space="preserve"> your final score. </w:t>
      </w:r>
    </w:p>
    <w:p w14:paraId="35825443" w14:textId="2DC2E021" w:rsidR="005E2C2B" w:rsidRDefault="005E2C2B" w:rsidP="00C6080D">
      <w:pPr>
        <w:pStyle w:val="Ttulo2"/>
        <w:rPr>
          <w:b/>
          <w:sz w:val="24"/>
        </w:rPr>
      </w:pPr>
      <w:r>
        <w:rPr>
          <w:b/>
          <w:sz w:val="24"/>
        </w:rPr>
        <w:t xml:space="preserve">Task 1 </w:t>
      </w:r>
      <w:r w:rsidR="003C1571">
        <w:rPr>
          <w:b/>
          <w:sz w:val="24"/>
        </w:rPr>
        <w:t>-</w:t>
      </w:r>
      <w:r>
        <w:rPr>
          <w:b/>
          <w:sz w:val="24"/>
        </w:rPr>
        <w:t xml:space="preserve"> </w:t>
      </w:r>
      <w:r w:rsidR="006B7A00">
        <w:rPr>
          <w:b/>
          <w:sz w:val="24"/>
        </w:rPr>
        <w:t>Model testing</w:t>
      </w:r>
    </w:p>
    <w:p w14:paraId="24D6D5DF" w14:textId="422FFCF6" w:rsidR="003230FE" w:rsidRDefault="00B26322" w:rsidP="003230FE">
      <w:r>
        <w:t>Addressing the identified information needs of users through OLAP queries from Stage 1 of the project.</w:t>
      </w:r>
      <w:r w:rsidR="0071517B">
        <w:t xml:space="preserve"> The idea behind this task is to verify how </w:t>
      </w:r>
      <w:r w:rsidR="008239C2">
        <w:t xml:space="preserve">good is your final data model and experience how some design decision </w:t>
      </w:r>
      <w:r w:rsidR="001C6E0C">
        <w:t>affects</w:t>
      </w:r>
      <w:r w:rsidR="008239C2">
        <w:t xml:space="preserve"> the </w:t>
      </w:r>
      <w:r w:rsidR="002970F9">
        <w:t>information capabilities of the proposed solution. As such, f</w:t>
      </w:r>
      <w:r>
        <w:t xml:space="preserve">or 10 selected </w:t>
      </w:r>
      <w:r w:rsidR="003230FE">
        <w:t>(you</w:t>
      </w:r>
      <w:r w:rsidR="002970F9">
        <w:t xml:space="preserve"> </w:t>
      </w:r>
      <w:r w:rsidR="000A334D">
        <w:t>must</w:t>
      </w:r>
      <w:r w:rsidR="003230FE">
        <w:t xml:space="preserve"> choose 10 from the original queries in Stage 1</w:t>
      </w:r>
      <w:r w:rsidR="00207094">
        <w:t xml:space="preserve">; if you have prepared less than 10 you </w:t>
      </w:r>
      <w:r w:rsidR="001C6E0C">
        <w:t>must</w:t>
      </w:r>
      <w:r w:rsidR="00207094">
        <w:t xml:space="preserve"> introduce new ones</w:t>
      </w:r>
      <w:r w:rsidR="003230FE">
        <w:t xml:space="preserve">) </w:t>
      </w:r>
      <w:r>
        <w:t>queries from Stage 1:</w:t>
      </w:r>
    </w:p>
    <w:p w14:paraId="420F63CB" w14:textId="02912060" w:rsidR="003230FE" w:rsidRDefault="00B26322" w:rsidP="003230FE">
      <w:pPr>
        <w:pStyle w:val="Prrafodelista"/>
        <w:numPr>
          <w:ilvl w:val="0"/>
          <w:numId w:val="14"/>
        </w:numPr>
      </w:pPr>
      <w:r>
        <w:t>If an answer is possible, present the response in the form of a</w:t>
      </w:r>
      <w:r w:rsidR="006B7A00">
        <w:t xml:space="preserve"> pivot</w:t>
      </w:r>
      <w:r>
        <w:t xml:space="preserve"> table/visualization using the developed data model.</w:t>
      </w:r>
    </w:p>
    <w:p w14:paraId="14B20C5C" w14:textId="5A5C6E75" w:rsidR="00875A24" w:rsidRDefault="00B26322" w:rsidP="00875A24">
      <w:pPr>
        <w:pStyle w:val="Prrafodelista"/>
        <w:numPr>
          <w:ilvl w:val="0"/>
          <w:numId w:val="14"/>
        </w:numPr>
      </w:pPr>
      <w:r>
        <w:t>If an answer is not possible, justify why the user’s specific need cannot be addressed with the developed data model.</w:t>
      </w:r>
    </w:p>
    <w:p w14:paraId="7E2AC478" w14:textId="53D302B3" w:rsidR="006F0982" w:rsidRDefault="00541458" w:rsidP="006F0982">
      <w:r>
        <w:rPr>
          <w:noProof/>
        </w:rPr>
        <w:drawing>
          <wp:anchor distT="0" distB="0" distL="114300" distR="114300" simplePos="0" relativeHeight="251658240" behindDoc="0" locked="0" layoutInCell="1" allowOverlap="1" wp14:anchorId="17B9FA9E" wp14:editId="783F99E4">
            <wp:simplePos x="0" y="0"/>
            <wp:positionH relativeFrom="column">
              <wp:posOffset>-391160</wp:posOffset>
            </wp:positionH>
            <wp:positionV relativeFrom="paragraph">
              <wp:posOffset>219075</wp:posOffset>
            </wp:positionV>
            <wp:extent cx="7381875" cy="4154170"/>
            <wp:effectExtent l="0" t="0" r="9525" b="0"/>
            <wp:wrapTopAndBottom/>
            <wp:docPr id="28669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88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982">
        <w:t>Given the values of the queries in this image (</w:t>
      </w:r>
      <w:proofErr w:type="spellStart"/>
      <w:r w:rsidR="006F0982">
        <w:t>PowerBI</w:t>
      </w:r>
      <w:proofErr w:type="spellEnd"/>
      <w:r w:rsidR="006F0982">
        <w:t>: “</w:t>
      </w:r>
      <w:r w:rsidR="006F0982" w:rsidRPr="006F0982">
        <w:t>Questions Part 1</w:t>
      </w:r>
      <w:r w:rsidR="006F0982">
        <w:t>”):</w:t>
      </w:r>
      <w:r w:rsidR="006F0982">
        <w:br/>
      </w:r>
    </w:p>
    <w:p w14:paraId="435981EB" w14:textId="5F36C93D" w:rsidR="006F0982" w:rsidRDefault="006F0982" w:rsidP="006F0982"/>
    <w:p w14:paraId="2179D018" w14:textId="62703B28" w:rsidR="00875A24" w:rsidRDefault="00875A24" w:rsidP="00875A24">
      <w:pPr>
        <w:pStyle w:val="Ttulo3"/>
      </w:pPr>
      <w:r>
        <w:lastRenderedPageBreak/>
        <w:t xml:space="preserve">1.1 </w:t>
      </w:r>
      <w:r w:rsidRPr="00D91C5C">
        <w:rPr>
          <w:lang w:val="en-US"/>
        </w:rPr>
        <w:t>SegWit Adoption Rate Over Time (by Quarter)</w:t>
      </w:r>
    </w:p>
    <w:p w14:paraId="7C2A638A" w14:textId="0DCD6DB9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 xml:space="preserve">What is the adoption rate of </w:t>
      </w:r>
      <w:proofErr w:type="spellStart"/>
      <w:r w:rsidRPr="00D91C5C">
        <w:rPr>
          <w:lang w:val="en-US"/>
        </w:rPr>
        <w:t>SegWit</w:t>
      </w:r>
      <w:proofErr w:type="spellEnd"/>
      <w:r w:rsidRPr="00D91C5C">
        <w:rPr>
          <w:lang w:val="en-US"/>
        </w:rPr>
        <w:t>-native script types (P2WPKH, P2WSH, P2TR) versus legacy types (P2PKH, P2SH), and how has this composition evolved quarter by quarter?</w:t>
      </w:r>
    </w:p>
    <w:p w14:paraId="02EEACBD" w14:textId="483F3B01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5930FDD6" w14:textId="1978C5BD" w:rsidR="00875A24" w:rsidRDefault="006F0982" w:rsidP="00875A24">
      <w:pPr>
        <w:pStyle w:val="TaskContent"/>
        <w:rPr>
          <w:i w:val="0"/>
          <w:iCs/>
          <w:lang w:val="en-US"/>
        </w:rPr>
      </w:pPr>
      <w:r>
        <w:rPr>
          <w:noProof/>
        </w:rPr>
        <w:drawing>
          <wp:inline distT="0" distB="0" distL="0" distR="0" wp14:anchorId="49469A6F" wp14:editId="421E32DC">
            <wp:extent cx="4257675" cy="2519375"/>
            <wp:effectExtent l="0" t="0" r="0" b="0"/>
            <wp:docPr id="97486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6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763" cy="25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A6DF" w14:textId="3386C6EE" w:rsidR="006F0982" w:rsidRPr="00420C43" w:rsidRDefault="006F0982" w:rsidP="00875A24">
      <w:pPr>
        <w:pStyle w:val="TaskContent"/>
        <w:rPr>
          <w:i w:val="0"/>
          <w:iCs/>
          <w:lang w:val="en-US"/>
        </w:rPr>
      </w:pPr>
      <w:r w:rsidRPr="006F0982">
        <w:rPr>
          <w:i w:val="0"/>
          <w:iCs/>
          <w:lang w:val="en-US"/>
        </w:rPr>
        <w:t xml:space="preserve">Note: Data covers 2026 Q2 only. </w:t>
      </w:r>
      <w:proofErr w:type="spellStart"/>
      <w:r w:rsidRPr="006F0982">
        <w:rPr>
          <w:i w:val="0"/>
          <w:iCs/>
          <w:lang w:val="en-US"/>
        </w:rPr>
        <w:t>SegWit</w:t>
      </w:r>
      <w:proofErr w:type="spellEnd"/>
      <w:r w:rsidRPr="006F0982">
        <w:rPr>
          <w:i w:val="0"/>
          <w:iCs/>
          <w:lang w:val="en-US"/>
        </w:rPr>
        <w:t>-native share stands at 89.62 % of all 651,368 transactions. P2PKH dominates the legacy segment with 67,883 transactions.</w:t>
      </w:r>
    </w:p>
    <w:p w14:paraId="401B7BCD" w14:textId="25B9CDE4" w:rsidR="00875A24" w:rsidRDefault="00875A24" w:rsidP="00875A24">
      <w:pPr>
        <w:pStyle w:val="Ttulo3"/>
      </w:pPr>
      <w:r>
        <w:t>1.</w:t>
      </w:r>
      <w:r>
        <w:t>2</w:t>
      </w:r>
      <w:r>
        <w:t xml:space="preserve"> </w:t>
      </w:r>
      <w:r w:rsidRPr="00D91C5C">
        <w:rPr>
          <w:lang w:val="en-US"/>
        </w:rPr>
        <w:t>Fee-Rate Spikes Under Network Congestion</w:t>
      </w:r>
    </w:p>
    <w:p w14:paraId="7823EB43" w14:textId="0620C04B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>Under what conditions of network congestion (average transaction weight and size per block) do fee rates (sat/</w:t>
      </w:r>
      <w:proofErr w:type="spellStart"/>
      <w:r w:rsidRPr="00D91C5C">
        <w:rPr>
          <w:lang w:val="en-US"/>
        </w:rPr>
        <w:t>vByte</w:t>
      </w:r>
      <w:proofErr w:type="spellEnd"/>
      <w:r w:rsidRPr="00D91C5C">
        <w:rPr>
          <w:lang w:val="en-US"/>
        </w:rPr>
        <w:t>) spike, and how do they correlate with daily market price trends?</w:t>
      </w:r>
    </w:p>
    <w:p w14:paraId="6124AD35" w14:textId="77777777" w:rsidR="00420C43" w:rsidRDefault="00420C43" w:rsidP="00420C43">
      <w:pPr>
        <w:spacing w:before="80" w:after="80"/>
        <w:rPr>
          <w:b/>
          <w:bCs/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36A6B497" w14:textId="444E3665" w:rsidR="006F0982" w:rsidRPr="00D91C5C" w:rsidRDefault="006F0982" w:rsidP="00420C43">
      <w:pPr>
        <w:spacing w:before="80" w:after="80"/>
        <w:rPr>
          <w:lang w:val="en-US"/>
        </w:rPr>
      </w:pPr>
      <w:r>
        <w:rPr>
          <w:noProof/>
        </w:rPr>
        <w:drawing>
          <wp:inline distT="0" distB="0" distL="0" distR="0" wp14:anchorId="0789AB2B" wp14:editId="216BD882">
            <wp:extent cx="6645910" cy="3480435"/>
            <wp:effectExtent l="0" t="0" r="2540" b="5715"/>
            <wp:docPr id="45123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3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CC7" w14:textId="02B40F5B" w:rsidR="00875A24" w:rsidRDefault="006F0982" w:rsidP="00875A24">
      <w:pPr>
        <w:pStyle w:val="TaskContent"/>
        <w:rPr>
          <w:i w:val="0"/>
          <w:iCs/>
          <w:lang w:val="en-US"/>
        </w:rPr>
      </w:pPr>
      <w:r w:rsidRPr="006F0982">
        <w:rPr>
          <w:i w:val="0"/>
          <w:iCs/>
          <w:lang w:val="en-US"/>
        </w:rPr>
        <w:t>Note: Months 5 and 6 of 2026 are compared. Month 6 shows a higher avg fee rate (18.97) but lower fee burden (6.14 %), suggesting larger-value transactions absorb fees more efficiently. The IO Value Ratio is near parity (~1.05</w:t>
      </w:r>
      <w:r w:rsidR="003C1571">
        <w:rPr>
          <w:i w:val="0"/>
          <w:iCs/>
          <w:lang w:val="en-US"/>
        </w:rPr>
        <w:t>-</w:t>
      </w:r>
      <w:r w:rsidRPr="006F0982">
        <w:rPr>
          <w:i w:val="0"/>
          <w:iCs/>
          <w:lang w:val="en-US"/>
        </w:rPr>
        <w:t>1.10) across both months.</w:t>
      </w:r>
    </w:p>
    <w:p w14:paraId="4526A725" w14:textId="77777777" w:rsidR="006F0982" w:rsidRPr="00420C43" w:rsidRDefault="006F0982" w:rsidP="00875A24">
      <w:pPr>
        <w:pStyle w:val="TaskContent"/>
        <w:rPr>
          <w:i w:val="0"/>
          <w:iCs/>
          <w:lang w:val="en-US"/>
        </w:rPr>
      </w:pPr>
    </w:p>
    <w:p w14:paraId="380D3918" w14:textId="3B1F6DBE" w:rsidR="00875A24" w:rsidRDefault="00875A24" w:rsidP="00875A24">
      <w:pPr>
        <w:pStyle w:val="Ttulo3"/>
      </w:pPr>
      <w:r>
        <w:lastRenderedPageBreak/>
        <w:t>1.</w:t>
      </w:r>
      <w:r>
        <w:t>3</w:t>
      </w:r>
      <w:r>
        <w:t xml:space="preserve"> </w:t>
      </w:r>
      <w:r w:rsidRPr="00D91C5C">
        <w:rPr>
          <w:lang w:val="en-US"/>
        </w:rPr>
        <w:t>Fee Burden Distribution Across Transaction Size Tiers</w:t>
      </w:r>
    </w:p>
    <w:p w14:paraId="293358A6" w14:textId="65E56047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>What is the distribution of transaction fee burden (fee in USD as a percentage of total output value) across different transaction virtual-size tiers?</w:t>
      </w:r>
    </w:p>
    <w:p w14:paraId="31DC9260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268ADA70" w14:textId="77777777" w:rsidR="006F0982" w:rsidRPr="006F0982" w:rsidRDefault="006F0982" w:rsidP="006F0982">
      <w:pPr>
        <w:pStyle w:val="TaskContent"/>
        <w:rPr>
          <w:i w:val="0"/>
          <w:iCs/>
          <w:color w:val="EE0000"/>
          <w:lang w:val="en-US"/>
        </w:rPr>
      </w:pPr>
      <w:r w:rsidRPr="006F0982">
        <w:rPr>
          <w:i w:val="0"/>
          <w:iCs/>
          <w:color w:val="EE0000"/>
          <w:lang w:val="en-US"/>
        </w:rPr>
        <w:t>This query CANNOT be answered with the current data model.</w:t>
      </w:r>
    </w:p>
    <w:p w14:paraId="37EAB775" w14:textId="77777777" w:rsidR="006F0982" w:rsidRPr="006F0982" w:rsidRDefault="006F0982" w:rsidP="006F0982">
      <w:pPr>
        <w:pStyle w:val="TaskContent"/>
        <w:rPr>
          <w:i w:val="0"/>
          <w:iCs/>
          <w:lang w:val="en-US"/>
        </w:rPr>
      </w:pPr>
    </w:p>
    <w:p w14:paraId="75E83DF2" w14:textId="1A5410AE" w:rsidR="00420C43" w:rsidRPr="00420C43" w:rsidRDefault="006F0982" w:rsidP="006F0982">
      <w:pPr>
        <w:pStyle w:val="TaskContent"/>
        <w:rPr>
          <w:i w:val="0"/>
          <w:iCs/>
          <w:lang w:val="en-US"/>
        </w:rPr>
      </w:pPr>
      <w:r w:rsidRPr="006F0982">
        <w:rPr>
          <w:i w:val="0"/>
          <w:iCs/>
          <w:lang w:val="en-US"/>
        </w:rPr>
        <w:t xml:space="preserve">The data model does not include a dedicated 'transaction virtual-size tier' dimension. Grouping transactions into </w:t>
      </w:r>
      <w:proofErr w:type="spellStart"/>
      <w:r w:rsidRPr="006F0982">
        <w:rPr>
          <w:i w:val="0"/>
          <w:iCs/>
          <w:lang w:val="en-US"/>
        </w:rPr>
        <w:t>vSize</w:t>
      </w:r>
      <w:proofErr w:type="spellEnd"/>
      <w:r w:rsidRPr="006F0982">
        <w:rPr>
          <w:i w:val="0"/>
          <w:iCs/>
          <w:lang w:val="en-US"/>
        </w:rPr>
        <w:t xml:space="preserve"> buckets (e.g. &lt;250 </w:t>
      </w:r>
      <w:proofErr w:type="spellStart"/>
      <w:r w:rsidRPr="006F0982">
        <w:rPr>
          <w:i w:val="0"/>
          <w:iCs/>
          <w:lang w:val="en-US"/>
        </w:rPr>
        <w:t>vB</w:t>
      </w:r>
      <w:proofErr w:type="spellEnd"/>
      <w:r w:rsidRPr="006F0982">
        <w:rPr>
          <w:i w:val="0"/>
          <w:iCs/>
          <w:lang w:val="en-US"/>
        </w:rPr>
        <w:t>, 250</w:t>
      </w:r>
      <w:r w:rsidR="003C1571">
        <w:rPr>
          <w:i w:val="0"/>
          <w:iCs/>
          <w:lang w:val="en-US"/>
        </w:rPr>
        <w:t>-</w:t>
      </w:r>
      <w:r w:rsidRPr="006F0982">
        <w:rPr>
          <w:i w:val="0"/>
          <w:iCs/>
          <w:lang w:val="en-US"/>
        </w:rPr>
        <w:t xml:space="preserve">1000 </w:t>
      </w:r>
      <w:proofErr w:type="spellStart"/>
      <w:r w:rsidRPr="006F0982">
        <w:rPr>
          <w:i w:val="0"/>
          <w:iCs/>
          <w:lang w:val="en-US"/>
        </w:rPr>
        <w:t>vB</w:t>
      </w:r>
      <w:proofErr w:type="spellEnd"/>
      <w:r w:rsidRPr="006F0982">
        <w:rPr>
          <w:i w:val="0"/>
          <w:iCs/>
          <w:lang w:val="en-US"/>
        </w:rPr>
        <w:t xml:space="preserve">, &gt;1000 </w:t>
      </w:r>
      <w:proofErr w:type="spellStart"/>
      <w:r w:rsidRPr="006F0982">
        <w:rPr>
          <w:i w:val="0"/>
          <w:iCs/>
          <w:lang w:val="en-US"/>
        </w:rPr>
        <w:t>vB</w:t>
      </w:r>
      <w:proofErr w:type="spellEnd"/>
      <w:r w:rsidRPr="006F0982">
        <w:rPr>
          <w:i w:val="0"/>
          <w:iCs/>
          <w:lang w:val="en-US"/>
        </w:rPr>
        <w:t xml:space="preserve">) requires either a computed column at ETL time or a DAX </w:t>
      </w:r>
      <w:proofErr w:type="gramStart"/>
      <w:r w:rsidRPr="006F0982">
        <w:rPr>
          <w:i w:val="0"/>
          <w:iCs/>
          <w:lang w:val="en-US"/>
        </w:rPr>
        <w:t>calculated-column</w:t>
      </w:r>
      <w:proofErr w:type="gramEnd"/>
      <w:r w:rsidRPr="006F0982">
        <w:rPr>
          <w:i w:val="0"/>
          <w:iCs/>
          <w:lang w:val="en-US"/>
        </w:rPr>
        <w:t xml:space="preserve"> creating a tier band from the </w:t>
      </w:r>
      <w:proofErr w:type="spellStart"/>
      <w:r w:rsidRPr="006F0982">
        <w:rPr>
          <w:i w:val="0"/>
          <w:iCs/>
          <w:lang w:val="en-US"/>
        </w:rPr>
        <w:t>Tx_vsize_bytes</w:t>
      </w:r>
      <w:proofErr w:type="spellEnd"/>
      <w:r w:rsidRPr="006F0982">
        <w:rPr>
          <w:i w:val="0"/>
          <w:iCs/>
          <w:lang w:val="en-US"/>
        </w:rPr>
        <w:t xml:space="preserve"> measure. Without a persistent size-tier attribute in the fact table or a related dimension, Power BI cannot slice the fee-burden KPI across those buckets in a pivot table. Additionally, fee burden expressed as 'fee in USD as % of total output value' requires both a USD-converted fee column and the total output value column in the same row grain </w:t>
      </w:r>
      <w:r w:rsidR="009D3B88">
        <w:rPr>
          <w:i w:val="0"/>
          <w:iCs/>
          <w:lang w:val="en-US"/>
        </w:rPr>
        <w:t>-</w:t>
      </w:r>
      <w:r w:rsidRPr="006F0982">
        <w:rPr>
          <w:i w:val="0"/>
          <w:iCs/>
          <w:lang w:val="en-US"/>
        </w:rPr>
        <w:t xml:space="preserve"> if output value is only aggregated at block level rather than transaction level, the per-transaction ratio cannot be computed.</w:t>
      </w:r>
    </w:p>
    <w:p w14:paraId="2450FD34" w14:textId="250640C9" w:rsidR="00875A24" w:rsidRDefault="00875A24" w:rsidP="00875A24">
      <w:pPr>
        <w:pStyle w:val="Ttulo3"/>
      </w:pPr>
      <w:r>
        <w:t>1.</w:t>
      </w:r>
      <w:r>
        <w:t>4</w:t>
      </w:r>
      <w:r>
        <w:t xml:space="preserve"> </w:t>
      </w:r>
      <w:r w:rsidRPr="00D91C5C">
        <w:rPr>
          <w:lang w:val="en-US"/>
        </w:rPr>
        <w:t>Transaction Volume vs. Fear &amp; Greed Index</w:t>
      </w:r>
    </w:p>
    <w:p w14:paraId="32E96425" w14:textId="029345F6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>How does daily transaction volume and total settlement value in USD correlate with the daily Fear &amp; Greed Index? Are periods of market greed accompanied by larger transaction values?</w:t>
      </w:r>
    </w:p>
    <w:p w14:paraId="3EB3A02E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0C14DC28" w14:textId="309E4B25" w:rsidR="00420C43" w:rsidRDefault="00541458" w:rsidP="00420C43">
      <w:pPr>
        <w:pStyle w:val="TaskContent"/>
        <w:rPr>
          <w:i w:val="0"/>
          <w:iCs/>
          <w:lang w:val="en-US"/>
        </w:rPr>
      </w:pPr>
      <w:r>
        <w:rPr>
          <w:noProof/>
        </w:rPr>
        <w:drawing>
          <wp:inline distT="0" distB="0" distL="0" distR="0" wp14:anchorId="43B59811" wp14:editId="5BE239D8">
            <wp:extent cx="6562725" cy="3480588"/>
            <wp:effectExtent l="0" t="0" r="0" b="5715"/>
            <wp:docPr id="108245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6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9221" cy="348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0689" w14:textId="5AADB9FA" w:rsidR="006F0982" w:rsidRPr="00420C43" w:rsidRDefault="006F0982" w:rsidP="00420C43">
      <w:pPr>
        <w:pStyle w:val="TaskContent"/>
        <w:rPr>
          <w:i w:val="0"/>
          <w:iCs/>
          <w:lang w:val="en-US"/>
        </w:rPr>
      </w:pPr>
      <w:r w:rsidRPr="006F0982">
        <w:rPr>
          <w:i w:val="0"/>
          <w:iCs/>
          <w:lang w:val="en-US"/>
        </w:rPr>
        <w:t xml:space="preserve">Note: </w:t>
      </w:r>
      <w:r w:rsidR="00774F53" w:rsidRPr="00774F53">
        <w:rPr>
          <w:i w:val="0"/>
          <w:iCs/>
        </w:rPr>
        <w:t xml:space="preserve">Periods of market fear dominate Bitcoin's on-chain activity. "Extreme Fear" accounts for the largest share with 370,501 transactions and $205.5B in output value, followed by "Fear" with 235,802 transactions and $132.6B. "Neutral" sentiment days show significantly lower activity (51,665 transactions, $28.0B). This suggests that rather than greed driving larger settlement values, Bitcoin on-chain volume is </w:t>
      </w:r>
      <w:proofErr w:type="gramStart"/>
      <w:r w:rsidR="00774F53" w:rsidRPr="00774F53">
        <w:rPr>
          <w:i w:val="0"/>
          <w:iCs/>
        </w:rPr>
        <w:t>actually highest</w:t>
      </w:r>
      <w:proofErr w:type="gramEnd"/>
      <w:r w:rsidR="00774F53" w:rsidRPr="00774F53">
        <w:rPr>
          <w:i w:val="0"/>
          <w:iCs/>
        </w:rPr>
        <w:t xml:space="preserve"> during fearful market conditions </w:t>
      </w:r>
      <w:r w:rsidR="009D3B88">
        <w:rPr>
          <w:i w:val="0"/>
          <w:iCs/>
        </w:rPr>
        <w:t>-</w:t>
      </w:r>
      <w:r w:rsidR="00774F53" w:rsidRPr="00774F53">
        <w:rPr>
          <w:i w:val="0"/>
          <w:iCs/>
        </w:rPr>
        <w:t xml:space="preserve"> consistent with panic selling or accumulation behaviour during downturns.</w:t>
      </w:r>
    </w:p>
    <w:p w14:paraId="6A82D87E" w14:textId="5D8655CC" w:rsidR="00875A24" w:rsidRDefault="00875A24" w:rsidP="00875A24">
      <w:pPr>
        <w:pStyle w:val="Ttulo3"/>
      </w:pPr>
      <w:r>
        <w:t>1.</w:t>
      </w:r>
      <w:r>
        <w:t>5</w:t>
      </w:r>
      <w:r>
        <w:t xml:space="preserve"> </w:t>
      </w:r>
      <w:r w:rsidRPr="00D91C5C">
        <w:rPr>
          <w:lang w:val="en-US"/>
        </w:rPr>
        <w:t>Multi-Input vs. Single-Input Transaction Structure</w:t>
      </w:r>
    </w:p>
    <w:p w14:paraId="5E4B43BD" w14:textId="60BF125F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 xml:space="preserve">What proportion of transactions use multiple inputs (address consolidation or complex spending patterns) versus single inputs, and how does this vary across legacy versus </w:t>
      </w:r>
      <w:proofErr w:type="spellStart"/>
      <w:r w:rsidRPr="00D91C5C">
        <w:rPr>
          <w:lang w:val="en-US"/>
        </w:rPr>
        <w:t>SegWit</w:t>
      </w:r>
      <w:proofErr w:type="spellEnd"/>
      <w:r w:rsidRPr="00D91C5C">
        <w:rPr>
          <w:lang w:val="en-US"/>
        </w:rPr>
        <w:t xml:space="preserve"> script types?</w:t>
      </w:r>
    </w:p>
    <w:p w14:paraId="08728A9F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4D986E39" w14:textId="77777777" w:rsidR="00774F53" w:rsidRPr="006F0982" w:rsidRDefault="00774F53" w:rsidP="00774F53">
      <w:pPr>
        <w:pStyle w:val="TaskContent"/>
        <w:rPr>
          <w:i w:val="0"/>
          <w:iCs/>
          <w:color w:val="EE0000"/>
          <w:lang w:val="en-US"/>
        </w:rPr>
      </w:pPr>
      <w:r w:rsidRPr="006F0982">
        <w:rPr>
          <w:i w:val="0"/>
          <w:iCs/>
          <w:color w:val="EE0000"/>
          <w:lang w:val="en-US"/>
        </w:rPr>
        <w:t>This query CANNOT be answered with the current data model.</w:t>
      </w:r>
    </w:p>
    <w:p w14:paraId="2D3CAAE3" w14:textId="722B8B72" w:rsidR="00420C43" w:rsidRPr="00420C43" w:rsidRDefault="00774F53" w:rsidP="00420C43">
      <w:pPr>
        <w:pStyle w:val="TaskContent"/>
        <w:rPr>
          <w:i w:val="0"/>
          <w:iCs/>
          <w:lang w:val="en-US"/>
        </w:rPr>
      </w:pPr>
      <w:r w:rsidRPr="00774F53">
        <w:rPr>
          <w:i w:val="0"/>
          <w:iCs/>
          <w:lang w:val="en-US"/>
        </w:rPr>
        <w:t>The data model does not store the number of inputs per individual transaction (</w:t>
      </w:r>
      <w:proofErr w:type="spellStart"/>
      <w:r w:rsidRPr="00774F53">
        <w:rPr>
          <w:i w:val="0"/>
          <w:iCs/>
          <w:lang w:val="en-US"/>
        </w:rPr>
        <w:t>input_count</w:t>
      </w:r>
      <w:proofErr w:type="spellEnd"/>
      <w:r w:rsidRPr="00774F53">
        <w:rPr>
          <w:i w:val="0"/>
          <w:iCs/>
          <w:lang w:val="en-US"/>
        </w:rPr>
        <w:t xml:space="preserve"> at transaction grain). Classifying a transaction as 'single-input' versus 'multi-input' requires a transaction-level attribute (e.g. </w:t>
      </w:r>
      <w:proofErr w:type="spellStart"/>
      <w:r w:rsidRPr="00774F53">
        <w:rPr>
          <w:i w:val="0"/>
          <w:iCs/>
          <w:lang w:val="en-US"/>
        </w:rPr>
        <w:t>vin_count</w:t>
      </w:r>
      <w:proofErr w:type="spellEnd"/>
      <w:r w:rsidRPr="00774F53">
        <w:rPr>
          <w:i w:val="0"/>
          <w:iCs/>
          <w:lang w:val="en-US"/>
        </w:rPr>
        <w:t xml:space="preserve">). If the fact table only holds </w:t>
      </w:r>
      <w:r w:rsidRPr="00774F53">
        <w:rPr>
          <w:i w:val="0"/>
          <w:iCs/>
          <w:lang w:val="en-US"/>
        </w:rPr>
        <w:lastRenderedPageBreak/>
        <w:t xml:space="preserve">aggregated block-level metrics, the input cardinality per transaction is lost during ETL. Furthermore, </w:t>
      </w:r>
      <w:proofErr w:type="gramStart"/>
      <w:r w:rsidRPr="00774F53">
        <w:rPr>
          <w:i w:val="0"/>
          <w:iCs/>
          <w:lang w:val="en-US"/>
        </w:rPr>
        <w:t>cross-tabulating</w:t>
      </w:r>
      <w:proofErr w:type="gramEnd"/>
      <w:r w:rsidRPr="00774F53">
        <w:rPr>
          <w:i w:val="0"/>
          <w:iCs/>
          <w:lang w:val="en-US"/>
        </w:rPr>
        <w:t xml:space="preserve"> this attribute against the script type (P2PKH, P2SH, P2WPKH, etc.) requires both dimensions on the same transaction row. Without this granularity, the pivot table cannot distinguish address-consolidation patterns from simple single-input spends across legacy vs </w:t>
      </w:r>
      <w:proofErr w:type="spellStart"/>
      <w:r w:rsidRPr="00774F53">
        <w:rPr>
          <w:i w:val="0"/>
          <w:iCs/>
          <w:lang w:val="en-US"/>
        </w:rPr>
        <w:t>SegWit</w:t>
      </w:r>
      <w:proofErr w:type="spellEnd"/>
      <w:r w:rsidRPr="00774F53">
        <w:rPr>
          <w:i w:val="0"/>
          <w:iCs/>
          <w:lang w:val="en-US"/>
        </w:rPr>
        <w:t xml:space="preserve"> types</w:t>
      </w:r>
      <w:r w:rsidRPr="006F0982">
        <w:rPr>
          <w:i w:val="0"/>
          <w:iCs/>
          <w:lang w:val="en-US"/>
        </w:rPr>
        <w:t>.</w:t>
      </w:r>
    </w:p>
    <w:p w14:paraId="1D228CCE" w14:textId="39E7EDCC" w:rsidR="00875A24" w:rsidRDefault="00875A24" w:rsidP="00875A24">
      <w:pPr>
        <w:pStyle w:val="Ttulo3"/>
      </w:pPr>
      <w:r>
        <w:t>1.</w:t>
      </w:r>
      <w:r>
        <w:t>6</w:t>
      </w:r>
      <w:r>
        <w:t xml:space="preserve"> </w:t>
      </w:r>
      <w:r w:rsidRPr="00D91C5C">
        <w:rPr>
          <w:lang w:val="en-US"/>
        </w:rPr>
        <w:t>Transaction Evolution Across Halving Eras</w:t>
      </w:r>
    </w:p>
    <w:p w14:paraId="5DA1B059" w14:textId="6B4A2BF0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>How have transaction counts, average transaction sizes (</w:t>
      </w:r>
      <w:proofErr w:type="spellStart"/>
      <w:r w:rsidRPr="00D91C5C">
        <w:rPr>
          <w:lang w:val="en-US"/>
        </w:rPr>
        <w:t>vBytes</w:t>
      </w:r>
      <w:proofErr w:type="spellEnd"/>
      <w:r w:rsidRPr="00D91C5C">
        <w:rPr>
          <w:lang w:val="en-US"/>
        </w:rPr>
        <w:t>), and average block density evolved across the four completed Bitcoin halving cycles?</w:t>
      </w:r>
    </w:p>
    <w:p w14:paraId="1EF7208C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09A86903" w14:textId="6F4EB04D" w:rsidR="00420C43" w:rsidRDefault="00774F53" w:rsidP="00420C43">
      <w:pPr>
        <w:pStyle w:val="TaskContent"/>
        <w:rPr>
          <w:i w:val="0"/>
          <w:iCs/>
          <w:lang w:val="en-US"/>
        </w:rPr>
      </w:pPr>
      <w:r>
        <w:rPr>
          <w:noProof/>
        </w:rPr>
        <w:drawing>
          <wp:inline distT="0" distB="0" distL="0" distR="0" wp14:anchorId="38CE7335" wp14:editId="792745B4">
            <wp:extent cx="4267200" cy="2247900"/>
            <wp:effectExtent l="0" t="0" r="0" b="0"/>
            <wp:docPr id="10120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327" name=""/>
                    <pic:cNvPicPr/>
                  </pic:nvPicPr>
                  <pic:blipFill rotWithShape="1">
                    <a:blip r:embed="rId15"/>
                    <a:srcRect t="1" r="-449" b="1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79713" w14:textId="42AE2E9E" w:rsidR="00774F53" w:rsidRPr="00420C43" w:rsidRDefault="00774F53" w:rsidP="00420C43">
      <w:pPr>
        <w:pStyle w:val="TaskContent"/>
        <w:rPr>
          <w:i w:val="0"/>
          <w:iCs/>
          <w:lang w:val="en-US"/>
        </w:rPr>
      </w:pPr>
      <w:r w:rsidRPr="00774F53">
        <w:rPr>
          <w:i w:val="0"/>
          <w:iCs/>
          <w:lang w:val="en-US"/>
        </w:rPr>
        <w:t xml:space="preserve">Note: Current data covers Era 5 only (post-4th halving). 657,968 transactions account for 170,324,696 total </w:t>
      </w:r>
      <w:proofErr w:type="spellStart"/>
      <w:r w:rsidRPr="00774F53">
        <w:rPr>
          <w:i w:val="0"/>
          <w:iCs/>
          <w:lang w:val="en-US"/>
        </w:rPr>
        <w:t>vBytes</w:t>
      </w:r>
      <w:proofErr w:type="spellEnd"/>
      <w:r w:rsidRPr="00774F53">
        <w:rPr>
          <w:i w:val="0"/>
          <w:iCs/>
          <w:lang w:val="en-US"/>
        </w:rPr>
        <w:t xml:space="preserve"> (~259 </w:t>
      </w:r>
      <w:proofErr w:type="spellStart"/>
      <w:r w:rsidRPr="00774F53">
        <w:rPr>
          <w:i w:val="0"/>
          <w:iCs/>
          <w:lang w:val="en-US"/>
        </w:rPr>
        <w:t>vB</w:t>
      </w:r>
      <w:proofErr w:type="spellEnd"/>
      <w:r w:rsidRPr="00774F53">
        <w:rPr>
          <w:i w:val="0"/>
          <w:iCs/>
          <w:lang w:val="en-US"/>
        </w:rPr>
        <w:t xml:space="preserve"> average per transaction, consistent with </w:t>
      </w:r>
      <w:proofErr w:type="spellStart"/>
      <w:r w:rsidRPr="00774F53">
        <w:rPr>
          <w:i w:val="0"/>
          <w:iCs/>
          <w:lang w:val="en-US"/>
        </w:rPr>
        <w:t>SegWit</w:t>
      </w:r>
      <w:proofErr w:type="spellEnd"/>
      <w:r w:rsidRPr="00774F53">
        <w:rPr>
          <w:i w:val="0"/>
          <w:iCs/>
          <w:lang w:val="en-US"/>
        </w:rPr>
        <w:t xml:space="preserve"> adoption).</w:t>
      </w:r>
    </w:p>
    <w:p w14:paraId="46832BB6" w14:textId="54811D47" w:rsidR="00875A24" w:rsidRDefault="00875A24" w:rsidP="00875A24">
      <w:pPr>
        <w:pStyle w:val="Ttulo3"/>
      </w:pPr>
      <w:r>
        <w:t>1.</w:t>
      </w:r>
      <w:r>
        <w:t>7</w:t>
      </w:r>
      <w:r>
        <w:t xml:space="preserve"> </w:t>
      </w:r>
      <w:r w:rsidRPr="00D91C5C">
        <w:rPr>
          <w:lang w:val="en-US"/>
        </w:rPr>
        <w:t>Coinbase vs. Standard Transaction Composition Over Time</w:t>
      </w:r>
    </w:p>
    <w:p w14:paraId="40B9329E" w14:textId="1036B02E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 xml:space="preserve">What is the proportion of </w:t>
      </w:r>
      <w:proofErr w:type="spellStart"/>
      <w:r w:rsidRPr="00D91C5C">
        <w:rPr>
          <w:lang w:val="en-US"/>
        </w:rPr>
        <w:t>coinbase</w:t>
      </w:r>
      <w:proofErr w:type="spellEnd"/>
      <w:r w:rsidRPr="00D91C5C">
        <w:rPr>
          <w:lang w:val="en-US"/>
        </w:rPr>
        <w:t xml:space="preserve"> transactions versus standard ones in count and total output value, and how does the miner-reward share shift across halving eras as the block subsidy halves?</w:t>
      </w:r>
    </w:p>
    <w:p w14:paraId="1BD7BA62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3E15F30E" w14:textId="224D762A" w:rsidR="00420C43" w:rsidRDefault="00774F53" w:rsidP="00420C43">
      <w:pPr>
        <w:pStyle w:val="TaskContent"/>
        <w:rPr>
          <w:i w:val="0"/>
          <w:iCs/>
          <w:lang w:val="en-US"/>
        </w:rPr>
      </w:pPr>
      <w:r>
        <w:rPr>
          <w:noProof/>
        </w:rPr>
        <w:drawing>
          <wp:inline distT="0" distB="0" distL="0" distR="0" wp14:anchorId="10BAEBB9" wp14:editId="5C4BA377">
            <wp:extent cx="6353175" cy="3097305"/>
            <wp:effectExtent l="0" t="0" r="0" b="8255"/>
            <wp:docPr id="529714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4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0052" cy="31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0601" w14:textId="3CA743C4" w:rsidR="00774F53" w:rsidRPr="00420C43" w:rsidRDefault="00774F53" w:rsidP="00420C43">
      <w:pPr>
        <w:pStyle w:val="TaskContent"/>
        <w:rPr>
          <w:i w:val="0"/>
          <w:iCs/>
          <w:lang w:val="en-US"/>
        </w:rPr>
      </w:pPr>
      <w:r w:rsidRPr="00774F53">
        <w:rPr>
          <w:i w:val="0"/>
          <w:iCs/>
          <w:lang w:val="en-US"/>
        </w:rPr>
        <w:t xml:space="preserve">Note: Coinbase transactions ('Yes') represent 6,600 of 657,968 total transactions (≈1.00 %), consistent with one </w:t>
      </w:r>
      <w:proofErr w:type="spellStart"/>
      <w:r w:rsidRPr="00774F53">
        <w:rPr>
          <w:i w:val="0"/>
          <w:iCs/>
          <w:lang w:val="en-US"/>
        </w:rPr>
        <w:t>coinbase</w:t>
      </w:r>
      <w:proofErr w:type="spellEnd"/>
      <w:r w:rsidRPr="00774F53">
        <w:rPr>
          <w:i w:val="0"/>
          <w:iCs/>
          <w:lang w:val="en-US"/>
        </w:rPr>
        <w:t xml:space="preserve"> </w:t>
      </w:r>
      <w:proofErr w:type="spellStart"/>
      <w:r w:rsidRPr="00774F53">
        <w:rPr>
          <w:i w:val="0"/>
          <w:iCs/>
          <w:lang w:val="en-US"/>
        </w:rPr>
        <w:t>tx</w:t>
      </w:r>
      <w:proofErr w:type="spellEnd"/>
      <w:r w:rsidRPr="00774F53">
        <w:rPr>
          <w:i w:val="0"/>
          <w:iCs/>
          <w:lang w:val="en-US"/>
        </w:rPr>
        <w:t xml:space="preserve"> per block. Their output value of 20,769.66 BTC versus 5,119,597.72 BTC standard shows the block-subsidy share is now minimal in Era 5.</w:t>
      </w:r>
    </w:p>
    <w:p w14:paraId="111B0293" w14:textId="1C3CFAFA" w:rsidR="00875A24" w:rsidRDefault="00875A24" w:rsidP="00875A24">
      <w:pPr>
        <w:pStyle w:val="Ttulo3"/>
      </w:pPr>
      <w:r>
        <w:lastRenderedPageBreak/>
        <w:t>1.</w:t>
      </w:r>
      <w:r>
        <w:t>8</w:t>
      </w:r>
      <w:r>
        <w:t xml:space="preserve"> </w:t>
      </w:r>
      <w:r w:rsidRPr="00D91C5C">
        <w:rPr>
          <w:lang w:val="en-US"/>
        </w:rPr>
        <w:t>NVT Ratio Under Different Sentiment Regimes</w:t>
      </w:r>
    </w:p>
    <w:p w14:paraId="4080D172" w14:textId="7D589286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 xml:space="preserve">How does the daily settlement value in USD relative to BTC market </w:t>
      </w:r>
      <w:proofErr w:type="spellStart"/>
      <w:r w:rsidRPr="00D91C5C">
        <w:rPr>
          <w:lang w:val="en-US"/>
        </w:rPr>
        <w:t>capitalisation</w:t>
      </w:r>
      <w:proofErr w:type="spellEnd"/>
      <w:r w:rsidRPr="00D91C5C">
        <w:rPr>
          <w:lang w:val="en-US"/>
        </w:rPr>
        <w:t xml:space="preserve"> (Network Value to Transactions ratio) behave during neutral versus extreme-sentiment days?</w:t>
      </w:r>
    </w:p>
    <w:p w14:paraId="28EFD9B5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32ADAD1D" w14:textId="57C95EE5" w:rsidR="00774F53" w:rsidRPr="00AA2E80" w:rsidRDefault="00774F53" w:rsidP="00774F53">
      <w:pPr>
        <w:pStyle w:val="TaskContent"/>
        <w:rPr>
          <w:i w:val="0"/>
          <w:iCs/>
          <w:color w:val="EE0000"/>
          <w:lang w:val="en-US"/>
        </w:rPr>
      </w:pPr>
      <w:r w:rsidRPr="006F0982">
        <w:rPr>
          <w:i w:val="0"/>
          <w:iCs/>
          <w:color w:val="EE0000"/>
          <w:lang w:val="en-US"/>
        </w:rPr>
        <w:t>This query CANNOT be answered with the current data model.</w:t>
      </w:r>
    </w:p>
    <w:p w14:paraId="147FBFAF" w14:textId="735EC6FD" w:rsidR="00420C43" w:rsidRPr="00420C43" w:rsidRDefault="00774F53" w:rsidP="00420C43">
      <w:pPr>
        <w:pStyle w:val="TaskContent"/>
        <w:rPr>
          <w:i w:val="0"/>
          <w:iCs/>
          <w:lang w:val="en-US"/>
        </w:rPr>
      </w:pPr>
      <w:r w:rsidRPr="00774F53">
        <w:rPr>
          <w:i w:val="0"/>
          <w:iCs/>
          <w:lang w:val="en-US"/>
        </w:rPr>
        <w:t xml:space="preserve">Computing the NVT (Network Value to Transactions) ratio requires BTC market </w:t>
      </w:r>
      <w:proofErr w:type="spellStart"/>
      <w:r w:rsidRPr="00774F53">
        <w:rPr>
          <w:i w:val="0"/>
          <w:iCs/>
          <w:lang w:val="en-US"/>
        </w:rPr>
        <w:t>capitalisation</w:t>
      </w:r>
      <w:proofErr w:type="spellEnd"/>
      <w:r w:rsidRPr="00774F53">
        <w:rPr>
          <w:i w:val="0"/>
          <w:iCs/>
          <w:lang w:val="en-US"/>
        </w:rPr>
        <w:t xml:space="preserve"> data </w:t>
      </w:r>
      <w:r w:rsidR="009D3B88">
        <w:rPr>
          <w:i w:val="0"/>
          <w:iCs/>
          <w:lang w:val="en-US"/>
        </w:rPr>
        <w:t>-</w:t>
      </w:r>
      <w:r w:rsidRPr="00774F53">
        <w:rPr>
          <w:i w:val="0"/>
          <w:iCs/>
          <w:lang w:val="en-US"/>
        </w:rPr>
        <w:t xml:space="preserve"> specifically the daily total market cap in USD (price × circulating supply). The current data model includes the Fear &amp; Greed Index as a sentiment proxy, and may include daily settlement value in USD, but it does not store circulating BTC supply or a market-cap column. Without market </w:t>
      </w:r>
      <w:proofErr w:type="spellStart"/>
      <w:r w:rsidRPr="00774F53">
        <w:rPr>
          <w:i w:val="0"/>
          <w:iCs/>
          <w:lang w:val="en-US"/>
        </w:rPr>
        <w:t>capitalisation</w:t>
      </w:r>
      <w:proofErr w:type="spellEnd"/>
      <w:r w:rsidRPr="00774F53">
        <w:rPr>
          <w:i w:val="0"/>
          <w:iCs/>
          <w:lang w:val="en-US"/>
        </w:rPr>
        <w:t xml:space="preserve">, the </w:t>
      </w:r>
      <w:proofErr w:type="gramStart"/>
      <w:r w:rsidRPr="00774F53">
        <w:rPr>
          <w:i w:val="0"/>
          <w:iCs/>
          <w:lang w:val="en-US"/>
        </w:rPr>
        <w:t xml:space="preserve">ratio </w:t>
      </w:r>
      <w:proofErr w:type="spellStart"/>
      <w:r w:rsidRPr="00774F53">
        <w:rPr>
          <w:i w:val="0"/>
          <w:iCs/>
          <w:lang w:val="en-US"/>
        </w:rPr>
        <w:t>USD_settlement</w:t>
      </w:r>
      <w:proofErr w:type="spellEnd"/>
      <w:r w:rsidRPr="00774F53">
        <w:rPr>
          <w:i w:val="0"/>
          <w:iCs/>
          <w:lang w:val="en-US"/>
        </w:rPr>
        <w:t xml:space="preserve"> / </w:t>
      </w:r>
      <w:proofErr w:type="spellStart"/>
      <w:r w:rsidRPr="00774F53">
        <w:rPr>
          <w:i w:val="0"/>
          <w:iCs/>
          <w:lang w:val="en-US"/>
        </w:rPr>
        <w:t>market_cap</w:t>
      </w:r>
      <w:proofErr w:type="spellEnd"/>
      <w:proofErr w:type="gramEnd"/>
      <w:r w:rsidRPr="00774F53">
        <w:rPr>
          <w:i w:val="0"/>
          <w:iCs/>
          <w:lang w:val="en-US"/>
        </w:rPr>
        <w:t xml:space="preserve"> cannot be derived. Segmenting NVT </w:t>
      </w:r>
      <w:proofErr w:type="spellStart"/>
      <w:r w:rsidRPr="00774F53">
        <w:rPr>
          <w:i w:val="0"/>
          <w:iCs/>
          <w:lang w:val="en-US"/>
        </w:rPr>
        <w:t>behaviour</w:t>
      </w:r>
      <w:proofErr w:type="spellEnd"/>
      <w:r w:rsidRPr="00774F53">
        <w:rPr>
          <w:i w:val="0"/>
          <w:iCs/>
          <w:lang w:val="en-US"/>
        </w:rPr>
        <w:t xml:space="preserve"> by sentiment regime (neutral vs extreme) additionally requires the Fear &amp; Greed label to be joined to the daily settlement fact at the correct date grain. If the dimension table for Fear &amp; Greed does not contain a 'regime' or bucketed label column (e.g. Extreme Fear / Fear / Neutral / Greed / Extreme Greed), the segmentation is also not possible without an additional calculated column or DAX measure.</w:t>
      </w:r>
    </w:p>
    <w:p w14:paraId="411150A6" w14:textId="75ACEE91" w:rsidR="00875A24" w:rsidRDefault="00875A24" w:rsidP="00875A24">
      <w:pPr>
        <w:pStyle w:val="Ttulo3"/>
      </w:pPr>
      <w:r>
        <w:t>1.</w:t>
      </w:r>
      <w:r>
        <w:t>9</w:t>
      </w:r>
      <w:r>
        <w:t xml:space="preserve"> </w:t>
      </w:r>
      <w:r w:rsidRPr="00D91C5C">
        <w:rPr>
          <w:lang w:val="en-US"/>
        </w:rPr>
        <w:t>Block Space Efficiency by Difficulty Tier and Halving Era</w:t>
      </w:r>
    </w:p>
    <w:p w14:paraId="07F64036" w14:textId="1E9B7518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 xml:space="preserve">How does average transaction </w:t>
      </w:r>
      <w:proofErr w:type="spellStart"/>
      <w:r w:rsidRPr="00D91C5C">
        <w:rPr>
          <w:lang w:val="en-US"/>
        </w:rPr>
        <w:t>vSize</w:t>
      </w:r>
      <w:proofErr w:type="spellEnd"/>
      <w:r w:rsidRPr="00D91C5C">
        <w:rPr>
          <w:lang w:val="en-US"/>
        </w:rPr>
        <w:t xml:space="preserve"> and fee rate differ across difficulty tiers, and does block-space efficiency (smaller transactions per block) improve as </w:t>
      </w:r>
      <w:proofErr w:type="spellStart"/>
      <w:r w:rsidRPr="00D91C5C">
        <w:rPr>
          <w:lang w:val="en-US"/>
        </w:rPr>
        <w:t>SegWit</w:t>
      </w:r>
      <w:proofErr w:type="spellEnd"/>
      <w:r w:rsidRPr="00D91C5C">
        <w:rPr>
          <w:lang w:val="en-US"/>
        </w:rPr>
        <w:t xml:space="preserve"> adoption progresses into higher-difficulty eras?</w:t>
      </w:r>
    </w:p>
    <w:p w14:paraId="0D0A1C41" w14:textId="77777777" w:rsidR="00420C43" w:rsidRPr="00D91C5C" w:rsidRDefault="00420C43" w:rsidP="00420C43">
      <w:pPr>
        <w:spacing w:before="80" w:after="80"/>
        <w:rPr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57EAABC6" w14:textId="44D4FA72" w:rsidR="00420C43" w:rsidRDefault="00AA2E80" w:rsidP="00420C43">
      <w:pPr>
        <w:pStyle w:val="TaskContent"/>
        <w:rPr>
          <w:i w:val="0"/>
          <w:iCs/>
          <w:lang w:val="en-US"/>
        </w:rPr>
      </w:pPr>
      <w:r>
        <w:rPr>
          <w:noProof/>
        </w:rPr>
        <w:drawing>
          <wp:inline distT="0" distB="0" distL="0" distR="0" wp14:anchorId="3998B424" wp14:editId="7358B373">
            <wp:extent cx="6648450" cy="3358614"/>
            <wp:effectExtent l="0" t="0" r="0" b="0"/>
            <wp:docPr id="70107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6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8554" cy="33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D40" w14:textId="3C1C0DD5" w:rsidR="00774F53" w:rsidRDefault="00774F53" w:rsidP="00420C43">
      <w:pPr>
        <w:pStyle w:val="TaskContent"/>
        <w:rPr>
          <w:i w:val="0"/>
          <w:iCs/>
          <w:lang w:val="en-US"/>
        </w:rPr>
      </w:pPr>
      <w:r w:rsidRPr="00774F53">
        <w:rPr>
          <w:i w:val="0"/>
          <w:iCs/>
          <w:lang w:val="en-US"/>
        </w:rPr>
        <w:t>Note: All 657,968 transactions fall in the 'Extreme' difficulty tier (avg fee 18.26 sat/</w:t>
      </w:r>
      <w:proofErr w:type="spellStart"/>
      <w:r w:rsidRPr="00774F53">
        <w:rPr>
          <w:i w:val="0"/>
          <w:iCs/>
          <w:lang w:val="en-US"/>
        </w:rPr>
        <w:t>vByte</w:t>
      </w:r>
      <w:proofErr w:type="spellEnd"/>
      <w:r w:rsidRPr="00774F53">
        <w:rPr>
          <w:i w:val="0"/>
          <w:iCs/>
          <w:lang w:val="en-US"/>
        </w:rPr>
        <w:t xml:space="preserve">, 170,324,696 total </w:t>
      </w:r>
      <w:proofErr w:type="spellStart"/>
      <w:r w:rsidRPr="00774F53">
        <w:rPr>
          <w:i w:val="0"/>
          <w:iCs/>
          <w:lang w:val="en-US"/>
        </w:rPr>
        <w:t>vBytes</w:t>
      </w:r>
      <w:proofErr w:type="spellEnd"/>
      <w:r w:rsidRPr="00774F53">
        <w:rPr>
          <w:i w:val="0"/>
          <w:iCs/>
          <w:lang w:val="en-US"/>
        </w:rPr>
        <w:t>). This reflects the record-high difficulty of Era 5. As only one difficulty tier is populated, cross-tier comparison requires historical data from earlier eras.</w:t>
      </w:r>
    </w:p>
    <w:p w14:paraId="0B56CD63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7881AB67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1A1E25A7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72197CAF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34C51C99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1B359487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310846C2" w14:textId="77777777" w:rsidR="00AA2E80" w:rsidRDefault="00AA2E80" w:rsidP="00420C43">
      <w:pPr>
        <w:pStyle w:val="TaskContent"/>
        <w:rPr>
          <w:i w:val="0"/>
          <w:iCs/>
          <w:lang w:val="en-US"/>
        </w:rPr>
      </w:pPr>
    </w:p>
    <w:p w14:paraId="03895524" w14:textId="77777777" w:rsidR="00AA2E80" w:rsidRPr="00420C43" w:rsidRDefault="00AA2E80" w:rsidP="00420C43">
      <w:pPr>
        <w:pStyle w:val="TaskContent"/>
        <w:rPr>
          <w:i w:val="0"/>
          <w:iCs/>
          <w:lang w:val="en-US"/>
        </w:rPr>
      </w:pPr>
    </w:p>
    <w:p w14:paraId="3AB1F129" w14:textId="69855C5C" w:rsidR="00875A24" w:rsidRDefault="00875A24" w:rsidP="00875A24">
      <w:pPr>
        <w:pStyle w:val="Ttulo3"/>
      </w:pPr>
      <w:r>
        <w:lastRenderedPageBreak/>
        <w:t>1.1</w:t>
      </w:r>
      <w:r>
        <w:t>0</w:t>
      </w:r>
      <w:r>
        <w:t xml:space="preserve"> </w:t>
      </w:r>
      <w:r w:rsidRPr="00D91C5C">
        <w:rPr>
          <w:lang w:val="en-US"/>
        </w:rPr>
        <w:t>Weekend vs. Weekday Fee Rate and Volume Patterns</w:t>
      </w:r>
    </w:p>
    <w:p w14:paraId="74945862" w14:textId="618A3488" w:rsidR="00420C43" w:rsidRPr="00D91C5C" w:rsidRDefault="00420C43" w:rsidP="00420C43">
      <w:pPr>
        <w:spacing w:before="80" w:after="80"/>
        <w:rPr>
          <w:lang w:val="en-US"/>
        </w:rPr>
      </w:pPr>
      <w:r w:rsidRPr="00D91C5C">
        <w:rPr>
          <w:b/>
          <w:bCs/>
          <w:lang w:val="en-US"/>
        </w:rPr>
        <w:t xml:space="preserve">Analytical Question: </w:t>
      </w:r>
      <w:r w:rsidRPr="00D91C5C">
        <w:rPr>
          <w:lang w:val="en-US"/>
        </w:rPr>
        <w:t>Do average fee rates and transaction volumes differ systematically between weekdays and weekends, and which day of the week offers the cheapest on-chain transactions?</w:t>
      </w:r>
    </w:p>
    <w:p w14:paraId="7A0F91FF" w14:textId="77777777" w:rsidR="00420C43" w:rsidRDefault="00420C43" w:rsidP="00420C43">
      <w:pPr>
        <w:spacing w:before="80" w:after="80"/>
        <w:rPr>
          <w:b/>
          <w:bCs/>
          <w:lang w:val="en-US"/>
        </w:rPr>
      </w:pPr>
      <w:r>
        <w:rPr>
          <w:b/>
          <w:bCs/>
          <w:lang w:val="en-US"/>
        </w:rPr>
        <w:t>Answer</w:t>
      </w:r>
      <w:r w:rsidRPr="00D91C5C">
        <w:rPr>
          <w:b/>
          <w:bCs/>
          <w:lang w:val="en-US"/>
        </w:rPr>
        <w:t>:</w:t>
      </w:r>
    </w:p>
    <w:p w14:paraId="5334D354" w14:textId="1024EFCF" w:rsidR="00774F53" w:rsidRDefault="00AA2E80" w:rsidP="00420C43">
      <w:pPr>
        <w:spacing w:before="80" w:after="8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410A260" wp14:editId="3D323656">
            <wp:extent cx="6143625" cy="3038475"/>
            <wp:effectExtent l="0" t="0" r="9525" b="9525"/>
            <wp:docPr id="201715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0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2F23" w14:textId="487711F5" w:rsidR="00774F53" w:rsidRPr="00D91C5C" w:rsidRDefault="00774F53" w:rsidP="00420C43">
      <w:pPr>
        <w:spacing w:before="80" w:after="80"/>
        <w:rPr>
          <w:lang w:val="en-US"/>
        </w:rPr>
      </w:pPr>
      <w:r w:rsidRPr="00774F53">
        <w:rPr>
          <w:lang w:val="en-US"/>
        </w:rPr>
        <w:t>Note: Sunday has the lowest avg fee rate (14.57 sat/</w:t>
      </w:r>
      <w:proofErr w:type="spellStart"/>
      <w:r w:rsidRPr="00774F53">
        <w:rPr>
          <w:lang w:val="en-US"/>
        </w:rPr>
        <w:t>vByte</w:t>
      </w:r>
      <w:proofErr w:type="spellEnd"/>
      <w:r w:rsidRPr="00774F53">
        <w:rPr>
          <w:lang w:val="en-US"/>
        </w:rPr>
        <w:t>) and Saturday ranks second (15.17), confirming weekend discounts. Tuesday is the most expensive day (24.07 sat/</w:t>
      </w:r>
      <w:proofErr w:type="spellStart"/>
      <w:r w:rsidRPr="00774F53">
        <w:rPr>
          <w:lang w:val="en-US"/>
        </w:rPr>
        <w:t>vByte</w:t>
      </w:r>
      <w:proofErr w:type="spellEnd"/>
      <w:r w:rsidRPr="00774F53">
        <w:rPr>
          <w:lang w:val="en-US"/>
        </w:rPr>
        <w:t xml:space="preserve">). Transaction volume peaks on Saturday (102,654) and Monday (102,221), while Wednesday sees the lowest activity (79,582 </w:t>
      </w:r>
      <w:proofErr w:type="spellStart"/>
      <w:r w:rsidRPr="00774F53">
        <w:rPr>
          <w:lang w:val="en-US"/>
        </w:rPr>
        <w:t>txs</w:t>
      </w:r>
      <w:proofErr w:type="spellEnd"/>
      <w:r w:rsidRPr="00774F53">
        <w:rPr>
          <w:lang w:val="en-US"/>
        </w:rPr>
        <w:t>).</w:t>
      </w:r>
    </w:p>
    <w:p w14:paraId="4260E124" w14:textId="77777777" w:rsidR="00420C43" w:rsidRPr="00420C43" w:rsidRDefault="00420C43" w:rsidP="00420C43">
      <w:pPr>
        <w:pStyle w:val="TaskContent"/>
        <w:rPr>
          <w:i w:val="0"/>
          <w:iCs/>
          <w:lang w:val="en-US"/>
        </w:rPr>
      </w:pPr>
    </w:p>
    <w:p w14:paraId="2CD730C9" w14:textId="555F7947" w:rsidR="00C6080D" w:rsidRPr="00C6080D" w:rsidRDefault="00C6080D" w:rsidP="00C6080D">
      <w:pPr>
        <w:pStyle w:val="Ttulo2"/>
        <w:rPr>
          <w:b/>
          <w:sz w:val="24"/>
        </w:rPr>
      </w:pPr>
      <w:r w:rsidRPr="00C6080D">
        <w:rPr>
          <w:b/>
          <w:sz w:val="24"/>
        </w:rPr>
        <w:t xml:space="preserve">Task </w:t>
      </w:r>
      <w:r w:rsidR="005E2C2B">
        <w:rPr>
          <w:b/>
          <w:sz w:val="24"/>
        </w:rPr>
        <w:t>2</w:t>
      </w:r>
      <w:r w:rsidR="00D274B3">
        <w:rPr>
          <w:b/>
          <w:sz w:val="24"/>
        </w:rPr>
        <w:t xml:space="preserve"> </w:t>
      </w:r>
      <w:r w:rsidR="003C1571">
        <w:rPr>
          <w:b/>
          <w:sz w:val="24"/>
        </w:rPr>
        <w:t>-</w:t>
      </w:r>
      <w:r w:rsidRPr="00C6080D">
        <w:rPr>
          <w:b/>
          <w:sz w:val="24"/>
        </w:rPr>
        <w:t xml:space="preserve"> </w:t>
      </w:r>
      <w:r w:rsidR="00D54310">
        <w:rPr>
          <w:b/>
          <w:sz w:val="24"/>
        </w:rPr>
        <w:t xml:space="preserve">Data Visualization </w:t>
      </w:r>
      <w:r w:rsidR="003C1571">
        <w:rPr>
          <w:b/>
          <w:sz w:val="24"/>
        </w:rPr>
        <w:t>-</w:t>
      </w:r>
      <w:r w:rsidR="00D274B3">
        <w:rPr>
          <w:b/>
          <w:sz w:val="24"/>
        </w:rPr>
        <w:t xml:space="preserve"> </w:t>
      </w:r>
      <w:r w:rsidRPr="00C6080D">
        <w:rPr>
          <w:b/>
          <w:sz w:val="24"/>
        </w:rPr>
        <w:t>details</w:t>
      </w:r>
      <w:r w:rsidR="00521C5D">
        <w:rPr>
          <w:b/>
          <w:sz w:val="24"/>
        </w:rPr>
        <w:t>:</w:t>
      </w:r>
    </w:p>
    <w:p w14:paraId="567764D0" w14:textId="3B32FAC4" w:rsidR="00C6080D" w:rsidRDefault="00013596" w:rsidP="003B6A42">
      <w:pPr>
        <w:pStyle w:val="QuestionDesc"/>
        <w:rPr>
          <w:lang w:val="en"/>
        </w:rPr>
      </w:pPr>
      <w:r>
        <w:rPr>
          <w:lang w:val="en"/>
        </w:rPr>
        <w:t xml:space="preserve">Before the start, please </w:t>
      </w:r>
      <w:r w:rsidR="00CC72BC">
        <w:rPr>
          <w:lang w:val="en"/>
        </w:rPr>
        <w:t xml:space="preserve">prepare a short description of the goal </w:t>
      </w:r>
      <w:r w:rsidR="003C1571">
        <w:rPr>
          <w:lang w:val="en"/>
        </w:rPr>
        <w:t>-</w:t>
      </w:r>
      <w:r w:rsidR="00CC72BC">
        <w:rPr>
          <w:lang w:val="en"/>
        </w:rPr>
        <w:t xml:space="preserve"> </w:t>
      </w:r>
      <w:r w:rsidR="00F254C4">
        <w:rPr>
          <w:lang w:val="en"/>
        </w:rPr>
        <w:t xml:space="preserve">introduce the </w:t>
      </w:r>
      <w:r w:rsidR="00CC72BC">
        <w:rPr>
          <w:lang w:val="en"/>
        </w:rPr>
        <w:t xml:space="preserve">user type and </w:t>
      </w:r>
      <w:r w:rsidR="00F254C4">
        <w:rPr>
          <w:lang w:val="en"/>
        </w:rPr>
        <w:t xml:space="preserve">the selected aspect. </w:t>
      </w:r>
    </w:p>
    <w:p w14:paraId="1924BA3E" w14:textId="5ED2D4EE" w:rsidR="00732BC7" w:rsidRDefault="00732BC7" w:rsidP="00732BC7">
      <w:pPr>
        <w:spacing w:after="0" w:line="240" w:lineRule="auto"/>
        <w:jc w:val="both"/>
        <w:textAlignment w:val="center"/>
        <w:rPr>
          <w:rFonts w:ascii="Calibri" w:eastAsia="Times New Roman" w:hAnsi="Calibri" w:cs="Times New Roman"/>
          <w:b/>
          <w:lang w:eastAsia="en-AU"/>
        </w:rPr>
      </w:pPr>
      <w:r w:rsidRPr="007C3089">
        <w:rPr>
          <w:rFonts w:ascii="Calibri" w:eastAsia="Times New Roman" w:hAnsi="Calibri" w:cs="Times New Roman"/>
          <w:i/>
          <w:lang w:eastAsia="en-AU"/>
        </w:rPr>
        <w:t>General note:</w:t>
      </w:r>
      <w:r>
        <w:rPr>
          <w:rFonts w:ascii="Calibri" w:eastAsia="Times New Roman" w:hAnsi="Calibri" w:cs="Times New Roman"/>
          <w:b/>
          <w:lang w:eastAsia="en-AU"/>
        </w:rPr>
        <w:t xml:space="preserve"> </w:t>
      </w:r>
      <w:r w:rsidRPr="007C3089">
        <w:rPr>
          <w:rFonts w:ascii="Calibri" w:eastAsia="Times New Roman" w:hAnsi="Calibri" w:cs="Times New Roman"/>
          <w:b/>
          <w:i/>
          <w:lang w:eastAsia="en-AU"/>
        </w:rPr>
        <w:t xml:space="preserve">The complexity and completeness of the created cube </w:t>
      </w:r>
      <w:r w:rsidR="00CF1C78" w:rsidRPr="007C3089">
        <w:rPr>
          <w:rFonts w:ascii="Calibri" w:eastAsia="Times New Roman" w:hAnsi="Calibri" w:cs="Times New Roman"/>
          <w:b/>
          <w:i/>
          <w:lang w:eastAsia="en-AU"/>
        </w:rPr>
        <w:t>affect</w:t>
      </w:r>
      <w:r w:rsidRPr="007C3089">
        <w:rPr>
          <w:rFonts w:ascii="Calibri" w:eastAsia="Times New Roman" w:hAnsi="Calibri" w:cs="Times New Roman"/>
          <w:b/>
          <w:i/>
          <w:lang w:eastAsia="en-AU"/>
        </w:rPr>
        <w:t xml:space="preserve"> the grade. During ongoing lab assignments</w:t>
      </w:r>
      <w:r>
        <w:rPr>
          <w:rFonts w:ascii="Calibri" w:eastAsia="Times New Roman" w:hAnsi="Calibri" w:cs="Times New Roman"/>
          <w:b/>
          <w:i/>
          <w:lang w:eastAsia="en-AU"/>
        </w:rPr>
        <w:t xml:space="preserve"> and during lecture</w:t>
      </w:r>
      <w:r w:rsidRPr="007C3089">
        <w:rPr>
          <w:rFonts w:ascii="Calibri" w:eastAsia="Times New Roman" w:hAnsi="Calibri" w:cs="Times New Roman"/>
          <w:b/>
          <w:i/>
          <w:lang w:eastAsia="en-AU"/>
        </w:rPr>
        <w:t xml:space="preserve"> we have tackled </w:t>
      </w:r>
      <w:r>
        <w:rPr>
          <w:rFonts w:ascii="Calibri" w:eastAsia="Times New Roman" w:hAnsi="Calibri" w:cs="Times New Roman"/>
          <w:b/>
          <w:i/>
          <w:lang w:eastAsia="en-AU"/>
        </w:rPr>
        <w:t xml:space="preserve">different </w:t>
      </w:r>
      <w:r w:rsidRPr="007C3089">
        <w:rPr>
          <w:rFonts w:ascii="Calibri" w:eastAsia="Times New Roman" w:hAnsi="Calibri" w:cs="Times New Roman"/>
          <w:b/>
          <w:i/>
          <w:lang w:eastAsia="en-AU"/>
        </w:rPr>
        <w:t xml:space="preserve">properties and settings related to proper OLAP cube definition and creation </w:t>
      </w:r>
      <w:r w:rsidR="003C1571">
        <w:rPr>
          <w:rFonts w:ascii="Calibri" w:eastAsia="Times New Roman" w:hAnsi="Calibri" w:cs="Times New Roman"/>
          <w:b/>
          <w:i/>
          <w:lang w:eastAsia="en-AU"/>
        </w:rPr>
        <w:t>-</w:t>
      </w:r>
      <w:r w:rsidRPr="007C3089">
        <w:rPr>
          <w:rFonts w:ascii="Calibri" w:eastAsia="Times New Roman" w:hAnsi="Calibri" w:cs="Times New Roman"/>
          <w:b/>
          <w:i/>
          <w:lang w:eastAsia="en-AU"/>
        </w:rPr>
        <w:t xml:space="preserve"> try to use them and try to use them wisely.</w:t>
      </w:r>
    </w:p>
    <w:p w14:paraId="2D766CD4" w14:textId="77777777" w:rsidR="00B6371F" w:rsidRPr="00732BC7" w:rsidRDefault="00B6371F" w:rsidP="00732BC7">
      <w:pPr>
        <w:spacing w:after="0" w:line="240" w:lineRule="auto"/>
        <w:jc w:val="both"/>
        <w:textAlignment w:val="center"/>
        <w:rPr>
          <w:rFonts w:ascii="Calibri" w:eastAsia="Times New Roman" w:hAnsi="Calibri" w:cs="Times New Roman"/>
          <w:b/>
          <w:lang w:eastAsia="en-AU"/>
        </w:rPr>
      </w:pPr>
    </w:p>
    <w:p w14:paraId="0382E050" w14:textId="7D721A27" w:rsidR="00C6080D" w:rsidRDefault="00C6080D" w:rsidP="00C6080D">
      <w:pPr>
        <w:pStyle w:val="Ttulo2"/>
        <w:rPr>
          <w:sz w:val="24"/>
          <w:szCs w:val="24"/>
        </w:rPr>
      </w:pPr>
      <w:r w:rsidRPr="00EB2513">
        <w:rPr>
          <w:b/>
          <w:bCs/>
          <w:sz w:val="24"/>
          <w:szCs w:val="24"/>
        </w:rPr>
        <w:t xml:space="preserve">Task </w:t>
      </w:r>
      <w:r w:rsidR="00875A24">
        <w:rPr>
          <w:b/>
          <w:sz w:val="24"/>
        </w:rPr>
        <w:t>3</w:t>
      </w:r>
      <w:r w:rsidR="00521C5D">
        <w:rPr>
          <w:b/>
          <w:sz w:val="24"/>
        </w:rPr>
        <w:t xml:space="preserve"> </w:t>
      </w:r>
      <w:r w:rsidR="003C1571">
        <w:rPr>
          <w:b/>
          <w:sz w:val="24"/>
        </w:rPr>
        <w:t>-</w:t>
      </w:r>
      <w:r w:rsidR="00521C5D" w:rsidRPr="00C6080D">
        <w:rPr>
          <w:b/>
          <w:sz w:val="24"/>
        </w:rPr>
        <w:t xml:space="preserve"> </w:t>
      </w:r>
      <w:r w:rsidR="00F254C4">
        <w:rPr>
          <w:b/>
          <w:sz w:val="24"/>
        </w:rPr>
        <w:t xml:space="preserve">Data visualization </w:t>
      </w:r>
      <w:r w:rsidR="003C1571">
        <w:rPr>
          <w:b/>
          <w:sz w:val="24"/>
        </w:rPr>
        <w:t>-</w:t>
      </w:r>
      <w:r w:rsidR="00521C5D">
        <w:rPr>
          <w:b/>
          <w:sz w:val="24"/>
        </w:rPr>
        <w:t xml:space="preserve"> </w:t>
      </w:r>
      <w:r w:rsidRPr="00EB2513">
        <w:rPr>
          <w:b/>
          <w:bCs/>
          <w:sz w:val="24"/>
          <w:szCs w:val="24"/>
        </w:rPr>
        <w:t>Solutions</w:t>
      </w:r>
      <w:r w:rsidRPr="00EB2513">
        <w:rPr>
          <w:sz w:val="24"/>
          <w:szCs w:val="24"/>
        </w:rPr>
        <w:t>:</w:t>
      </w:r>
    </w:p>
    <w:p w14:paraId="097EAB49" w14:textId="5E72D431" w:rsidR="00254D07" w:rsidRDefault="00F254C4" w:rsidP="003878F6">
      <w:pPr>
        <w:pStyle w:val="TaskContent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 xml:space="preserve">Dashboard </w:t>
      </w:r>
      <w:r w:rsidR="00254D07">
        <w:rPr>
          <w:rFonts w:eastAsia="Times New Roman"/>
          <w:lang w:eastAsia="en-AU"/>
        </w:rPr>
        <w:t xml:space="preserve">implementation </w:t>
      </w:r>
      <w:r w:rsidR="003C1571">
        <w:rPr>
          <w:rFonts w:eastAsia="Times New Roman"/>
          <w:lang w:eastAsia="en-AU"/>
        </w:rPr>
        <w:t>-</w:t>
      </w:r>
      <w:r w:rsidR="00254D07">
        <w:rPr>
          <w:rFonts w:eastAsia="Times New Roman"/>
          <w:lang w:eastAsia="en-AU"/>
        </w:rPr>
        <w:t xml:space="preserve"> </w:t>
      </w:r>
      <w:r w:rsidR="00254D07" w:rsidRPr="000D7901">
        <w:rPr>
          <w:rFonts w:eastAsia="Times New Roman"/>
          <w:u w:val="single"/>
          <w:lang w:eastAsia="en-AU"/>
        </w:rPr>
        <w:t>using a tool of your choice</w:t>
      </w:r>
      <w:r w:rsidR="00254D07">
        <w:rPr>
          <w:rFonts w:eastAsia="Times New Roman"/>
          <w:lang w:eastAsia="en-AU"/>
        </w:rPr>
        <w:t xml:space="preserve"> (suggested </w:t>
      </w:r>
      <w:r>
        <w:rPr>
          <w:rFonts w:eastAsia="Times New Roman"/>
          <w:lang w:eastAsia="en-AU"/>
        </w:rPr>
        <w:t>Tableau</w:t>
      </w:r>
      <w:r w:rsidR="001C6E0C">
        <w:rPr>
          <w:rFonts w:eastAsia="Times New Roman"/>
          <w:lang w:eastAsia="en-AU"/>
        </w:rPr>
        <w:t xml:space="preserve">, </w:t>
      </w:r>
      <w:r w:rsidR="005D5808">
        <w:rPr>
          <w:rFonts w:eastAsia="Times New Roman"/>
          <w:lang w:eastAsia="en-AU"/>
        </w:rPr>
        <w:t>Power BI Desktop</w:t>
      </w:r>
      <w:r w:rsidR="001C6E0C">
        <w:rPr>
          <w:rFonts w:eastAsia="Times New Roman"/>
          <w:lang w:eastAsia="en-AU"/>
        </w:rPr>
        <w:t xml:space="preserve"> or </w:t>
      </w:r>
      <w:proofErr w:type="spellStart"/>
      <w:r w:rsidR="001C6E0C">
        <w:rPr>
          <w:rFonts w:eastAsia="Times New Roman"/>
          <w:lang w:eastAsia="en-AU"/>
        </w:rPr>
        <w:t>Metabase</w:t>
      </w:r>
      <w:proofErr w:type="spellEnd"/>
      <w:r w:rsidR="00254D07">
        <w:rPr>
          <w:rFonts w:eastAsia="Times New Roman"/>
          <w:lang w:eastAsia="en-AU"/>
        </w:rPr>
        <w:t>):</w:t>
      </w:r>
    </w:p>
    <w:p w14:paraId="46673F65" w14:textId="6F2ED7C2" w:rsidR="008F73DF" w:rsidRDefault="00217E8E" w:rsidP="00FD310A">
      <w:pPr>
        <w:pStyle w:val="QuestionTask"/>
      </w:pPr>
      <w:r>
        <w:t>Plan your dashboard</w:t>
      </w:r>
    </w:p>
    <w:p w14:paraId="761FD854" w14:textId="0D42312C" w:rsidR="00587A6F" w:rsidRDefault="00587A6F" w:rsidP="00587A6F">
      <w:pPr>
        <w:pStyle w:val="QuestionTask"/>
        <w:numPr>
          <w:ilvl w:val="1"/>
          <w:numId w:val="2"/>
        </w:numPr>
      </w:pPr>
      <w:r>
        <w:t xml:space="preserve">Briefly describe the focus of analysis </w:t>
      </w:r>
      <w:r w:rsidR="003C1571">
        <w:t>-</w:t>
      </w:r>
      <w:r>
        <w:t xml:space="preserve"> focus of the dashboard.</w:t>
      </w:r>
    </w:p>
    <w:p w14:paraId="4214F64F" w14:textId="6AD9F7C8" w:rsidR="006824EA" w:rsidRDefault="006824EA" w:rsidP="00217E8E">
      <w:pPr>
        <w:pStyle w:val="QuestionTask"/>
        <w:numPr>
          <w:ilvl w:val="1"/>
          <w:numId w:val="2"/>
        </w:numPr>
      </w:pPr>
      <w:r>
        <w:t xml:space="preserve">Identify individual visualisations needed to tell the story </w:t>
      </w:r>
      <w:r w:rsidR="003C1571">
        <w:t>-</w:t>
      </w:r>
      <w:r>
        <w:t xml:space="preserve"> </w:t>
      </w:r>
      <w:r w:rsidR="00E657EC">
        <w:t>define their messages (what are they supposed to show to the user)</w:t>
      </w:r>
      <w:r w:rsidR="00D4110E">
        <w:t xml:space="preserve"> </w:t>
      </w:r>
      <w:r w:rsidR="003C1571">
        <w:t>-</w:t>
      </w:r>
      <w:r w:rsidR="00D4110E">
        <w:t xml:space="preserve"> remember about the 7-/+2 rule (do not use more than 7 visualisations)</w:t>
      </w:r>
    </w:p>
    <w:p w14:paraId="2094FE1F" w14:textId="17673DB5" w:rsidR="00CE6505" w:rsidRDefault="00CE6505" w:rsidP="00CE6505">
      <w:pPr>
        <w:pStyle w:val="QuestionTask"/>
      </w:pPr>
      <w:r>
        <w:t xml:space="preserve">Implement </w:t>
      </w:r>
    </w:p>
    <w:p w14:paraId="4CC59769" w14:textId="74628D4E" w:rsidR="00C829B4" w:rsidRDefault="00C829B4" w:rsidP="00CE6505">
      <w:pPr>
        <w:pStyle w:val="QuestionTask"/>
        <w:numPr>
          <w:ilvl w:val="1"/>
          <w:numId w:val="2"/>
        </w:numPr>
      </w:pPr>
      <w:r>
        <w:t xml:space="preserve">Create dashboard </w:t>
      </w:r>
      <w:r w:rsidR="003C1571">
        <w:t>-</w:t>
      </w:r>
      <w:r>
        <w:t xml:space="preserve"> a collection of visualisations</w:t>
      </w:r>
    </w:p>
    <w:p w14:paraId="4477AF75" w14:textId="701E2E0F" w:rsidR="00C829B4" w:rsidRDefault="00C829B4" w:rsidP="00C829B4">
      <w:pPr>
        <w:pStyle w:val="QuestionTask"/>
        <w:numPr>
          <w:ilvl w:val="2"/>
          <w:numId w:val="2"/>
        </w:numPr>
      </w:pPr>
      <w:r>
        <w:t xml:space="preserve">Arrange elements to tell the story </w:t>
      </w:r>
      <w:r w:rsidR="003C1571">
        <w:t>-</w:t>
      </w:r>
      <w:r>
        <w:t xml:space="preserve"> follow the </w:t>
      </w:r>
      <w:r w:rsidR="000C1AB0">
        <w:t>top-left-corner to bottom-right-corner</w:t>
      </w:r>
      <w:r w:rsidR="00906A75">
        <w:t xml:space="preserve"> rule</w:t>
      </w:r>
    </w:p>
    <w:p w14:paraId="5ED11D8B" w14:textId="506AAAC3" w:rsidR="00CE6505" w:rsidRDefault="00CE6505" w:rsidP="00CE6505">
      <w:pPr>
        <w:pStyle w:val="QuestionTask"/>
        <w:numPr>
          <w:ilvl w:val="1"/>
          <w:numId w:val="2"/>
        </w:numPr>
      </w:pPr>
      <w:r>
        <w:t>Tweak the visualisation</w:t>
      </w:r>
      <w:r w:rsidR="00906A75">
        <w:t xml:space="preserve">s </w:t>
      </w:r>
      <w:r w:rsidR="003C1571">
        <w:t>-</w:t>
      </w:r>
      <w:r>
        <w:t xml:space="preserve"> apply proper formatting, apply proper </w:t>
      </w:r>
      <w:proofErr w:type="spellStart"/>
      <w:r>
        <w:t>color</w:t>
      </w:r>
      <w:proofErr w:type="spellEnd"/>
      <w:r w:rsidR="00A20F02">
        <w:t xml:space="preserve"> schemes</w:t>
      </w:r>
      <w:r>
        <w:t>, add additional information (labels, titles, etc.)</w:t>
      </w:r>
    </w:p>
    <w:p w14:paraId="199AFB8F" w14:textId="1551A3F3" w:rsidR="00906A75" w:rsidRDefault="00AA7CC8" w:rsidP="008C4E8F">
      <w:pPr>
        <w:pStyle w:val="QuestionTask"/>
      </w:pPr>
      <w:r>
        <w:t xml:space="preserve">Overview </w:t>
      </w:r>
      <w:r w:rsidR="00906A75">
        <w:t>the results</w:t>
      </w:r>
    </w:p>
    <w:p w14:paraId="245A68F5" w14:textId="77777777" w:rsidR="00AB743C" w:rsidRDefault="00AB743C" w:rsidP="00AB743C">
      <w:pPr>
        <w:pStyle w:val="QuestionTask"/>
        <w:numPr>
          <w:ilvl w:val="1"/>
          <w:numId w:val="2"/>
        </w:numPr>
      </w:pPr>
      <w:proofErr w:type="spellStart"/>
      <w:r>
        <w:t>A</w:t>
      </w:r>
      <w:r w:rsidRPr="00AB743C">
        <w:t>nalyze</w:t>
      </w:r>
      <w:proofErr w:type="spellEnd"/>
      <w:r w:rsidRPr="00AB743C">
        <w:t xml:space="preserve"> the </w:t>
      </w:r>
      <w:r w:rsidRPr="00AB743C">
        <w:rPr>
          <w:i/>
          <w:iCs/>
        </w:rPr>
        <w:t>data findings</w:t>
      </w:r>
      <w:r w:rsidRPr="00AB743C">
        <w:t xml:space="preserve"> (e.g., "Sales dropped in Q3") </w:t>
      </w:r>
    </w:p>
    <w:p w14:paraId="30F105BA" w14:textId="73154E17" w:rsidR="00AB743C" w:rsidRDefault="00AB743C" w:rsidP="00AB743C">
      <w:pPr>
        <w:pStyle w:val="QuestionTask"/>
        <w:numPr>
          <w:ilvl w:val="1"/>
          <w:numId w:val="2"/>
        </w:numPr>
      </w:pPr>
      <w:proofErr w:type="spellStart"/>
      <w:r>
        <w:t>Analyze</w:t>
      </w:r>
      <w:proofErr w:type="spellEnd"/>
      <w:r>
        <w:t xml:space="preserve"> </w:t>
      </w:r>
      <w:r w:rsidRPr="00AB743C">
        <w:t xml:space="preserve">the </w:t>
      </w:r>
      <w:r w:rsidRPr="00AB743C">
        <w:rPr>
          <w:i/>
          <w:iCs/>
        </w:rPr>
        <w:t>dashboard's effectiveness</w:t>
      </w:r>
      <w:r w:rsidR="00205009">
        <w:rPr>
          <w:i/>
          <w:iCs/>
        </w:rPr>
        <w:t xml:space="preserve"> </w:t>
      </w:r>
      <w:r w:rsidR="00205009" w:rsidRPr="00205009">
        <w:rPr>
          <w:i/>
          <w:iCs/>
        </w:rPr>
        <w:t>(e.g., "</w:t>
      </w:r>
      <w:r w:rsidR="00205009">
        <w:rPr>
          <w:i/>
          <w:iCs/>
        </w:rPr>
        <w:t>Due to XYZ t</w:t>
      </w:r>
      <w:r w:rsidR="00205009" w:rsidRPr="00205009">
        <w:rPr>
          <w:i/>
          <w:iCs/>
        </w:rPr>
        <w:t>he user can quickly see that sales dropped in Q3")</w:t>
      </w:r>
    </w:p>
    <w:p w14:paraId="6AC7167B" w14:textId="77777777" w:rsidR="008C4E8F" w:rsidRDefault="008C4E8F" w:rsidP="008C4E8F">
      <w:pPr>
        <w:pStyle w:val="QuestionTask"/>
        <w:numPr>
          <w:ilvl w:val="0"/>
          <w:numId w:val="0"/>
        </w:numPr>
        <w:ind w:left="720"/>
      </w:pPr>
    </w:p>
    <w:p w14:paraId="05703582" w14:textId="379B9CDF" w:rsidR="00254D07" w:rsidRDefault="00A4487B" w:rsidP="00FE5E24">
      <w:pPr>
        <w:pStyle w:val="TaskContent"/>
        <w:rPr>
          <w:rFonts w:eastAsia="Times New Roman"/>
        </w:rPr>
      </w:pPr>
      <w:r>
        <w:rPr>
          <w:rFonts w:eastAsia="Times New Roman"/>
        </w:rPr>
        <w:t xml:space="preserve">As the final solution, please upload </w:t>
      </w:r>
      <w:r w:rsidR="008C4E8F">
        <w:rPr>
          <w:rFonts w:eastAsia="Times New Roman"/>
        </w:rPr>
        <w:t>a scree</w:t>
      </w:r>
      <w:r w:rsidR="00CF1E68">
        <w:rPr>
          <w:rFonts w:eastAsia="Times New Roman"/>
        </w:rPr>
        <w:t>ns</w:t>
      </w:r>
      <w:r w:rsidR="008C4E8F">
        <w:rPr>
          <w:rFonts w:eastAsia="Times New Roman"/>
        </w:rPr>
        <w:t xml:space="preserve">hot of </w:t>
      </w:r>
      <w:r>
        <w:rPr>
          <w:rFonts w:eastAsia="Times New Roman"/>
        </w:rPr>
        <w:t xml:space="preserve">your </w:t>
      </w:r>
      <w:r w:rsidR="008C4E8F">
        <w:rPr>
          <w:rFonts w:eastAsia="Times New Roman"/>
        </w:rPr>
        <w:t>dashboard and the report</w:t>
      </w:r>
      <w:r>
        <w:rPr>
          <w:rFonts w:eastAsia="Times New Roman"/>
        </w:rPr>
        <w:t xml:space="preserve">. </w:t>
      </w:r>
      <w:r w:rsidR="00254D07" w:rsidRPr="00F85DBE">
        <w:rPr>
          <w:rFonts w:eastAsia="Times New Roman"/>
        </w:rPr>
        <w:t>In the final report provide a concise description of your implementation</w:t>
      </w:r>
      <w:r w:rsidR="00FE5E24">
        <w:rPr>
          <w:rFonts w:eastAsia="Times New Roman"/>
        </w:rPr>
        <w:t xml:space="preserve"> in accordance with the following points:</w:t>
      </w:r>
    </w:p>
    <w:p w14:paraId="4A23FC8C" w14:textId="77777777" w:rsidR="00B6371F" w:rsidRPr="00F85DBE" w:rsidRDefault="00B6371F" w:rsidP="00FE5E24">
      <w:pPr>
        <w:pStyle w:val="TaskContent"/>
        <w:rPr>
          <w:rFonts w:eastAsia="Times New Roman"/>
        </w:rPr>
      </w:pPr>
    </w:p>
    <w:p w14:paraId="65F9C619" w14:textId="3E42AC1D" w:rsidR="00217DF4" w:rsidRDefault="00217DF4" w:rsidP="00875A24">
      <w:pPr>
        <w:pStyle w:val="Ttulo3"/>
        <w:numPr>
          <w:ilvl w:val="1"/>
          <w:numId w:val="17"/>
        </w:numPr>
      </w:pPr>
      <w:r>
        <w:lastRenderedPageBreak/>
        <w:t>Plan</w:t>
      </w:r>
    </w:p>
    <w:p w14:paraId="4D86FB64" w14:textId="75B7EEBE" w:rsidR="00E54E6E" w:rsidRPr="00E54E6E" w:rsidRDefault="00E54E6E" w:rsidP="00E54E6E">
      <w:pPr>
        <w:pStyle w:val="TaskContent"/>
      </w:pPr>
      <w:r>
        <w:t>Please prepare a plan of your solution</w:t>
      </w:r>
      <w:r w:rsidR="0025129B">
        <w:t xml:space="preserve">, of </w:t>
      </w:r>
      <w:r>
        <w:t xml:space="preserve">the entire dashboard. </w:t>
      </w:r>
    </w:p>
    <w:p w14:paraId="523637FB" w14:textId="72F7F663" w:rsidR="00A458BA" w:rsidRDefault="00C5303F" w:rsidP="00875A24">
      <w:pPr>
        <w:pStyle w:val="Ttulo3"/>
        <w:numPr>
          <w:ilvl w:val="2"/>
          <w:numId w:val="17"/>
        </w:numPr>
      </w:pPr>
      <w:r>
        <w:t xml:space="preserve">focus </w:t>
      </w:r>
      <w:r w:rsidR="003C1571">
        <w:t>-</w:t>
      </w:r>
      <w:r>
        <w:t xml:space="preserve"> </w:t>
      </w:r>
      <w:r w:rsidR="0009424E">
        <w:t>define your goals</w:t>
      </w:r>
    </w:p>
    <w:p w14:paraId="0BD40B32" w14:textId="3DBCF444" w:rsidR="00A458BA" w:rsidRDefault="00A458BA" w:rsidP="00A458BA">
      <w:pPr>
        <w:pStyle w:val="TaskContent"/>
      </w:pPr>
      <w:r>
        <w:t>Please specify</w:t>
      </w:r>
      <w:r w:rsidR="00FB5DE4">
        <w:t xml:space="preserve"> the user and the general goal of the dashboard</w:t>
      </w:r>
      <w:r w:rsidR="0096038C">
        <w:t>.</w:t>
      </w:r>
    </w:p>
    <w:p w14:paraId="1770CE81" w14:textId="3F6C9E01" w:rsidR="00883388" w:rsidRPr="00883388" w:rsidRDefault="00883388" w:rsidP="00883388">
      <w:pPr>
        <w:pStyle w:val="TaskContent"/>
        <w:rPr>
          <w:lang w:val="en-US"/>
        </w:rPr>
      </w:pPr>
      <w:r w:rsidRPr="00883388">
        <w:rPr>
          <w:b/>
          <w:bCs/>
          <w:lang w:val="en-US"/>
        </w:rPr>
        <w:t>User:</w:t>
      </w:r>
      <w:r w:rsidRPr="00883388">
        <w:rPr>
          <w:lang w:val="en-US"/>
        </w:rPr>
        <w:t xml:space="preserve"> Blockchain Analyst / Researcher</w:t>
      </w:r>
      <w:r>
        <w:rPr>
          <w:lang w:val="en-US"/>
        </w:rPr>
        <w:t>:</w:t>
      </w:r>
      <w:r w:rsidRPr="00883388">
        <w:rPr>
          <w:lang w:val="en-US"/>
        </w:rPr>
        <w:t xml:space="preserve"> a professional who monitors on-chain transaction settlement dynamics, fee pressure, and market-sentiment correlations to evaluate Bitcoin network capacity, protocol adoption, and macro-level valuation.</w:t>
      </w:r>
    </w:p>
    <w:p w14:paraId="6E059B95" w14:textId="44F652B9" w:rsidR="00A458BA" w:rsidRPr="00883388" w:rsidRDefault="00883388" w:rsidP="00A458BA">
      <w:pPr>
        <w:pStyle w:val="TaskContent"/>
        <w:rPr>
          <w:lang w:val="en-US"/>
        </w:rPr>
      </w:pPr>
      <w:r w:rsidRPr="00883388">
        <w:rPr>
          <w:b/>
          <w:bCs/>
          <w:lang w:val="en-US"/>
        </w:rPr>
        <w:t>General Goal:</w:t>
      </w:r>
      <w:r w:rsidRPr="00883388">
        <w:rPr>
          <w:lang w:val="en-US"/>
        </w:rPr>
        <w:t xml:space="preserve"> The dashboard provides an integrated, single-screen view of Bitcoin network health, structured to answer one overarching question: </w:t>
      </w:r>
      <w:r w:rsidRPr="00883388">
        <w:rPr>
          <w:iCs/>
          <w:lang w:val="en-US"/>
        </w:rPr>
        <w:t>Has Bitcoin successfully evolved from a low-fee experimental payment system into a high-value settlement layer driven by market sentiment and protocol upgrades?</w:t>
      </w:r>
    </w:p>
    <w:p w14:paraId="2B014D8D" w14:textId="11462AB1" w:rsidR="00C6080D" w:rsidRDefault="009604FD" w:rsidP="00875A24">
      <w:pPr>
        <w:pStyle w:val="Ttulo3"/>
        <w:numPr>
          <w:ilvl w:val="2"/>
          <w:numId w:val="17"/>
        </w:numPr>
      </w:pPr>
      <w:r>
        <w:t xml:space="preserve">Plan </w:t>
      </w:r>
    </w:p>
    <w:p w14:paraId="31D9025D" w14:textId="14F3BAAF" w:rsidR="00726544" w:rsidRDefault="00726544" w:rsidP="00726544">
      <w:pPr>
        <w:pStyle w:val="TaskContent"/>
      </w:pPr>
      <w:r>
        <w:t xml:space="preserve">Please </w:t>
      </w:r>
      <w:r w:rsidR="00C6736B">
        <w:t>state the</w:t>
      </w:r>
      <w:r w:rsidR="00E477B9">
        <w:t xml:space="preserve"> </w:t>
      </w:r>
      <w:r w:rsidR="00965AA9">
        <w:t>specific</w:t>
      </w:r>
      <w:r w:rsidR="00C6736B">
        <w:t xml:space="preserve"> story you want to tell with the data, identify needed </w:t>
      </w:r>
      <w:r w:rsidR="00CF34BC">
        <w:t xml:space="preserve">individual </w:t>
      </w:r>
      <w:r w:rsidR="00D4110E">
        <w:t>visualisations</w:t>
      </w:r>
      <w:r w:rsidR="00C6736B">
        <w:t xml:space="preserve">, specify </w:t>
      </w:r>
      <w:r w:rsidR="00D4110E">
        <w:t>message and type of each visualisation</w:t>
      </w:r>
      <w:r w:rsidR="0096038C">
        <w:t>.</w:t>
      </w:r>
    </w:p>
    <w:p w14:paraId="1559DE0E" w14:textId="10F501DD" w:rsidR="00883388" w:rsidRPr="00883388" w:rsidRDefault="00883388" w:rsidP="00883388">
      <w:pPr>
        <w:pStyle w:val="TaskContent"/>
        <w:rPr>
          <w:lang w:val="en-US"/>
        </w:rPr>
      </w:pPr>
      <w:r w:rsidRPr="00883388">
        <w:rPr>
          <w:b/>
          <w:bCs/>
          <w:lang w:val="en-US"/>
        </w:rPr>
        <w:t>Story:</w:t>
      </w:r>
      <w:r w:rsidRPr="00883388">
        <w:rPr>
          <w:lang w:val="en-US"/>
        </w:rPr>
        <w:t xml:space="preserve"> The dashboard tells a sequential three-chapter narrative. Chapter 1 (Visual 1) anchors the analyst with a single strategic KPI </w:t>
      </w:r>
      <w:r>
        <w:rPr>
          <w:lang w:val="en-US"/>
        </w:rPr>
        <w:t>(</w:t>
      </w:r>
      <w:r w:rsidRPr="00883388">
        <w:rPr>
          <w:lang w:val="en-US"/>
        </w:rPr>
        <w:t>Network Fee Sustainability</w:t>
      </w:r>
      <w:r>
        <w:rPr>
          <w:lang w:val="en-US"/>
        </w:rPr>
        <w:t>)</w:t>
      </w:r>
      <w:r w:rsidRPr="00883388">
        <w:rPr>
          <w:lang w:val="en-US"/>
        </w:rPr>
        <w:t xml:space="preserve"> before any detail is presented. Chapter 2 (Visuals 2</w:t>
      </w:r>
      <w:r w:rsidR="003C1571">
        <w:rPr>
          <w:lang w:val="en-US"/>
        </w:rPr>
        <w:t>-</w:t>
      </w:r>
      <w:r w:rsidRPr="00883388">
        <w:rPr>
          <w:lang w:val="en-US"/>
        </w:rPr>
        <w:t xml:space="preserve">3) unfolds the historical evidence: how settlement volume and fee rates have co-evolved over time, and how </w:t>
      </w:r>
      <w:proofErr w:type="spellStart"/>
      <w:r w:rsidRPr="00883388">
        <w:rPr>
          <w:lang w:val="en-US"/>
        </w:rPr>
        <w:t>SegWit</w:t>
      </w:r>
      <w:proofErr w:type="spellEnd"/>
      <w:r w:rsidRPr="00883388">
        <w:rPr>
          <w:lang w:val="en-US"/>
        </w:rPr>
        <w:t xml:space="preserve"> adoption relieved block-space pressure. Chapter 3 (Visuals 4</w:t>
      </w:r>
      <w:r w:rsidR="003C1571">
        <w:rPr>
          <w:lang w:val="en-US"/>
        </w:rPr>
        <w:t>-</w:t>
      </w:r>
      <w:r w:rsidRPr="00883388">
        <w:rPr>
          <w:lang w:val="en-US"/>
        </w:rPr>
        <w:t>7) reveals the structural drivers: sentiment-volume correlation, fee burden across eras, miner revenue composition, and day-of-week fee seasonality.</w:t>
      </w:r>
    </w:p>
    <w:p w14:paraId="33A886F1" w14:textId="77777777" w:rsidR="00883388" w:rsidRPr="00883388" w:rsidRDefault="00883388" w:rsidP="00883388">
      <w:pPr>
        <w:pStyle w:val="TaskContent"/>
        <w:rPr>
          <w:lang w:val="en-US"/>
        </w:rPr>
      </w:pPr>
      <w:r w:rsidRPr="00883388">
        <w:rPr>
          <w:lang w:val="en-US"/>
        </w:rPr>
        <w:t xml:space="preserve">The layout follows the </w:t>
      </w:r>
      <w:r w:rsidRPr="00883388">
        <w:rPr>
          <w:b/>
          <w:bCs/>
          <w:lang w:val="en-US"/>
        </w:rPr>
        <w:t>top-left to bottom-right reading rule</w:t>
      </w:r>
      <w:r w:rsidRPr="00883388">
        <w:rPr>
          <w:lang w:val="en-US"/>
        </w:rPr>
        <w:t>: strategic headline → time-series evidence → structural drivers → tactical insight.</w:t>
      </w:r>
    </w:p>
    <w:tbl>
      <w:tblPr>
        <w:tblStyle w:val="Tablaconcuadrcula"/>
        <w:tblW w:w="10708" w:type="dxa"/>
        <w:tblLook w:val="04A0" w:firstRow="1" w:lastRow="0" w:firstColumn="1" w:lastColumn="0" w:noHBand="0" w:noVBand="1"/>
      </w:tblPr>
      <w:tblGrid>
        <w:gridCol w:w="326"/>
        <w:gridCol w:w="1796"/>
        <w:gridCol w:w="4819"/>
        <w:gridCol w:w="3767"/>
      </w:tblGrid>
      <w:tr w:rsidR="00883388" w14:paraId="21A7211A" w14:textId="77777777" w:rsidTr="009C1D80">
        <w:trPr>
          <w:trHeight w:val="354"/>
        </w:trPr>
        <w:tc>
          <w:tcPr>
            <w:tcW w:w="326" w:type="dxa"/>
            <w:vAlign w:val="center"/>
          </w:tcPr>
          <w:p w14:paraId="11B8BD03" w14:textId="60B2BEC9" w:rsidR="00883388" w:rsidRDefault="00883388" w:rsidP="00883388">
            <w:pPr>
              <w:pStyle w:val="TaskContent"/>
            </w:pPr>
            <w:r>
              <w:rPr>
                <w:b/>
                <w:bCs/>
              </w:rPr>
              <w:t>#</w:t>
            </w:r>
          </w:p>
        </w:tc>
        <w:tc>
          <w:tcPr>
            <w:tcW w:w="1796" w:type="dxa"/>
            <w:vAlign w:val="center"/>
          </w:tcPr>
          <w:p w14:paraId="7737CF7D" w14:textId="444E00CF" w:rsidR="00883388" w:rsidRDefault="00883388" w:rsidP="00883388">
            <w:pPr>
              <w:pStyle w:val="TaskContent"/>
            </w:pPr>
            <w:r>
              <w:rPr>
                <w:b/>
                <w:bCs/>
              </w:rPr>
              <w:t>Type</w:t>
            </w:r>
          </w:p>
        </w:tc>
        <w:tc>
          <w:tcPr>
            <w:tcW w:w="4819" w:type="dxa"/>
            <w:vAlign w:val="center"/>
          </w:tcPr>
          <w:p w14:paraId="331FDF7A" w14:textId="7F81CC3A" w:rsidR="00883388" w:rsidRDefault="00883388" w:rsidP="00883388">
            <w:pPr>
              <w:pStyle w:val="TaskContent"/>
            </w:pPr>
            <w:r>
              <w:rPr>
                <w:b/>
                <w:bCs/>
              </w:rPr>
              <w:t>Title &amp; Primary Message</w:t>
            </w:r>
          </w:p>
        </w:tc>
        <w:tc>
          <w:tcPr>
            <w:tcW w:w="3767" w:type="dxa"/>
            <w:vAlign w:val="center"/>
          </w:tcPr>
          <w:p w14:paraId="68CD28E7" w14:textId="3184D4C4" w:rsidR="00883388" w:rsidRDefault="00883388" w:rsidP="00883388">
            <w:pPr>
              <w:pStyle w:val="TaskContent"/>
            </w:pPr>
            <w:r>
              <w:rPr>
                <w:b/>
                <w:bCs/>
              </w:rPr>
              <w:t>Key Cube Fields</w:t>
            </w:r>
          </w:p>
        </w:tc>
      </w:tr>
      <w:tr w:rsidR="00883388" w14:paraId="1A6780FA" w14:textId="77777777" w:rsidTr="009C1D80">
        <w:trPr>
          <w:trHeight w:val="1077"/>
        </w:trPr>
        <w:tc>
          <w:tcPr>
            <w:tcW w:w="326" w:type="dxa"/>
          </w:tcPr>
          <w:p w14:paraId="23ADAD9A" w14:textId="35C61AB2" w:rsidR="00883388" w:rsidRDefault="00883388" w:rsidP="00726544">
            <w:pPr>
              <w:pStyle w:val="TaskContent"/>
            </w:pPr>
            <w:r>
              <w:t>1</w:t>
            </w:r>
          </w:p>
        </w:tc>
        <w:tc>
          <w:tcPr>
            <w:tcW w:w="1796" w:type="dxa"/>
          </w:tcPr>
          <w:p w14:paraId="58E9A78A" w14:textId="10CFDA35" w:rsidR="00883388" w:rsidRDefault="00883388" w:rsidP="00726544">
            <w:pPr>
              <w:pStyle w:val="TaskContent"/>
            </w:pPr>
            <w:r w:rsidRPr="00883388">
              <w:t>Card</w:t>
            </w:r>
          </w:p>
        </w:tc>
        <w:tc>
          <w:tcPr>
            <w:tcW w:w="4819" w:type="dxa"/>
          </w:tcPr>
          <w:p w14:paraId="16CD34A0" w14:textId="3BFABD77" w:rsidR="00883388" w:rsidRDefault="00883388" w:rsidP="00726544">
            <w:pPr>
              <w:pStyle w:val="TaskContent"/>
            </w:pPr>
            <w:r w:rsidRPr="00883388">
              <w:rPr>
                <w:b/>
                <w:bCs/>
              </w:rPr>
              <w:t>Network Fee Sustainability Score</w:t>
            </w:r>
            <w:r w:rsidRPr="00883388">
              <w:t xml:space="preserve"> </w:t>
            </w:r>
            <w:r>
              <w:t>-</w:t>
            </w:r>
            <w:r w:rsidRPr="00883388">
              <w:t xml:space="preserve"> Communicates </w:t>
            </w:r>
            <w:proofErr w:type="gramStart"/>
            <w:r w:rsidRPr="00883388">
              <w:t>at a glance</w:t>
            </w:r>
            <w:proofErr w:type="gramEnd"/>
            <w:r w:rsidRPr="00883388">
              <w:t xml:space="preserve"> whether Bitcoin is progressing toward a fee-based security model. Traffic-light status: Red &lt; 1%, Yellow 1</w:t>
            </w:r>
            <w:r w:rsidR="003C1571">
              <w:t>-</w:t>
            </w:r>
            <w:r w:rsidRPr="00883388">
              <w:t>5%, Green &gt; 5%.</w:t>
            </w:r>
          </w:p>
        </w:tc>
        <w:tc>
          <w:tcPr>
            <w:tcW w:w="3767" w:type="dxa"/>
          </w:tcPr>
          <w:p w14:paraId="59688948" w14:textId="5DBB71C8" w:rsidR="00883388" w:rsidRDefault="00883388" w:rsidP="00726544">
            <w:pPr>
              <w:pStyle w:val="TaskContent"/>
            </w:pPr>
            <w:r w:rsidRPr="00883388">
              <w:t>Network Fee Sustainability KPI (Value, Status, Trend)</w:t>
            </w:r>
          </w:p>
        </w:tc>
      </w:tr>
      <w:tr w:rsidR="00883388" w14:paraId="5C590F23" w14:textId="77777777" w:rsidTr="009C1D80">
        <w:trPr>
          <w:trHeight w:val="1077"/>
        </w:trPr>
        <w:tc>
          <w:tcPr>
            <w:tcW w:w="326" w:type="dxa"/>
          </w:tcPr>
          <w:p w14:paraId="0FCBA6ED" w14:textId="0BFB0086" w:rsidR="00883388" w:rsidRDefault="00883388" w:rsidP="00726544">
            <w:pPr>
              <w:pStyle w:val="TaskContent"/>
            </w:pPr>
            <w:r>
              <w:t>2</w:t>
            </w:r>
          </w:p>
        </w:tc>
        <w:tc>
          <w:tcPr>
            <w:tcW w:w="1796" w:type="dxa"/>
          </w:tcPr>
          <w:p w14:paraId="12CF9D1B" w14:textId="7B4A3AC2" w:rsidR="00883388" w:rsidRDefault="00883388" w:rsidP="00726544">
            <w:pPr>
              <w:pStyle w:val="TaskContent"/>
            </w:pPr>
            <w:r w:rsidRPr="00883388">
              <w:t>Dual-Axis Line Chart</w:t>
            </w:r>
          </w:p>
        </w:tc>
        <w:tc>
          <w:tcPr>
            <w:tcW w:w="4819" w:type="dxa"/>
          </w:tcPr>
          <w:p w14:paraId="41CAC177" w14:textId="4E33D1E5" w:rsidR="00883388" w:rsidRDefault="00883388" w:rsidP="00726544">
            <w:pPr>
              <w:pStyle w:val="TaskContent"/>
            </w:pPr>
            <w:r w:rsidRPr="00883388">
              <w:rPr>
                <w:b/>
                <w:bCs/>
              </w:rPr>
              <w:t>Settlement Volume (USD) vs. Average Fee Rate Over Time</w:t>
            </w:r>
            <w:r w:rsidRPr="00883388">
              <w:t xml:space="preserve"> </w:t>
            </w:r>
            <w:r>
              <w:t>-</w:t>
            </w:r>
            <w:r w:rsidRPr="00883388">
              <w:t xml:space="preserve"> </w:t>
            </w:r>
            <w:r w:rsidR="00FE652D" w:rsidRPr="00FE652D">
              <w:t>Reveals the inverse relationship between settlement volume and fee rate observed in Ma</w:t>
            </w:r>
            <w:r w:rsidR="00FE652D">
              <w:t>y-</w:t>
            </w:r>
            <w:r w:rsidR="00FE652D" w:rsidRPr="00FE652D">
              <w:t xml:space="preserve">June 2026; cross-era trend analysis requires historical </w:t>
            </w:r>
            <w:proofErr w:type="gramStart"/>
            <w:r w:rsidR="00FE652D" w:rsidRPr="00FE652D">
              <w:t>data.</w:t>
            </w:r>
            <w:r w:rsidRPr="00883388">
              <w:t>.</w:t>
            </w:r>
            <w:proofErr w:type="gramEnd"/>
          </w:p>
        </w:tc>
        <w:tc>
          <w:tcPr>
            <w:tcW w:w="3767" w:type="dxa"/>
          </w:tcPr>
          <w:p w14:paraId="1A6CD5F6" w14:textId="72A1C8E0" w:rsidR="00883388" w:rsidRDefault="00883388" w:rsidP="00726544">
            <w:pPr>
              <w:pStyle w:val="TaskContent"/>
            </w:pPr>
            <w:r w:rsidRPr="00883388">
              <w:t>X: Date &gt; Calendar &gt; Month;</w:t>
            </w:r>
            <w:r w:rsidR="00FE652D">
              <w:br/>
            </w:r>
            <w:r w:rsidRPr="00883388">
              <w:t>Left Y: Total Output Value (USD);</w:t>
            </w:r>
            <w:r w:rsidR="00FE652D">
              <w:br/>
            </w:r>
            <w:r w:rsidRPr="00883388">
              <w:t>Right Y: Avg Fee Rate (sat/</w:t>
            </w:r>
            <w:proofErr w:type="spellStart"/>
            <w:r w:rsidRPr="00883388">
              <w:t>vByte</w:t>
            </w:r>
            <w:proofErr w:type="spellEnd"/>
            <w:r w:rsidRPr="00883388">
              <w:t>)</w:t>
            </w:r>
          </w:p>
        </w:tc>
      </w:tr>
      <w:tr w:rsidR="00883388" w14:paraId="7A4EAA63" w14:textId="77777777" w:rsidTr="009C1D80">
        <w:trPr>
          <w:trHeight w:val="1314"/>
        </w:trPr>
        <w:tc>
          <w:tcPr>
            <w:tcW w:w="326" w:type="dxa"/>
          </w:tcPr>
          <w:p w14:paraId="5FA6AA93" w14:textId="374FD0B3" w:rsidR="00883388" w:rsidRDefault="00883388" w:rsidP="00726544">
            <w:pPr>
              <w:pStyle w:val="TaskContent"/>
            </w:pPr>
            <w:r>
              <w:t>3</w:t>
            </w:r>
          </w:p>
        </w:tc>
        <w:tc>
          <w:tcPr>
            <w:tcW w:w="1796" w:type="dxa"/>
          </w:tcPr>
          <w:p w14:paraId="17EAA2B8" w14:textId="07E12316" w:rsidR="00883388" w:rsidRDefault="00883388" w:rsidP="00726544">
            <w:pPr>
              <w:pStyle w:val="TaskContent"/>
            </w:pPr>
            <w:r w:rsidRPr="00883388">
              <w:t>100% Stacked Bar Chart</w:t>
            </w:r>
          </w:p>
        </w:tc>
        <w:tc>
          <w:tcPr>
            <w:tcW w:w="4819" w:type="dxa"/>
          </w:tcPr>
          <w:p w14:paraId="1F71341A" w14:textId="154D7CE4" w:rsidR="00883388" w:rsidRDefault="00883388" w:rsidP="00726544">
            <w:pPr>
              <w:pStyle w:val="TaskContent"/>
            </w:pPr>
            <w:proofErr w:type="spellStart"/>
            <w:r w:rsidRPr="00883388">
              <w:rPr>
                <w:b/>
                <w:bCs/>
              </w:rPr>
              <w:t>SegWit</w:t>
            </w:r>
            <w:proofErr w:type="spellEnd"/>
            <w:r w:rsidRPr="00883388">
              <w:rPr>
                <w:b/>
                <w:bCs/>
              </w:rPr>
              <w:t xml:space="preserve"> vs. Legacy Script Type Adoption by Quarter</w:t>
            </w:r>
            <w:r w:rsidRPr="00883388">
              <w:t xml:space="preserve"> </w:t>
            </w:r>
            <w:r>
              <w:t>-</w:t>
            </w:r>
            <w:r w:rsidR="00FE652D">
              <w:t xml:space="preserve"> </w:t>
            </w:r>
            <w:r w:rsidR="00FE652D" w:rsidRPr="00FE652D">
              <w:t xml:space="preserve">Shows </w:t>
            </w:r>
            <w:proofErr w:type="spellStart"/>
            <w:r w:rsidR="00FE652D" w:rsidRPr="00FE652D">
              <w:t>SegWit</w:t>
            </w:r>
            <w:proofErr w:type="spellEnd"/>
            <w:r w:rsidR="00FE652D" w:rsidRPr="00FE652D">
              <w:t>-native types (aggregated as 'OTHER') representing ~89.6% of Q2 2026 transactions vs. legacy P2PKH and P2SH; historical S-curve cannot be rendered with current data scope.</w:t>
            </w:r>
          </w:p>
        </w:tc>
        <w:tc>
          <w:tcPr>
            <w:tcW w:w="3767" w:type="dxa"/>
          </w:tcPr>
          <w:p w14:paraId="54E89951" w14:textId="64213D3E" w:rsidR="00883388" w:rsidRDefault="00883388" w:rsidP="00726544">
            <w:pPr>
              <w:pStyle w:val="TaskContent"/>
            </w:pPr>
            <w:r w:rsidRPr="00883388">
              <w:t>X: Date &gt; Calendar &gt; Quarter;</w:t>
            </w:r>
            <w:r w:rsidR="009C1D80">
              <w:br/>
            </w:r>
            <w:r w:rsidRPr="00883388">
              <w:t>Y: Transaction Count (normalised to 100%)</w:t>
            </w:r>
            <w:r w:rsidR="009C1D80">
              <w:br/>
            </w:r>
            <w:r w:rsidRPr="00883388">
              <w:t>Legend: Script Type</w:t>
            </w:r>
            <w:r w:rsidR="009C1D80">
              <w:br/>
            </w:r>
            <w:r w:rsidRPr="00883388">
              <w:t>Filter: Coinbase Flag = 0</w:t>
            </w:r>
          </w:p>
        </w:tc>
      </w:tr>
      <w:tr w:rsidR="00883388" w14:paraId="0A5B75D6" w14:textId="77777777" w:rsidTr="009C1D80">
        <w:trPr>
          <w:trHeight w:val="1077"/>
        </w:trPr>
        <w:tc>
          <w:tcPr>
            <w:tcW w:w="326" w:type="dxa"/>
          </w:tcPr>
          <w:p w14:paraId="36EBA2BC" w14:textId="0C062977" w:rsidR="00883388" w:rsidRDefault="00883388" w:rsidP="00726544">
            <w:pPr>
              <w:pStyle w:val="TaskContent"/>
            </w:pPr>
            <w:r>
              <w:t>4</w:t>
            </w:r>
          </w:p>
        </w:tc>
        <w:tc>
          <w:tcPr>
            <w:tcW w:w="1796" w:type="dxa"/>
          </w:tcPr>
          <w:p w14:paraId="08CEC910" w14:textId="5ECB0AB3" w:rsidR="00883388" w:rsidRDefault="00883388" w:rsidP="00726544">
            <w:pPr>
              <w:pStyle w:val="TaskContent"/>
            </w:pPr>
            <w:r w:rsidRPr="00883388">
              <w:t>Scatter Plot</w:t>
            </w:r>
          </w:p>
        </w:tc>
        <w:tc>
          <w:tcPr>
            <w:tcW w:w="4819" w:type="dxa"/>
          </w:tcPr>
          <w:p w14:paraId="00041839" w14:textId="6235C51E" w:rsidR="00883388" w:rsidRDefault="00883388" w:rsidP="00726544">
            <w:pPr>
              <w:pStyle w:val="TaskContent"/>
            </w:pPr>
            <w:r w:rsidRPr="00883388">
              <w:rPr>
                <w:b/>
                <w:bCs/>
              </w:rPr>
              <w:t>Fear &amp; Greed Score vs. Daily Settlement Volume</w:t>
            </w:r>
            <w:r w:rsidRPr="00883388">
              <w:t xml:space="preserve"> </w:t>
            </w:r>
            <w:r>
              <w:t>-</w:t>
            </w:r>
            <w:r w:rsidRPr="00883388">
              <w:t xml:space="preserve"> </w:t>
            </w:r>
            <w:r w:rsidR="0017201D" w:rsidRPr="0017201D">
              <w:t>Tests sentiment-volume correlation across available labels (Extreme Fear, Fear, Neutral); Greed-regime observations absent from current dataset</w:t>
            </w:r>
            <w:r w:rsidRPr="00883388">
              <w:t>.</w:t>
            </w:r>
          </w:p>
        </w:tc>
        <w:tc>
          <w:tcPr>
            <w:tcW w:w="3767" w:type="dxa"/>
          </w:tcPr>
          <w:p w14:paraId="3821F908" w14:textId="1DF9C013" w:rsidR="00883388" w:rsidRDefault="00883388" w:rsidP="00726544">
            <w:pPr>
              <w:pStyle w:val="TaskContent"/>
            </w:pPr>
            <w:r w:rsidRPr="00883388">
              <w:t>X: Avg Fear &amp; Greed Score</w:t>
            </w:r>
            <w:r w:rsidR="009C1D80">
              <w:br/>
            </w:r>
            <w:r w:rsidRPr="00883388">
              <w:t>Y: Total Output Value (USD) log scale</w:t>
            </w:r>
            <w:r w:rsidR="009C1D80">
              <w:br/>
            </w:r>
            <w:r w:rsidRPr="00883388">
              <w:t>Colour: Fear &amp; Greed Label</w:t>
            </w:r>
          </w:p>
        </w:tc>
      </w:tr>
      <w:tr w:rsidR="00883388" w14:paraId="172BD5DD" w14:textId="77777777" w:rsidTr="009C1D80">
        <w:trPr>
          <w:trHeight w:val="1328"/>
        </w:trPr>
        <w:tc>
          <w:tcPr>
            <w:tcW w:w="326" w:type="dxa"/>
          </w:tcPr>
          <w:p w14:paraId="71C4507B" w14:textId="637163D0" w:rsidR="00883388" w:rsidRDefault="00883388" w:rsidP="00726544">
            <w:pPr>
              <w:pStyle w:val="TaskContent"/>
            </w:pPr>
            <w:r>
              <w:t>5</w:t>
            </w:r>
          </w:p>
        </w:tc>
        <w:tc>
          <w:tcPr>
            <w:tcW w:w="1796" w:type="dxa"/>
          </w:tcPr>
          <w:p w14:paraId="1350724D" w14:textId="379BF968" w:rsidR="00883388" w:rsidRDefault="00883388" w:rsidP="00726544">
            <w:pPr>
              <w:pStyle w:val="TaskContent"/>
            </w:pPr>
            <w:r w:rsidRPr="00883388">
              <w:t>Horizontal Clustered Bar</w:t>
            </w:r>
          </w:p>
        </w:tc>
        <w:tc>
          <w:tcPr>
            <w:tcW w:w="4819" w:type="dxa"/>
          </w:tcPr>
          <w:p w14:paraId="103DB1F1" w14:textId="5E75D29A" w:rsidR="00883388" w:rsidRDefault="00883388" w:rsidP="00726544">
            <w:pPr>
              <w:pStyle w:val="TaskContent"/>
            </w:pPr>
            <w:r w:rsidRPr="00883388">
              <w:rPr>
                <w:b/>
                <w:bCs/>
              </w:rPr>
              <w:t>Average Fee Burden (%) by Difficulty Tier</w:t>
            </w:r>
            <w:r w:rsidRPr="00883388">
              <w:t xml:space="preserve"> </w:t>
            </w:r>
            <w:r>
              <w:t>-</w:t>
            </w:r>
            <w:r w:rsidRPr="00883388">
              <w:t xml:space="preserve"> </w:t>
            </w:r>
            <w:r w:rsidR="00021FAD" w:rsidRPr="00021FAD">
              <w:t>Shows average fee burden of 8.55% for the sole populated tier (Extreme); cross-tier comparison requires historical data from earlier eras.</w:t>
            </w:r>
          </w:p>
        </w:tc>
        <w:tc>
          <w:tcPr>
            <w:tcW w:w="3767" w:type="dxa"/>
          </w:tcPr>
          <w:p w14:paraId="29E02658" w14:textId="0C3D043C" w:rsidR="00883388" w:rsidRDefault="00883388" w:rsidP="00726544">
            <w:pPr>
              <w:pStyle w:val="TaskContent"/>
            </w:pPr>
            <w:r w:rsidRPr="00883388">
              <w:t>Y: Block &gt; Difficulty &gt; Difficulty Tier</w:t>
            </w:r>
            <w:r w:rsidR="009C1D80">
              <w:br/>
            </w:r>
            <w:r w:rsidRPr="00883388">
              <w:t>X: Avg Fee Burden (%)</w:t>
            </w:r>
            <w:r w:rsidR="009C1D80">
              <w:br/>
            </w:r>
            <w:r w:rsidRPr="00883388">
              <w:t>Tooltip: Transaction Count, Avg Fee Rate</w:t>
            </w:r>
          </w:p>
        </w:tc>
      </w:tr>
      <w:tr w:rsidR="00883388" w14:paraId="66BDF812" w14:textId="77777777" w:rsidTr="009C1D80">
        <w:trPr>
          <w:trHeight w:val="1077"/>
        </w:trPr>
        <w:tc>
          <w:tcPr>
            <w:tcW w:w="326" w:type="dxa"/>
          </w:tcPr>
          <w:p w14:paraId="07B8353D" w14:textId="100F1B80" w:rsidR="00883388" w:rsidRDefault="00883388" w:rsidP="00726544">
            <w:pPr>
              <w:pStyle w:val="TaskContent"/>
            </w:pPr>
            <w:r>
              <w:t>6</w:t>
            </w:r>
          </w:p>
        </w:tc>
        <w:tc>
          <w:tcPr>
            <w:tcW w:w="1796" w:type="dxa"/>
          </w:tcPr>
          <w:p w14:paraId="40DF103F" w14:textId="5E83714B" w:rsidR="00883388" w:rsidRDefault="00883388" w:rsidP="00726544">
            <w:pPr>
              <w:pStyle w:val="TaskContent"/>
            </w:pPr>
            <w:r w:rsidRPr="00883388">
              <w:t>Donut Chart</w:t>
            </w:r>
          </w:p>
        </w:tc>
        <w:tc>
          <w:tcPr>
            <w:tcW w:w="4819" w:type="dxa"/>
          </w:tcPr>
          <w:p w14:paraId="487F055F" w14:textId="6FCB0A3D" w:rsidR="00883388" w:rsidRDefault="00021FAD" w:rsidP="00726544">
            <w:pPr>
              <w:pStyle w:val="TaskContent"/>
            </w:pPr>
            <w:r w:rsidRPr="00021FAD">
              <w:rPr>
                <w:b/>
                <w:bCs/>
              </w:rPr>
              <w:t xml:space="preserve">Output Value BTC by Script Type Desc </w:t>
            </w:r>
            <w:r>
              <w:rPr>
                <w:b/>
                <w:bCs/>
              </w:rPr>
              <w:t>-</w:t>
            </w:r>
            <w:r w:rsidRPr="00021FAD">
              <w:t xml:space="preserve"> Shows the BTC value distribution across script types</w:t>
            </w:r>
            <w:r>
              <w:t>.</w:t>
            </w:r>
          </w:p>
        </w:tc>
        <w:tc>
          <w:tcPr>
            <w:tcW w:w="3767" w:type="dxa"/>
          </w:tcPr>
          <w:p w14:paraId="4BFDE81A" w14:textId="556234FC" w:rsidR="00883388" w:rsidRDefault="0017201D" w:rsidP="0017201D">
            <w:pPr>
              <w:pStyle w:val="TaskContent"/>
            </w:pPr>
            <w:r w:rsidRPr="0017201D">
              <w:t>Values: Total Output Value (BTC) by Script Type Desc</w:t>
            </w:r>
            <w:r w:rsidR="009C1D80">
              <w:br/>
            </w:r>
            <w:r w:rsidR="00883388" w:rsidRPr="00883388">
              <w:t>Slicer: Date &gt; Era &gt; Halving Era</w:t>
            </w:r>
          </w:p>
        </w:tc>
      </w:tr>
      <w:tr w:rsidR="00883388" w14:paraId="1C294195" w14:textId="77777777" w:rsidTr="009C1D80">
        <w:trPr>
          <w:trHeight w:val="1064"/>
        </w:trPr>
        <w:tc>
          <w:tcPr>
            <w:tcW w:w="326" w:type="dxa"/>
          </w:tcPr>
          <w:p w14:paraId="20E2C772" w14:textId="2E9EB76C" w:rsidR="00883388" w:rsidRDefault="00883388" w:rsidP="00726544">
            <w:pPr>
              <w:pStyle w:val="TaskContent"/>
            </w:pPr>
            <w:r>
              <w:t>7</w:t>
            </w:r>
          </w:p>
        </w:tc>
        <w:tc>
          <w:tcPr>
            <w:tcW w:w="1796" w:type="dxa"/>
          </w:tcPr>
          <w:p w14:paraId="370A3263" w14:textId="755DB78E" w:rsidR="00883388" w:rsidRDefault="00883388" w:rsidP="00726544">
            <w:pPr>
              <w:pStyle w:val="TaskContent"/>
            </w:pPr>
            <w:r w:rsidRPr="00883388">
              <w:t>Matrix / Heatmap</w:t>
            </w:r>
          </w:p>
        </w:tc>
        <w:tc>
          <w:tcPr>
            <w:tcW w:w="4819" w:type="dxa"/>
          </w:tcPr>
          <w:p w14:paraId="1D3BCEDE" w14:textId="4521F7D0" w:rsidR="00883388" w:rsidRDefault="00883388" w:rsidP="00726544">
            <w:pPr>
              <w:pStyle w:val="TaskContent"/>
            </w:pPr>
            <w:r w:rsidRPr="00883388">
              <w:rPr>
                <w:b/>
                <w:bCs/>
              </w:rPr>
              <w:t>Average Fee Rate by Day of Week × Halving Era</w:t>
            </w:r>
            <w:r w:rsidRPr="00883388">
              <w:t xml:space="preserve"> </w:t>
            </w:r>
            <w:r>
              <w:t>-</w:t>
            </w:r>
            <w:r w:rsidRPr="00883388">
              <w:t xml:space="preserve"> Reveals that weekends are systematically cheaper across era</w:t>
            </w:r>
            <w:r w:rsidR="00021FAD">
              <w:t xml:space="preserve"> 5</w:t>
            </w:r>
            <w:r w:rsidRPr="00883388">
              <w:t>, providing a tactical, actionable insight for Q10.</w:t>
            </w:r>
          </w:p>
        </w:tc>
        <w:tc>
          <w:tcPr>
            <w:tcW w:w="3767" w:type="dxa"/>
          </w:tcPr>
          <w:p w14:paraId="1A7BD864" w14:textId="6B3B804C" w:rsidR="00883388" w:rsidRDefault="00883388" w:rsidP="00726544">
            <w:pPr>
              <w:pStyle w:val="TaskContent"/>
            </w:pPr>
            <w:r w:rsidRPr="00883388">
              <w:t xml:space="preserve">Rows: Date &gt; Weekday &gt; Day of </w:t>
            </w:r>
            <w:proofErr w:type="spellStart"/>
            <w:r w:rsidRPr="00883388">
              <w:t>WeekColumns</w:t>
            </w:r>
            <w:proofErr w:type="spellEnd"/>
            <w:r w:rsidR="009C1D80">
              <w:br/>
            </w:r>
            <w:r w:rsidRPr="00883388">
              <w:t>Date &gt; Era &gt; Halving Era; Values: Avg Fee Rate</w:t>
            </w:r>
          </w:p>
        </w:tc>
      </w:tr>
    </w:tbl>
    <w:p w14:paraId="64201ECF" w14:textId="6EC0E26C" w:rsidR="00736B3D" w:rsidRDefault="00850CD0" w:rsidP="00875A24">
      <w:pPr>
        <w:pStyle w:val="Ttulo3"/>
        <w:numPr>
          <w:ilvl w:val="1"/>
          <w:numId w:val="17"/>
        </w:numPr>
      </w:pPr>
      <w:r>
        <w:lastRenderedPageBreak/>
        <w:t>Implementation</w:t>
      </w:r>
    </w:p>
    <w:p w14:paraId="32702291" w14:textId="61240788" w:rsidR="00736B3D" w:rsidRDefault="00736B3D" w:rsidP="00443454">
      <w:pPr>
        <w:pStyle w:val="TaskContent"/>
      </w:pPr>
      <w:r>
        <w:t xml:space="preserve">Please </w:t>
      </w:r>
      <w:r w:rsidR="00850CD0">
        <w:t xml:space="preserve">prepare screenshots </w:t>
      </w:r>
      <w:r w:rsidR="0081369A">
        <w:t xml:space="preserve">of </w:t>
      </w:r>
      <w:r w:rsidR="00850CD0">
        <w:t xml:space="preserve">each visualisation and </w:t>
      </w:r>
      <w:r w:rsidR="00277552">
        <w:t xml:space="preserve">screenshot </w:t>
      </w:r>
      <w:r w:rsidR="0081369A">
        <w:t>of</w:t>
      </w:r>
      <w:r w:rsidR="00277552">
        <w:t xml:space="preserve"> </w:t>
      </w:r>
      <w:r w:rsidR="00850CD0">
        <w:t>the entire dashboard</w:t>
      </w:r>
      <w:r>
        <w:t xml:space="preserve">. </w:t>
      </w:r>
    </w:p>
    <w:p w14:paraId="7C0054D3" w14:textId="0039D024" w:rsidR="00443454" w:rsidRDefault="000907ED" w:rsidP="00443454">
      <w:pPr>
        <w:pStyle w:val="TaskConten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38A5FE" wp14:editId="4A15CC39">
            <wp:simplePos x="0" y="0"/>
            <wp:positionH relativeFrom="column">
              <wp:posOffset>-245745</wp:posOffset>
            </wp:positionH>
            <wp:positionV relativeFrom="paragraph">
              <wp:posOffset>1607185</wp:posOffset>
            </wp:positionV>
            <wp:extent cx="7052310" cy="3975100"/>
            <wp:effectExtent l="0" t="0" r="0" b="6350"/>
            <wp:wrapTopAndBottom/>
            <wp:docPr id="4169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5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454" w:rsidRPr="00443454">
        <w:t xml:space="preserve">The dashboard is implemented in </w:t>
      </w:r>
      <w:r w:rsidR="00443454" w:rsidRPr="00443454">
        <w:rPr>
          <w:b/>
          <w:bCs/>
        </w:rPr>
        <w:t>Power BI Desktop</w:t>
      </w:r>
      <w:r w:rsidR="00443454" w:rsidRPr="00443454">
        <w:t xml:space="preserve"> connected to the </w:t>
      </w:r>
      <w:proofErr w:type="spellStart"/>
      <w:r w:rsidR="00443454" w:rsidRPr="00443454">
        <w:rPr>
          <w:b/>
          <w:bCs/>
        </w:rPr>
        <w:t>BTC_Analytics_Cube</w:t>
      </w:r>
      <w:proofErr w:type="spellEnd"/>
      <w:r w:rsidR="00443454" w:rsidRPr="00443454">
        <w:rPr>
          <w:b/>
          <w:bCs/>
        </w:rPr>
        <w:t xml:space="preserve"> SSAS Multidimensional</w:t>
      </w:r>
      <w:r w:rsidR="00443454" w:rsidRPr="00443454">
        <w:t xml:space="preserve"> instance via </w:t>
      </w:r>
      <w:r w:rsidR="00443454" w:rsidRPr="00443454">
        <w:rPr>
          <w:b/>
          <w:bCs/>
        </w:rPr>
        <w:t>Analysis Services live connection mode</w:t>
      </w:r>
      <w:r w:rsidR="00443454" w:rsidRPr="00443454">
        <w:t xml:space="preserve"> (File → Get Data → Analysis Services). All measures, hierarchies, and the KPI are consumed directly from the cube </w:t>
      </w:r>
      <w:r w:rsidR="009D3B88">
        <w:t>-</w:t>
      </w:r>
      <w:r w:rsidR="00443454" w:rsidRPr="00443454">
        <w:t xml:space="preserve"> no Power </w:t>
      </w:r>
      <w:proofErr w:type="spellStart"/>
      <w:r w:rsidR="00443454" w:rsidRPr="00443454">
        <w:t>BI-level</w:t>
      </w:r>
      <w:proofErr w:type="spellEnd"/>
      <w:r w:rsidR="00443454" w:rsidRPr="00443454">
        <w:t xml:space="preserve"> DAX calculated columns are required.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3827"/>
        <w:gridCol w:w="2948"/>
      </w:tblGrid>
      <w:tr w:rsidR="00443454" w14:paraId="1EA01A1D" w14:textId="77777777" w:rsidTr="00A63286">
        <w:tc>
          <w:tcPr>
            <w:tcW w:w="988" w:type="dxa"/>
          </w:tcPr>
          <w:p w14:paraId="73CD0D9E" w14:textId="471510EC" w:rsidR="00443454" w:rsidRDefault="00443454" w:rsidP="00443454">
            <w:pPr>
              <w:pStyle w:val="TaskContent"/>
            </w:pPr>
            <w:r w:rsidRPr="00443454">
              <w:rPr>
                <w:b/>
                <w:bCs/>
              </w:rPr>
              <w:t>Row</w:t>
            </w:r>
          </w:p>
        </w:tc>
        <w:tc>
          <w:tcPr>
            <w:tcW w:w="2693" w:type="dxa"/>
          </w:tcPr>
          <w:p w14:paraId="1C905C1D" w14:textId="139813AB" w:rsidR="00443454" w:rsidRDefault="00443454" w:rsidP="00443454">
            <w:pPr>
              <w:pStyle w:val="TaskContent"/>
            </w:pPr>
            <w:r w:rsidRPr="00443454">
              <w:rPr>
                <w:b/>
                <w:bCs/>
              </w:rPr>
              <w:t>Left (33%)</w:t>
            </w:r>
          </w:p>
        </w:tc>
        <w:tc>
          <w:tcPr>
            <w:tcW w:w="3827" w:type="dxa"/>
          </w:tcPr>
          <w:p w14:paraId="692A85CC" w14:textId="4623BFBA" w:rsidR="00443454" w:rsidRDefault="00443454" w:rsidP="00443454">
            <w:pPr>
              <w:pStyle w:val="TaskContent"/>
            </w:pPr>
            <w:r w:rsidRPr="00443454">
              <w:rPr>
                <w:b/>
                <w:bCs/>
              </w:rPr>
              <w:t>Centre (33%)</w:t>
            </w:r>
          </w:p>
        </w:tc>
        <w:tc>
          <w:tcPr>
            <w:tcW w:w="2948" w:type="dxa"/>
          </w:tcPr>
          <w:p w14:paraId="1F5BC4F8" w14:textId="2FCC346B" w:rsidR="00443454" w:rsidRDefault="00443454" w:rsidP="00443454">
            <w:pPr>
              <w:pStyle w:val="TaskContent"/>
            </w:pPr>
            <w:r w:rsidRPr="00443454">
              <w:rPr>
                <w:b/>
                <w:bCs/>
              </w:rPr>
              <w:t>Right (33%)</w:t>
            </w:r>
          </w:p>
        </w:tc>
      </w:tr>
      <w:tr w:rsidR="00443454" w14:paraId="737FA664" w14:textId="77777777" w:rsidTr="00A63286">
        <w:tc>
          <w:tcPr>
            <w:tcW w:w="988" w:type="dxa"/>
          </w:tcPr>
          <w:p w14:paraId="7F1690F7" w14:textId="5099F7F7" w:rsidR="00443454" w:rsidRDefault="008A36E6" w:rsidP="00443454">
            <w:pPr>
              <w:pStyle w:val="TaskContent"/>
            </w:pPr>
            <w:r w:rsidRPr="008A36E6">
              <w:rPr>
                <w:b/>
                <w:bCs/>
              </w:rPr>
              <w:t>Top</w:t>
            </w:r>
          </w:p>
        </w:tc>
        <w:tc>
          <w:tcPr>
            <w:tcW w:w="2693" w:type="dxa"/>
          </w:tcPr>
          <w:p w14:paraId="1FC44A0B" w14:textId="3C887AD4" w:rsidR="00443454" w:rsidRDefault="008A36E6" w:rsidP="00443454">
            <w:pPr>
              <w:pStyle w:val="TaskContent"/>
            </w:pPr>
            <w:r w:rsidRPr="008A36E6">
              <w:t>Visual 1: KPI Card</w:t>
            </w:r>
          </w:p>
        </w:tc>
        <w:tc>
          <w:tcPr>
            <w:tcW w:w="3827" w:type="dxa"/>
          </w:tcPr>
          <w:p w14:paraId="48595AA4" w14:textId="4DF2A077" w:rsidR="00443454" w:rsidRDefault="008A36E6" w:rsidP="00443454">
            <w:pPr>
              <w:pStyle w:val="TaskContent"/>
            </w:pPr>
            <w:r w:rsidRPr="008A36E6">
              <w:t>Visual 2: Dual-Axis Line Chart</w:t>
            </w:r>
          </w:p>
        </w:tc>
        <w:tc>
          <w:tcPr>
            <w:tcW w:w="2948" w:type="dxa"/>
          </w:tcPr>
          <w:p w14:paraId="26F72CD5" w14:textId="6AC2F379" w:rsidR="00443454" w:rsidRDefault="008A36E6" w:rsidP="00443454">
            <w:pPr>
              <w:pStyle w:val="TaskContent"/>
            </w:pPr>
            <w:r w:rsidRPr="008A36E6">
              <w:t>← (spans centre + right)</w:t>
            </w:r>
          </w:p>
        </w:tc>
      </w:tr>
      <w:tr w:rsidR="00443454" w14:paraId="6D07DDA3" w14:textId="77777777" w:rsidTr="00A63286">
        <w:tc>
          <w:tcPr>
            <w:tcW w:w="988" w:type="dxa"/>
          </w:tcPr>
          <w:p w14:paraId="031F4151" w14:textId="065045FF" w:rsidR="00443454" w:rsidRDefault="008A36E6" w:rsidP="00443454">
            <w:pPr>
              <w:pStyle w:val="TaskContent"/>
            </w:pPr>
            <w:r w:rsidRPr="008A36E6">
              <w:rPr>
                <w:b/>
                <w:bCs/>
              </w:rPr>
              <w:t>Middle</w:t>
            </w:r>
          </w:p>
        </w:tc>
        <w:tc>
          <w:tcPr>
            <w:tcW w:w="2693" w:type="dxa"/>
          </w:tcPr>
          <w:p w14:paraId="611984FC" w14:textId="3518C390" w:rsidR="00443454" w:rsidRDefault="008A36E6" w:rsidP="00443454">
            <w:pPr>
              <w:pStyle w:val="TaskContent"/>
            </w:pPr>
            <w:r w:rsidRPr="008A36E6">
              <w:t>Visual 3: 100% Stacked Bar</w:t>
            </w:r>
          </w:p>
        </w:tc>
        <w:tc>
          <w:tcPr>
            <w:tcW w:w="3827" w:type="dxa"/>
          </w:tcPr>
          <w:p w14:paraId="2B0F991C" w14:textId="1C499EA7" w:rsidR="00443454" w:rsidRDefault="008A36E6" w:rsidP="00443454">
            <w:pPr>
              <w:pStyle w:val="TaskContent"/>
            </w:pPr>
            <w:r w:rsidRPr="008A36E6">
              <w:t>Visual 4: Scatter Plot</w:t>
            </w:r>
          </w:p>
        </w:tc>
        <w:tc>
          <w:tcPr>
            <w:tcW w:w="2948" w:type="dxa"/>
          </w:tcPr>
          <w:p w14:paraId="10717E53" w14:textId="3ACD8750" w:rsidR="00443454" w:rsidRDefault="008A36E6" w:rsidP="00443454">
            <w:pPr>
              <w:pStyle w:val="TaskContent"/>
            </w:pPr>
            <w:r w:rsidRPr="008A36E6">
              <w:t>Visual 5: Horizontal Bar</w:t>
            </w:r>
          </w:p>
        </w:tc>
      </w:tr>
      <w:tr w:rsidR="00443454" w14:paraId="105E4A6F" w14:textId="77777777" w:rsidTr="00A63286">
        <w:tc>
          <w:tcPr>
            <w:tcW w:w="988" w:type="dxa"/>
          </w:tcPr>
          <w:p w14:paraId="61CEABDA" w14:textId="43253ADF" w:rsidR="00443454" w:rsidRDefault="008A36E6" w:rsidP="008A36E6">
            <w:pPr>
              <w:pStyle w:val="TaskContent"/>
              <w:tabs>
                <w:tab w:val="center" w:pos="1199"/>
                <w:tab w:val="left" w:pos="1584"/>
              </w:tabs>
            </w:pPr>
            <w:r w:rsidRPr="008A36E6">
              <w:rPr>
                <w:b/>
                <w:bCs/>
              </w:rPr>
              <w:t>Bottom</w:t>
            </w:r>
          </w:p>
        </w:tc>
        <w:tc>
          <w:tcPr>
            <w:tcW w:w="2693" w:type="dxa"/>
          </w:tcPr>
          <w:p w14:paraId="50A3AAED" w14:textId="114BB715" w:rsidR="00443454" w:rsidRDefault="008A36E6" w:rsidP="00443454">
            <w:pPr>
              <w:pStyle w:val="TaskContent"/>
            </w:pPr>
            <w:r w:rsidRPr="008A36E6">
              <w:t>Visual 6: Donut Chart</w:t>
            </w:r>
          </w:p>
        </w:tc>
        <w:tc>
          <w:tcPr>
            <w:tcW w:w="3827" w:type="dxa"/>
          </w:tcPr>
          <w:p w14:paraId="31E1330B" w14:textId="3F4A0C72" w:rsidR="00443454" w:rsidRDefault="00A63286" w:rsidP="00443454">
            <w:pPr>
              <w:pStyle w:val="TaskContent"/>
            </w:pPr>
            <w:r>
              <w:t>Filter Halving Era |</w:t>
            </w:r>
            <w:r w:rsidRPr="008A36E6">
              <w:t xml:space="preserve"> </w:t>
            </w:r>
            <w:r w:rsidRPr="008A36E6">
              <w:t>Visual 7: Matrix/Heatmap</w:t>
            </w:r>
          </w:p>
        </w:tc>
        <w:tc>
          <w:tcPr>
            <w:tcW w:w="2948" w:type="dxa"/>
          </w:tcPr>
          <w:p w14:paraId="27700AE2" w14:textId="2B519248" w:rsidR="00443454" w:rsidRDefault="00A63286" w:rsidP="00443454">
            <w:pPr>
              <w:pStyle w:val="TaskContent"/>
            </w:pPr>
            <w:r w:rsidRPr="008A36E6">
              <w:t>← (spans centre + right)</w:t>
            </w:r>
          </w:p>
        </w:tc>
      </w:tr>
    </w:tbl>
    <w:p w14:paraId="798BB59B" w14:textId="5E2929CD" w:rsidR="00736B3D" w:rsidRDefault="00D761F9" w:rsidP="00875A24">
      <w:pPr>
        <w:pStyle w:val="Ttulo3"/>
        <w:numPr>
          <w:ilvl w:val="1"/>
          <w:numId w:val="17"/>
        </w:numPr>
      </w:pPr>
      <w:r>
        <w:t>Short study</w:t>
      </w:r>
    </w:p>
    <w:p w14:paraId="7668800F" w14:textId="3AE1645C" w:rsidR="00736B3D" w:rsidRDefault="00D761F9" w:rsidP="008A36E6">
      <w:pPr>
        <w:pStyle w:val="TaskContent"/>
      </w:pPr>
      <w:r>
        <w:t xml:space="preserve">Try to </w:t>
      </w:r>
      <w:r w:rsidR="005D1209">
        <w:t xml:space="preserve">do a </w:t>
      </w:r>
      <w:r w:rsidR="00CF68BC">
        <w:t xml:space="preserve">brief </w:t>
      </w:r>
      <w:r w:rsidR="005D1209">
        <w:t xml:space="preserve">study of the results </w:t>
      </w:r>
      <w:r w:rsidR="003C1571">
        <w:t>-</w:t>
      </w:r>
      <w:r w:rsidR="005D1209">
        <w:t xml:space="preserve"> following your idea for the story and individual messages provided by each visualisation</w:t>
      </w:r>
      <w:r w:rsidR="00736B3D">
        <w:t xml:space="preserve">. </w:t>
      </w:r>
    </w:p>
    <w:p w14:paraId="607CD7C3" w14:textId="37FF5A4C" w:rsidR="008A36E6" w:rsidRPr="008A36E6" w:rsidRDefault="008A36E6" w:rsidP="008A36E6">
      <w:pPr>
        <w:pStyle w:val="TaskContent"/>
        <w:rPr>
          <w:lang w:val="en-US"/>
        </w:rPr>
      </w:pPr>
      <w:proofErr w:type="spellStart"/>
      <w:r w:rsidRPr="008A36E6">
        <w:rPr>
          <w:b/>
          <w:bCs/>
          <w:lang w:val="en-US"/>
        </w:rPr>
        <w:t>SegWit</w:t>
      </w:r>
      <w:proofErr w:type="spellEnd"/>
      <w:r w:rsidRPr="008A36E6">
        <w:rPr>
          <w:b/>
          <w:bCs/>
          <w:lang w:val="en-US"/>
        </w:rPr>
        <w:t xml:space="preserve"> Adoption (Visual 3):</w:t>
      </w:r>
      <w:r w:rsidRPr="008A36E6">
        <w:rPr>
          <w:lang w:val="en-US"/>
        </w:rPr>
        <w:t xml:space="preserve"> </w:t>
      </w:r>
      <w:r w:rsidR="004F3ADA" w:rsidRPr="004F3ADA">
        <w:rPr>
          <w:lang w:val="en-US"/>
        </w:rPr>
        <w:t xml:space="preserve">The stacked bar chart confirms that in 2026 Q2, </w:t>
      </w:r>
      <w:proofErr w:type="spellStart"/>
      <w:r w:rsidR="004F3ADA" w:rsidRPr="004F3ADA">
        <w:rPr>
          <w:lang w:val="en-US"/>
        </w:rPr>
        <w:t>SegWit</w:t>
      </w:r>
      <w:proofErr w:type="spellEnd"/>
      <w:r w:rsidR="004F3ADA" w:rsidRPr="004F3ADA">
        <w:rPr>
          <w:lang w:val="en-US"/>
        </w:rPr>
        <w:t>-native script types (grouped as 'OTHER') account for the overwhelming majority of transactions, with P2PKH and P2SH combined representing roughly 19% of the 651,368 non-</w:t>
      </w:r>
      <w:proofErr w:type="spellStart"/>
      <w:r w:rsidR="004F3ADA" w:rsidRPr="004F3ADA">
        <w:rPr>
          <w:lang w:val="en-US"/>
        </w:rPr>
        <w:t>coinbase</w:t>
      </w:r>
      <w:proofErr w:type="spellEnd"/>
      <w:r w:rsidR="004F3ADA" w:rsidRPr="004F3ADA">
        <w:rPr>
          <w:lang w:val="en-US"/>
        </w:rPr>
        <w:t xml:space="preserve"> transactions. Because the dataset covers only Era 5, the full S-curve adoption trajectory from 2017 onward cannot be reconstructed within this dashboard </w:t>
      </w:r>
      <w:r w:rsidR="009D3B88">
        <w:rPr>
          <w:lang w:val="en-US"/>
        </w:rPr>
        <w:t>-</w:t>
      </w:r>
      <w:r w:rsidR="004F3ADA" w:rsidRPr="004F3ADA">
        <w:rPr>
          <w:lang w:val="en-US"/>
        </w:rPr>
        <w:t xml:space="preserve"> cross-era historical data would be required to </w:t>
      </w:r>
      <w:proofErr w:type="spellStart"/>
      <w:r w:rsidR="004F3ADA" w:rsidRPr="004F3ADA">
        <w:rPr>
          <w:lang w:val="en-US"/>
        </w:rPr>
        <w:t>visualise</w:t>
      </w:r>
      <w:proofErr w:type="spellEnd"/>
      <w:r w:rsidR="004F3ADA" w:rsidRPr="004F3ADA">
        <w:rPr>
          <w:lang w:val="en-US"/>
        </w:rPr>
        <w:t xml:space="preserve"> the gradual protocol transition.</w:t>
      </w:r>
    </w:p>
    <w:p w14:paraId="306E4C67" w14:textId="7AE39FF6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Fee Dynamics (Visual 2):</w:t>
      </w:r>
      <w:r w:rsidRPr="008A36E6">
        <w:rPr>
          <w:lang w:val="en-US"/>
        </w:rPr>
        <w:t xml:space="preserve"> </w:t>
      </w:r>
      <w:r w:rsidR="004F3ADA" w:rsidRPr="004F3ADA">
        <w:t>The dual-axis line chart shows a notable crossing pattern between months 5 and 6 of 2026: settlement output value (USD) decreased while the average fee rate rose from 17.68 to 18.97 sat/</w:t>
      </w:r>
      <w:proofErr w:type="spellStart"/>
      <w:r w:rsidR="004F3ADA" w:rsidRPr="004F3ADA">
        <w:t>vByte</w:t>
      </w:r>
      <w:proofErr w:type="spellEnd"/>
      <w:r w:rsidR="004F3ADA" w:rsidRPr="004F3ADA">
        <w:t>. This divergence in a two-month window suggests that fewer but higher-value transactions were settled in June, absorbing proportionally lower fee burden (10.55% → 6.14%). Due to the limited temporal scope of the dataset, cross-era fee spike comparisons (e.g., December 2017, May 2021) cannot be performed in this dashboard.</w:t>
      </w:r>
    </w:p>
    <w:p w14:paraId="1275C8DD" w14:textId="0BD3936C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Sentiment and Volume (Visual 4):</w:t>
      </w:r>
      <w:r w:rsidRPr="008A36E6">
        <w:rPr>
          <w:lang w:val="en-US"/>
        </w:rPr>
        <w:t xml:space="preserve"> </w:t>
      </w:r>
      <w:r w:rsidR="004F3ADA" w:rsidRPr="004F3ADA">
        <w:t xml:space="preserve">The scatter plot confirms that </w:t>
      </w:r>
      <w:r w:rsidR="004F3ADA" w:rsidRPr="004F3ADA">
        <w:rPr>
          <w:iCs/>
        </w:rPr>
        <w:t>Extreme Fear</w:t>
      </w:r>
      <w:r w:rsidR="004F3ADA" w:rsidRPr="004F3ADA">
        <w:t xml:space="preserve"> days dominate on-chain activity, with the highest output values clustered in that sentiment band. </w:t>
      </w:r>
      <w:r w:rsidR="004F3ADA" w:rsidRPr="004F3ADA">
        <w:rPr>
          <w:iCs/>
        </w:rPr>
        <w:t>Fear</w:t>
      </w:r>
      <w:r w:rsidR="004F3ADA" w:rsidRPr="004F3ADA">
        <w:t xml:space="preserve"> days follow, while </w:t>
      </w:r>
      <w:r w:rsidR="004F3ADA" w:rsidRPr="004F3ADA">
        <w:rPr>
          <w:iCs/>
        </w:rPr>
        <w:t>Neutral</w:t>
      </w:r>
      <w:r w:rsidR="004F3ADA" w:rsidRPr="004F3ADA">
        <w:t xml:space="preserve"> days show significantly lower settlement volumes. Notably, the dataset contains no Greed or Extreme Greed observations, meaning the full sentiment spectrum cannot be tested. The pattern is consistent with panic-selling or accumulation behaviour during downturns driving the largest on-chain settlements.</w:t>
      </w:r>
    </w:p>
    <w:p w14:paraId="4BA777AA" w14:textId="540E6D66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Fee Burden by Era (Visual 5):</w:t>
      </w:r>
      <w:r w:rsidRPr="008A36E6">
        <w:rPr>
          <w:lang w:val="en-US"/>
        </w:rPr>
        <w:t xml:space="preserve"> </w:t>
      </w:r>
      <w:r w:rsidR="004F3ADA" w:rsidRPr="004F3ADA">
        <w:t xml:space="preserve">All 657,968 transactions in the dataset fall within a single difficulty tier </w:t>
      </w:r>
      <w:r w:rsidR="009D3B88">
        <w:t>-</w:t>
      </w:r>
      <w:r w:rsidR="004F3ADA" w:rsidRPr="004F3ADA">
        <w:t xml:space="preserve"> </w:t>
      </w:r>
      <w:r w:rsidR="004F3ADA" w:rsidRPr="004F3ADA">
        <w:rPr>
          <w:iCs/>
        </w:rPr>
        <w:t>Extreme</w:t>
      </w:r>
      <w:r w:rsidR="004F3ADA" w:rsidRPr="004F3ADA">
        <w:t xml:space="preserve"> </w:t>
      </w:r>
      <w:r w:rsidR="009D3B88">
        <w:t>-</w:t>
      </w:r>
      <w:r w:rsidR="004F3ADA" w:rsidRPr="004F3ADA">
        <w:t xml:space="preserve"> reflecting Bitcoin's record-high network difficulty in Era 5. The horizontal bar chart therefore displays a single bar with an average fee burden of </w:t>
      </w:r>
      <w:r w:rsidR="004F3ADA" w:rsidRPr="004F3ADA">
        <w:lastRenderedPageBreak/>
        <w:t>approximately 8.55%. Because no lower-difficulty-tier data is available, it is not possible to compare how fee burden has evolved across difficulty regimes; this would require historical blocks from earlier eras.</w:t>
      </w:r>
    </w:p>
    <w:p w14:paraId="72A68321" w14:textId="2D296D95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Miner Revenue Composition (Visual 6):</w:t>
      </w:r>
      <w:r w:rsidRPr="008A36E6">
        <w:rPr>
          <w:lang w:val="en-US"/>
        </w:rPr>
        <w:t xml:space="preserve"> </w:t>
      </w:r>
      <w:r w:rsidR="003604A0" w:rsidRPr="003604A0">
        <w:t xml:space="preserve">The donut chart displays BTC output value by script type (OTHER, P2SH, P2PKH), showing P2PKH-type outputs at approximately 84.1% (4.32M BTC) and P2SH at 9.81% (0.5M BTC). Note that the original design called for Coinbase Flag as the breakdown dimension; the plan was revised to reflect the as-built implementation. The </w:t>
      </w:r>
      <w:proofErr w:type="spellStart"/>
      <w:r w:rsidR="003604A0" w:rsidRPr="003604A0">
        <w:t>coinbase</w:t>
      </w:r>
      <w:proofErr w:type="spellEnd"/>
      <w:r w:rsidR="003604A0" w:rsidRPr="003604A0">
        <w:t xml:space="preserve"> composition figures remain accessible via the Q7 pivot table: </w:t>
      </w:r>
      <w:proofErr w:type="spellStart"/>
      <w:r w:rsidR="003604A0" w:rsidRPr="003604A0">
        <w:t>coinbase</w:t>
      </w:r>
      <w:proofErr w:type="spellEnd"/>
      <w:r w:rsidR="003604A0" w:rsidRPr="003604A0">
        <w:t xml:space="preserve"> transactions account for 20,769.66 BTC against 5,119,597.72 BTC from standard transactions (≈0.40% by value)</w:t>
      </w:r>
      <w:r w:rsidR="009D3B88" w:rsidRPr="009D3B88">
        <w:t xml:space="preserve">. It shows P2PKH-type outputs representing approximately 84.1% of displayed BTC value (4.32M BTC) and P2SH approximately 9.81% (0.5M BTC), with the remainder attributed to </w:t>
      </w:r>
      <w:proofErr w:type="spellStart"/>
      <w:r w:rsidR="009D3B88" w:rsidRPr="009D3B88">
        <w:t>SegWit</w:t>
      </w:r>
      <w:proofErr w:type="spellEnd"/>
      <w:r w:rsidR="009D3B88" w:rsidRPr="009D3B88">
        <w:t xml:space="preserve"> types. The intended </w:t>
      </w:r>
      <w:proofErr w:type="spellStart"/>
      <w:r w:rsidR="009D3B88" w:rsidRPr="009D3B88">
        <w:t>coinbase</w:t>
      </w:r>
      <w:proofErr w:type="spellEnd"/>
      <w:r w:rsidR="009D3B88" w:rsidRPr="009D3B88">
        <w:t xml:space="preserve"> vs. standard composition analysis is partially addressable from Q7 pivot data: </w:t>
      </w:r>
      <w:proofErr w:type="spellStart"/>
      <w:r w:rsidR="009D3B88" w:rsidRPr="009D3B88">
        <w:t>coinbase</w:t>
      </w:r>
      <w:proofErr w:type="spellEnd"/>
      <w:r w:rsidR="009D3B88" w:rsidRPr="009D3B88">
        <w:t xml:space="preserve"> transactions generate 20,769.66 BTC against 5,119,597.72 BTC from standard transactions (≈0.40% </w:t>
      </w:r>
      <w:proofErr w:type="spellStart"/>
      <w:r w:rsidR="009D3B88" w:rsidRPr="009D3B88">
        <w:t>coinbase</w:t>
      </w:r>
      <w:proofErr w:type="spellEnd"/>
      <w:r w:rsidR="009D3B88" w:rsidRPr="009D3B88">
        <w:t xml:space="preserve"> share by value). However, cross-era comparison tracking the subsidy decline from Era 3 onward is impossible </w:t>
      </w:r>
      <w:r w:rsidR="009D3B88">
        <w:t>-</w:t>
      </w:r>
      <w:r w:rsidR="009D3B88" w:rsidRPr="009D3B88">
        <w:t xml:space="preserve"> only Era 5 is populated.</w:t>
      </w:r>
    </w:p>
    <w:p w14:paraId="7901890A" w14:textId="2BE0D326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Day-of-Week Seasonality (Visual 7):</w:t>
      </w:r>
      <w:r w:rsidRPr="008A36E6">
        <w:rPr>
          <w:lang w:val="en-US"/>
        </w:rPr>
        <w:t xml:space="preserve"> </w:t>
      </w:r>
      <w:r w:rsidR="009D3B88" w:rsidRPr="009D3B88">
        <w:t>Sunday and Saturday consistently show the lowest average fee rates (14.57 and 15.17 sat/</w:t>
      </w:r>
      <w:proofErr w:type="spellStart"/>
      <w:r w:rsidR="009D3B88" w:rsidRPr="009D3B88">
        <w:t>vByte</w:t>
      </w:r>
      <w:proofErr w:type="spellEnd"/>
      <w:r w:rsidR="009D3B88" w:rsidRPr="009D3B88">
        <w:t xml:space="preserve"> respectively), while Tuesday peaks at 24.07 sat/</w:t>
      </w:r>
      <w:proofErr w:type="spellStart"/>
      <w:r w:rsidR="009D3B88" w:rsidRPr="009D3B88">
        <w:t>vByte</w:t>
      </w:r>
      <w:proofErr w:type="spellEnd"/>
      <w:r w:rsidR="009D3B88" w:rsidRPr="009D3B88">
        <w:t xml:space="preserve"> </w:t>
      </w:r>
      <w:r w:rsidR="009D3B88">
        <w:t>-</w:t>
      </w:r>
      <w:r w:rsidR="009D3B88" w:rsidRPr="009D3B88">
        <w:t xml:space="preserve"> suggesting institutional settlement activity concentrated on business days. The heatmap currently populates only Era 5 due to the data scope limitation; persistence of this weekend discount pattern across earlier eras is a hypothesis that would require historical block data to verify.</w:t>
      </w:r>
    </w:p>
    <w:p w14:paraId="4AF32ECE" w14:textId="77777777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b/>
          <w:bCs/>
          <w:lang w:val="en-US"/>
        </w:rPr>
        <w:t>Dashboard Effectiveness:</w:t>
      </w:r>
    </w:p>
    <w:p w14:paraId="6E577D82" w14:textId="67D89197" w:rsidR="008A36E6" w:rsidRPr="008A36E6" w:rsidRDefault="008A36E6" w:rsidP="008A36E6">
      <w:pPr>
        <w:pStyle w:val="TaskContent"/>
        <w:rPr>
          <w:lang w:val="en-US"/>
        </w:rPr>
      </w:pPr>
      <w:r w:rsidRPr="008A36E6">
        <w:rPr>
          <w:lang w:val="en-US"/>
        </w:rPr>
        <w:t>The card delivers a sub-second strategic signal before the analyst reads any chart</w:t>
      </w:r>
      <w:r w:rsidR="003604A0">
        <w:rPr>
          <w:lang w:val="en-US"/>
        </w:rPr>
        <w:t xml:space="preserve">. </w:t>
      </w:r>
      <w:r w:rsidR="003604A0" w:rsidRPr="003604A0">
        <w:t>The dual-axis line chart places settlement volume and fee rate on a shared time axis, allowing the analyst to immediately read the May</w:t>
      </w:r>
      <w:r w:rsidR="003604A0">
        <w:t>-</w:t>
      </w:r>
      <w:r w:rsidR="003604A0" w:rsidRPr="003604A0">
        <w:t>June divergence pattern without switching between tables</w:t>
      </w:r>
      <w:r w:rsidRPr="008A36E6">
        <w:rPr>
          <w:lang w:val="en-US"/>
        </w:rPr>
        <w:t xml:space="preserve">. The 100% stacked bar chart uses a consistent </w:t>
      </w:r>
      <w:proofErr w:type="spellStart"/>
      <w:r w:rsidRPr="008A36E6">
        <w:rPr>
          <w:lang w:val="en-US"/>
        </w:rPr>
        <w:t>colour</w:t>
      </w:r>
      <w:proofErr w:type="spellEnd"/>
      <w:r w:rsidRPr="008A36E6">
        <w:rPr>
          <w:lang w:val="en-US"/>
        </w:rPr>
        <w:t xml:space="preserve"> scheme reinforcing the protocol transition narrative without requiring a legend read. The scatter plot enables interactive drill-down by date and sentiment, providing ad-hoc </w:t>
      </w:r>
      <w:proofErr w:type="gramStart"/>
      <w:r w:rsidRPr="008A36E6">
        <w:rPr>
          <w:lang w:val="en-US"/>
        </w:rPr>
        <w:t>exploratory</w:t>
      </w:r>
      <w:proofErr w:type="gramEnd"/>
      <w:r w:rsidRPr="008A36E6">
        <w:rPr>
          <w:lang w:val="en-US"/>
        </w:rPr>
        <w:t xml:space="preserve"> depth within the dashboard. The heatmap is intentionally placed last (bottom-right), rewarding careful reading with the most actionable tactical insight: the cheapest days to transact on-chain.</w:t>
      </w:r>
    </w:p>
    <w:p w14:paraId="1E3C2ED1" w14:textId="77777777" w:rsidR="008A36E6" w:rsidRPr="008A36E6" w:rsidRDefault="008A36E6" w:rsidP="008A36E6">
      <w:pPr>
        <w:pStyle w:val="TaskContent"/>
      </w:pPr>
    </w:p>
    <w:p w14:paraId="50D58144" w14:textId="75AD52AC" w:rsidR="002A41A0" w:rsidRPr="00EB2513" w:rsidRDefault="00C32DA4" w:rsidP="00944690">
      <w:pPr>
        <w:pStyle w:val="Ttulo2"/>
        <w:rPr>
          <w:sz w:val="24"/>
          <w:szCs w:val="24"/>
        </w:rPr>
      </w:pPr>
      <w:r w:rsidRPr="00EB2513">
        <w:rPr>
          <w:b/>
          <w:bCs/>
          <w:sz w:val="24"/>
          <w:szCs w:val="24"/>
        </w:rPr>
        <w:t xml:space="preserve">General </w:t>
      </w:r>
      <w:r w:rsidR="009626F7" w:rsidRPr="00EB2513">
        <w:rPr>
          <w:b/>
          <w:bCs/>
          <w:sz w:val="24"/>
          <w:szCs w:val="24"/>
        </w:rPr>
        <w:t>Conclusions</w:t>
      </w:r>
      <w:r w:rsidR="002A41A0" w:rsidRPr="00EB2513">
        <w:rPr>
          <w:sz w:val="24"/>
          <w:szCs w:val="24"/>
        </w:rPr>
        <w:t>:</w:t>
      </w:r>
    </w:p>
    <w:p w14:paraId="6FD2A043" w14:textId="53A17ADF" w:rsidR="00871D09" w:rsidRPr="00EB2513" w:rsidRDefault="00871D09" w:rsidP="00211000">
      <w:pPr>
        <w:pStyle w:val="TaskContent"/>
      </w:pPr>
      <w:r w:rsidRPr="00EB2513">
        <w:t xml:space="preserve">Use this section to provide your </w:t>
      </w:r>
      <w:r w:rsidR="00F511B3" w:rsidRPr="00EB2513">
        <w:t xml:space="preserve">general </w:t>
      </w:r>
      <w:r w:rsidRPr="00EB2513">
        <w:t>conclusions</w:t>
      </w:r>
      <w:r w:rsidR="009C6E6E">
        <w:t>, please share basic information about encountered problems and sketch your a</w:t>
      </w:r>
      <w:r w:rsidR="00C7018E">
        <w:t>pproach to handle them</w:t>
      </w:r>
      <w:r w:rsidRPr="00EB2513">
        <w:t>:</w:t>
      </w:r>
    </w:p>
    <w:p w14:paraId="17B49E81" w14:textId="0B0738E5" w:rsidR="009D3B88" w:rsidRPr="009D3B88" w:rsidRDefault="009D3B88" w:rsidP="009D3B88">
      <w:pPr>
        <w:rPr>
          <w:lang w:val="en-US"/>
        </w:rPr>
      </w:pPr>
      <w:r w:rsidRPr="009D3B88">
        <w:rPr>
          <w:b/>
          <w:bCs/>
          <w:lang w:val="en-US"/>
        </w:rPr>
        <w:t>The project successfully delivered a functional OLAP data model and Power BI dashboard covering Bitcoin on-chain data</w:t>
      </w:r>
      <w:r w:rsidRPr="009D3B88">
        <w:rPr>
          <w:lang w:val="en-US"/>
        </w:rPr>
        <w:t xml:space="preserve"> for Era 5 (2026 Q2). Ten analytical queries from Stage 1 were addressed: seven yielded pivot table results and three (Q3 Fee Burden Tiers, Q5 Multi-Input Structure, Q8 NVT Ratio) were correctly identified as unanswerable due to structural gaps in the data model </w:t>
      </w:r>
      <w:r>
        <w:rPr>
          <w:lang w:val="en-US"/>
        </w:rPr>
        <w:t>-</w:t>
      </w:r>
      <w:r w:rsidRPr="009D3B88">
        <w:rPr>
          <w:lang w:val="en-US"/>
        </w:rPr>
        <w:t xml:space="preserve"> most critically the absence of transaction-level input counts, per-transaction virtual-size tiers, and BTC circulating supply.</w:t>
      </w:r>
    </w:p>
    <w:p w14:paraId="07316C65" w14:textId="245A472E" w:rsidR="009D3B88" w:rsidRPr="009D3B88" w:rsidRDefault="009D3B88" w:rsidP="009D3B88">
      <w:pPr>
        <w:rPr>
          <w:lang w:val="en-US"/>
        </w:rPr>
      </w:pPr>
      <w:r w:rsidRPr="009D3B88">
        <w:rPr>
          <w:lang w:val="en-US"/>
        </w:rPr>
        <w:t xml:space="preserve">The primary limitation encountered throughout the project was </w:t>
      </w:r>
      <w:r w:rsidRPr="009D3B88">
        <w:rPr>
          <w:b/>
          <w:bCs/>
          <w:lang w:val="en-US"/>
        </w:rPr>
        <w:t>data scope</w:t>
      </w:r>
      <w:r w:rsidRPr="009D3B88">
        <w:rPr>
          <w:lang w:val="en-US"/>
        </w:rPr>
        <w:t>: the loaded dataset covers a single halving era (Era 5) and approximately two months (May</w:t>
      </w:r>
      <w:r w:rsidR="003C1571">
        <w:rPr>
          <w:lang w:val="en-US"/>
        </w:rPr>
        <w:t>-</w:t>
      </w:r>
      <w:r w:rsidRPr="009D3B88">
        <w:rPr>
          <w:lang w:val="en-US"/>
        </w:rPr>
        <w:t xml:space="preserve">June 2026). This constraint prevented cross-era comparisons that were central to several analytical questions (Q6, Q7, Q9, Q10) and made several planned dashboard visuals analytically trivial </w:t>
      </w:r>
      <w:r>
        <w:rPr>
          <w:lang w:val="en-US"/>
        </w:rPr>
        <w:t>-</w:t>
      </w:r>
      <w:r w:rsidRPr="009D3B88">
        <w:rPr>
          <w:lang w:val="en-US"/>
        </w:rPr>
        <w:t xml:space="preserve"> the difficulty tier bar, the stacked adoption chart, and the heatmap all render with a single data point or a single populated column. The proposed solution for future work would be to ingest historical block data from Eras 1</w:t>
      </w:r>
      <w:r w:rsidR="003C1571">
        <w:rPr>
          <w:lang w:val="en-US"/>
        </w:rPr>
        <w:t>-</w:t>
      </w:r>
      <w:r w:rsidRPr="009D3B88">
        <w:rPr>
          <w:lang w:val="en-US"/>
        </w:rPr>
        <w:t>4 via the same ETL pipeline, which would immediately unlock the comparative narratives described in the dashboard plan.</w:t>
      </w:r>
    </w:p>
    <w:p w14:paraId="0E1814A5" w14:textId="77777777" w:rsidR="009D3B88" w:rsidRPr="009D3B88" w:rsidRDefault="009D3B88" w:rsidP="009D3B88">
      <w:pPr>
        <w:rPr>
          <w:lang w:val="en-US"/>
        </w:rPr>
      </w:pPr>
      <w:r w:rsidRPr="009D3B88">
        <w:rPr>
          <w:lang w:val="en-US"/>
        </w:rPr>
        <w:t xml:space="preserve">A second encountered problem was a </w:t>
      </w:r>
      <w:r w:rsidRPr="009D3B88">
        <w:rPr>
          <w:b/>
          <w:bCs/>
          <w:lang w:val="en-US"/>
        </w:rPr>
        <w:t>measure design gap</w:t>
      </w:r>
      <w:r w:rsidRPr="009D3B88">
        <w:rPr>
          <w:lang w:val="en-US"/>
        </w:rPr>
        <w:t xml:space="preserve"> in the data model: the Network Fee Sustainability KPI renders as 0.00 (red status) in the dashboard, indicating either a misconfigured KPI measure in the SSAS cube or a genuine result of the fee-to-subsidy ratio being below 1% under the current measure definition. This should be diagnosed by verifying the KPI's goal expression and confirming whether the measure correctly isolates fee revenue from total </w:t>
      </w:r>
      <w:proofErr w:type="spellStart"/>
      <w:r w:rsidRPr="009D3B88">
        <w:rPr>
          <w:lang w:val="en-US"/>
        </w:rPr>
        <w:t>coinbase</w:t>
      </w:r>
      <w:proofErr w:type="spellEnd"/>
      <w:r w:rsidRPr="009D3B88">
        <w:rPr>
          <w:lang w:val="en-US"/>
        </w:rPr>
        <w:t xml:space="preserve"> output value.</w:t>
      </w:r>
    </w:p>
    <w:p w14:paraId="4CDCA906" w14:textId="347299E3" w:rsidR="009D3B88" w:rsidRPr="009D3B88" w:rsidRDefault="003604A0" w:rsidP="009D3B88">
      <w:pPr>
        <w:rPr>
          <w:lang w:val="en-US"/>
        </w:rPr>
      </w:pPr>
      <w:r w:rsidRPr="003604A0">
        <w:t xml:space="preserve">A third issue was an implementation divergence in Visual 6: the donut chart was built using Script Type Desc rather than the originally planned Coinbase Flag dimension. The plan table was updated to document the as-built state. The </w:t>
      </w:r>
      <w:proofErr w:type="spellStart"/>
      <w:r w:rsidRPr="003604A0">
        <w:t>coinbase</w:t>
      </w:r>
      <w:proofErr w:type="spellEnd"/>
      <w:r w:rsidRPr="003604A0">
        <w:t xml:space="preserve"> composition insight remains available through the Q7 pivot table</w:t>
      </w:r>
      <w:r w:rsidR="009D3B88" w:rsidRPr="009D3B88">
        <w:rPr>
          <w:lang w:val="en-US"/>
        </w:rPr>
        <w:t>.</w:t>
      </w:r>
    </w:p>
    <w:p w14:paraId="2D83C43D" w14:textId="3715188E" w:rsidR="00875A24" w:rsidRPr="009D3B88" w:rsidRDefault="009D3B88" w:rsidP="00875A24">
      <w:pPr>
        <w:rPr>
          <w:lang w:val="en-US"/>
        </w:rPr>
      </w:pPr>
      <w:r w:rsidRPr="009D3B88">
        <w:rPr>
          <w:lang w:val="en-US"/>
        </w:rPr>
        <w:t xml:space="preserve">Despite these limitations, the dashboard fulfills its core purpose: a blockchain analyst can extract meaningful tactical insights (weekend fee discounts, sentiment-driven volume patterns, </w:t>
      </w:r>
      <w:proofErr w:type="spellStart"/>
      <w:r w:rsidRPr="009D3B88">
        <w:rPr>
          <w:lang w:val="en-US"/>
        </w:rPr>
        <w:t>SegWit</w:t>
      </w:r>
      <w:proofErr w:type="spellEnd"/>
      <w:r w:rsidRPr="009D3B88">
        <w:rPr>
          <w:lang w:val="en-US"/>
        </w:rPr>
        <w:t xml:space="preserve"> dominance) from a single screen, and the three unanswerable queries have been rigorously documented with technical justifications rather than silently omitted. The overall data model architecture is sound and extensible </w:t>
      </w:r>
      <w:r>
        <w:rPr>
          <w:lang w:val="en-US"/>
        </w:rPr>
        <w:t>-</w:t>
      </w:r>
      <w:r w:rsidRPr="009D3B88">
        <w:rPr>
          <w:lang w:val="en-US"/>
        </w:rPr>
        <w:t xml:space="preserve"> incorporating historical data and adding a circulating-supply fact table would resolve the majority of the identified gaps.</w:t>
      </w:r>
    </w:p>
    <w:sectPr w:rsidR="00875A24" w:rsidRPr="009D3B88" w:rsidSect="002D30B4">
      <w:head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E30C" w14:textId="77777777" w:rsidR="00587C77" w:rsidRDefault="00587C77" w:rsidP="00A97809">
      <w:pPr>
        <w:spacing w:before="0" w:after="0" w:line="240" w:lineRule="auto"/>
      </w:pPr>
      <w:r>
        <w:separator/>
      </w:r>
    </w:p>
  </w:endnote>
  <w:endnote w:type="continuationSeparator" w:id="0">
    <w:p w14:paraId="62C0DBE8" w14:textId="77777777" w:rsidR="00587C77" w:rsidRDefault="00587C77" w:rsidP="00A978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Bold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D0AB" w14:textId="77777777" w:rsidR="00587C77" w:rsidRDefault="00587C77" w:rsidP="00A97809">
      <w:pPr>
        <w:spacing w:before="0" w:after="0" w:line="240" w:lineRule="auto"/>
      </w:pPr>
      <w:r>
        <w:separator/>
      </w:r>
    </w:p>
  </w:footnote>
  <w:footnote w:type="continuationSeparator" w:id="0">
    <w:p w14:paraId="3BCA44DA" w14:textId="77777777" w:rsidR="00587C77" w:rsidRDefault="00587C77" w:rsidP="00A978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EABD" w14:textId="71286F18" w:rsidR="00A97809" w:rsidRDefault="00A97809" w:rsidP="00A97809">
    <w:pPr>
      <w:tabs>
        <w:tab w:val="left" w:pos="3969"/>
        <w:tab w:val="right" w:pos="9026"/>
      </w:tabs>
    </w:pPr>
    <w:r w:rsidRPr="00B35118">
      <w:t xml:space="preserve">Data Warehouses - Report </w:t>
    </w:r>
    <w:r w:rsidR="00C6080D">
      <w:t xml:space="preserve">MP </w:t>
    </w:r>
    <w:r w:rsidR="001D5C24">
      <w:t>–</w:t>
    </w:r>
    <w:r w:rsidR="002B3FBC">
      <w:t xml:space="preserve"> </w:t>
    </w:r>
    <w:r w:rsidR="001756DB">
      <w:t>4</w:t>
    </w:r>
    <w:r w:rsidRPr="00B35118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764"/>
    <w:multiLevelType w:val="hybridMultilevel"/>
    <w:tmpl w:val="C84C907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8C4422"/>
    <w:multiLevelType w:val="hybridMultilevel"/>
    <w:tmpl w:val="E1EE13DE"/>
    <w:lvl w:ilvl="0" w:tplc="733A02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785D"/>
    <w:multiLevelType w:val="hybridMultilevel"/>
    <w:tmpl w:val="2E4EC1C0"/>
    <w:lvl w:ilvl="0" w:tplc="07466FB2">
      <w:start w:val="1"/>
      <w:numFmt w:val="decimal"/>
      <w:pStyle w:val="QuestionTask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80E28"/>
    <w:multiLevelType w:val="multilevel"/>
    <w:tmpl w:val="942E2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5C1269"/>
    <w:multiLevelType w:val="hybridMultilevel"/>
    <w:tmpl w:val="E766DD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823AA"/>
    <w:multiLevelType w:val="multilevel"/>
    <w:tmpl w:val="CB620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4240B7"/>
    <w:multiLevelType w:val="hybridMultilevel"/>
    <w:tmpl w:val="A0F09986"/>
    <w:lvl w:ilvl="0" w:tplc="162E3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7B0823"/>
    <w:multiLevelType w:val="hybridMultilevel"/>
    <w:tmpl w:val="194E12C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D3FBC"/>
    <w:multiLevelType w:val="multilevel"/>
    <w:tmpl w:val="FB6265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4C43A7"/>
    <w:multiLevelType w:val="hybridMultilevel"/>
    <w:tmpl w:val="D3DE8768"/>
    <w:lvl w:ilvl="0" w:tplc="A964D8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A2407"/>
    <w:multiLevelType w:val="multilevel"/>
    <w:tmpl w:val="EB1057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8907C83"/>
    <w:multiLevelType w:val="hybridMultilevel"/>
    <w:tmpl w:val="F44A7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23A68"/>
    <w:multiLevelType w:val="multilevel"/>
    <w:tmpl w:val="EB1057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3E120A2"/>
    <w:multiLevelType w:val="multilevel"/>
    <w:tmpl w:val="4BAEBD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6E23A78"/>
    <w:multiLevelType w:val="hybridMultilevel"/>
    <w:tmpl w:val="F962C2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D694D"/>
    <w:multiLevelType w:val="hybridMultilevel"/>
    <w:tmpl w:val="EA7C3E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114ABC"/>
    <w:multiLevelType w:val="multilevel"/>
    <w:tmpl w:val="FB6265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CD70E66"/>
    <w:multiLevelType w:val="multilevel"/>
    <w:tmpl w:val="13EA77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30474712">
    <w:abstractNumId w:val="11"/>
  </w:num>
  <w:num w:numId="2" w16cid:durableId="1899782265">
    <w:abstractNumId w:val="2"/>
  </w:num>
  <w:num w:numId="3" w16cid:durableId="1923374915">
    <w:abstractNumId w:val="0"/>
  </w:num>
  <w:num w:numId="4" w16cid:durableId="1290283849">
    <w:abstractNumId w:val="13"/>
  </w:num>
  <w:num w:numId="5" w16cid:durableId="59062799">
    <w:abstractNumId w:val="9"/>
  </w:num>
  <w:num w:numId="6" w16cid:durableId="1986739580">
    <w:abstractNumId w:val="7"/>
  </w:num>
  <w:num w:numId="7" w16cid:durableId="1097556945">
    <w:abstractNumId w:val="2"/>
    <w:lvlOverride w:ilvl="0">
      <w:startOverride w:val="1"/>
    </w:lvlOverride>
  </w:num>
  <w:num w:numId="8" w16cid:durableId="408891167">
    <w:abstractNumId w:val="17"/>
  </w:num>
  <w:num w:numId="9" w16cid:durableId="2069961788">
    <w:abstractNumId w:val="5"/>
  </w:num>
  <w:num w:numId="10" w16cid:durableId="694888903">
    <w:abstractNumId w:val="15"/>
  </w:num>
  <w:num w:numId="11" w16cid:durableId="314922379">
    <w:abstractNumId w:val="6"/>
  </w:num>
  <w:num w:numId="12" w16cid:durableId="2087067596">
    <w:abstractNumId w:val="1"/>
  </w:num>
  <w:num w:numId="13" w16cid:durableId="1157913348">
    <w:abstractNumId w:val="14"/>
  </w:num>
  <w:num w:numId="14" w16cid:durableId="518544890">
    <w:abstractNumId w:val="4"/>
  </w:num>
  <w:num w:numId="15" w16cid:durableId="486439596">
    <w:abstractNumId w:val="12"/>
  </w:num>
  <w:num w:numId="16" w16cid:durableId="584581797">
    <w:abstractNumId w:val="3"/>
  </w:num>
  <w:num w:numId="17" w16cid:durableId="1306348618">
    <w:abstractNumId w:val="10"/>
  </w:num>
  <w:num w:numId="18" w16cid:durableId="1581253284">
    <w:abstractNumId w:val="8"/>
  </w:num>
  <w:num w:numId="19" w16cid:durableId="706294249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C"/>
    <w:rsid w:val="00000472"/>
    <w:rsid w:val="00000529"/>
    <w:rsid w:val="00001CD5"/>
    <w:rsid w:val="00002388"/>
    <w:rsid w:val="00004B06"/>
    <w:rsid w:val="000062A4"/>
    <w:rsid w:val="00007745"/>
    <w:rsid w:val="0000775E"/>
    <w:rsid w:val="00011EF2"/>
    <w:rsid w:val="00013564"/>
    <w:rsid w:val="00013596"/>
    <w:rsid w:val="000135BD"/>
    <w:rsid w:val="00013749"/>
    <w:rsid w:val="0001380E"/>
    <w:rsid w:val="00015277"/>
    <w:rsid w:val="0002080C"/>
    <w:rsid w:val="00021FAD"/>
    <w:rsid w:val="00022F26"/>
    <w:rsid w:val="00026191"/>
    <w:rsid w:val="0002685F"/>
    <w:rsid w:val="00030C8F"/>
    <w:rsid w:val="00034CA3"/>
    <w:rsid w:val="00036C5F"/>
    <w:rsid w:val="00036EDD"/>
    <w:rsid w:val="00037B58"/>
    <w:rsid w:val="00037F0E"/>
    <w:rsid w:val="00040060"/>
    <w:rsid w:val="000427AA"/>
    <w:rsid w:val="0004300E"/>
    <w:rsid w:val="0004558B"/>
    <w:rsid w:val="00047817"/>
    <w:rsid w:val="00050781"/>
    <w:rsid w:val="00054426"/>
    <w:rsid w:val="00054447"/>
    <w:rsid w:val="00056ADB"/>
    <w:rsid w:val="00062769"/>
    <w:rsid w:val="00080453"/>
    <w:rsid w:val="000836AD"/>
    <w:rsid w:val="000907ED"/>
    <w:rsid w:val="00092EB6"/>
    <w:rsid w:val="00094009"/>
    <w:rsid w:val="0009424E"/>
    <w:rsid w:val="0009442B"/>
    <w:rsid w:val="00096D41"/>
    <w:rsid w:val="000A334D"/>
    <w:rsid w:val="000A466A"/>
    <w:rsid w:val="000A55C8"/>
    <w:rsid w:val="000A705B"/>
    <w:rsid w:val="000B1365"/>
    <w:rsid w:val="000B1D62"/>
    <w:rsid w:val="000B5635"/>
    <w:rsid w:val="000B5935"/>
    <w:rsid w:val="000B7E1D"/>
    <w:rsid w:val="000C0664"/>
    <w:rsid w:val="000C0F4C"/>
    <w:rsid w:val="000C1AB0"/>
    <w:rsid w:val="000C2E9F"/>
    <w:rsid w:val="000C4190"/>
    <w:rsid w:val="000C7F7C"/>
    <w:rsid w:val="000D2761"/>
    <w:rsid w:val="000D292F"/>
    <w:rsid w:val="000D5052"/>
    <w:rsid w:val="000D5CB1"/>
    <w:rsid w:val="000D61D2"/>
    <w:rsid w:val="000D6CEC"/>
    <w:rsid w:val="000E1622"/>
    <w:rsid w:val="000E2024"/>
    <w:rsid w:val="000E27AE"/>
    <w:rsid w:val="000E2FBF"/>
    <w:rsid w:val="000E65FF"/>
    <w:rsid w:val="000E7A55"/>
    <w:rsid w:val="000F7AB5"/>
    <w:rsid w:val="0010077B"/>
    <w:rsid w:val="00104C08"/>
    <w:rsid w:val="00106B20"/>
    <w:rsid w:val="0011073D"/>
    <w:rsid w:val="00116FEE"/>
    <w:rsid w:val="001216B2"/>
    <w:rsid w:val="00121D4D"/>
    <w:rsid w:val="00127972"/>
    <w:rsid w:val="00132EB9"/>
    <w:rsid w:val="00133DE7"/>
    <w:rsid w:val="00134FF5"/>
    <w:rsid w:val="0013549F"/>
    <w:rsid w:val="001412E2"/>
    <w:rsid w:val="00142E1E"/>
    <w:rsid w:val="00143D4E"/>
    <w:rsid w:val="00147194"/>
    <w:rsid w:val="00150BD2"/>
    <w:rsid w:val="00152DDB"/>
    <w:rsid w:val="001562C8"/>
    <w:rsid w:val="001577F1"/>
    <w:rsid w:val="00164FA8"/>
    <w:rsid w:val="0017089F"/>
    <w:rsid w:val="0017201D"/>
    <w:rsid w:val="001756DB"/>
    <w:rsid w:val="00183DCE"/>
    <w:rsid w:val="001846F3"/>
    <w:rsid w:val="00192363"/>
    <w:rsid w:val="00196B8D"/>
    <w:rsid w:val="001A145F"/>
    <w:rsid w:val="001A192E"/>
    <w:rsid w:val="001A7D58"/>
    <w:rsid w:val="001B0256"/>
    <w:rsid w:val="001B0D41"/>
    <w:rsid w:val="001B1048"/>
    <w:rsid w:val="001C063E"/>
    <w:rsid w:val="001C07D1"/>
    <w:rsid w:val="001C64CA"/>
    <w:rsid w:val="001C6E0C"/>
    <w:rsid w:val="001D004B"/>
    <w:rsid w:val="001D0B02"/>
    <w:rsid w:val="001D5C24"/>
    <w:rsid w:val="001E2442"/>
    <w:rsid w:val="001E564F"/>
    <w:rsid w:val="001E6C0B"/>
    <w:rsid w:val="001E6E4D"/>
    <w:rsid w:val="001E6FA8"/>
    <w:rsid w:val="001E710F"/>
    <w:rsid w:val="001F3C05"/>
    <w:rsid w:val="001F5753"/>
    <w:rsid w:val="001F7011"/>
    <w:rsid w:val="00200BFF"/>
    <w:rsid w:val="00205009"/>
    <w:rsid w:val="00205913"/>
    <w:rsid w:val="00206E11"/>
    <w:rsid w:val="00207094"/>
    <w:rsid w:val="00207E24"/>
    <w:rsid w:val="00210DBD"/>
    <w:rsid w:val="00211000"/>
    <w:rsid w:val="00213B67"/>
    <w:rsid w:val="002147B1"/>
    <w:rsid w:val="0021537E"/>
    <w:rsid w:val="00217DF4"/>
    <w:rsid w:val="00217E8E"/>
    <w:rsid w:val="00225BE3"/>
    <w:rsid w:val="00226447"/>
    <w:rsid w:val="002275BD"/>
    <w:rsid w:val="002312CB"/>
    <w:rsid w:val="0023490E"/>
    <w:rsid w:val="00235F2F"/>
    <w:rsid w:val="00241272"/>
    <w:rsid w:val="00241FCB"/>
    <w:rsid w:val="00242628"/>
    <w:rsid w:val="00243E39"/>
    <w:rsid w:val="00244AD5"/>
    <w:rsid w:val="0025129B"/>
    <w:rsid w:val="00253B93"/>
    <w:rsid w:val="00254D07"/>
    <w:rsid w:val="0025666A"/>
    <w:rsid w:val="0025788B"/>
    <w:rsid w:val="0026570B"/>
    <w:rsid w:val="00267637"/>
    <w:rsid w:val="00275867"/>
    <w:rsid w:val="00276F39"/>
    <w:rsid w:val="00277552"/>
    <w:rsid w:val="00282FA4"/>
    <w:rsid w:val="0028448F"/>
    <w:rsid w:val="002970F9"/>
    <w:rsid w:val="002A41A0"/>
    <w:rsid w:val="002B1366"/>
    <w:rsid w:val="002B19F3"/>
    <w:rsid w:val="002B3FBC"/>
    <w:rsid w:val="002B4179"/>
    <w:rsid w:val="002C3EA0"/>
    <w:rsid w:val="002D1C91"/>
    <w:rsid w:val="002D30B4"/>
    <w:rsid w:val="002D4491"/>
    <w:rsid w:val="002D4D98"/>
    <w:rsid w:val="002D5943"/>
    <w:rsid w:val="002D701E"/>
    <w:rsid w:val="002D7E03"/>
    <w:rsid w:val="002E4D16"/>
    <w:rsid w:val="002E686E"/>
    <w:rsid w:val="002E7EC9"/>
    <w:rsid w:val="002F0B11"/>
    <w:rsid w:val="002F1714"/>
    <w:rsid w:val="002F215B"/>
    <w:rsid w:val="002F4288"/>
    <w:rsid w:val="002F7DED"/>
    <w:rsid w:val="00300DDF"/>
    <w:rsid w:val="003033D8"/>
    <w:rsid w:val="00303ED5"/>
    <w:rsid w:val="00305DCB"/>
    <w:rsid w:val="003230FE"/>
    <w:rsid w:val="00323E4B"/>
    <w:rsid w:val="003265B8"/>
    <w:rsid w:val="003271A2"/>
    <w:rsid w:val="00334176"/>
    <w:rsid w:val="00340E7F"/>
    <w:rsid w:val="0034156D"/>
    <w:rsid w:val="00351FD2"/>
    <w:rsid w:val="003520E3"/>
    <w:rsid w:val="00356CE9"/>
    <w:rsid w:val="003573DE"/>
    <w:rsid w:val="003604A0"/>
    <w:rsid w:val="00360B33"/>
    <w:rsid w:val="003701F1"/>
    <w:rsid w:val="0037032B"/>
    <w:rsid w:val="00376D4F"/>
    <w:rsid w:val="003800D4"/>
    <w:rsid w:val="003801FD"/>
    <w:rsid w:val="00381282"/>
    <w:rsid w:val="00387833"/>
    <w:rsid w:val="003878F6"/>
    <w:rsid w:val="00390ED2"/>
    <w:rsid w:val="00393906"/>
    <w:rsid w:val="00397E89"/>
    <w:rsid w:val="003A14E3"/>
    <w:rsid w:val="003B2E97"/>
    <w:rsid w:val="003B398F"/>
    <w:rsid w:val="003B7B34"/>
    <w:rsid w:val="003C1571"/>
    <w:rsid w:val="003C24CE"/>
    <w:rsid w:val="003D48DE"/>
    <w:rsid w:val="003D4D0A"/>
    <w:rsid w:val="003D7106"/>
    <w:rsid w:val="003F07D5"/>
    <w:rsid w:val="003F2FEA"/>
    <w:rsid w:val="00400C79"/>
    <w:rsid w:val="00404034"/>
    <w:rsid w:val="00407C44"/>
    <w:rsid w:val="004101C2"/>
    <w:rsid w:val="0041035E"/>
    <w:rsid w:val="00416759"/>
    <w:rsid w:val="00417162"/>
    <w:rsid w:val="00420C43"/>
    <w:rsid w:val="00422698"/>
    <w:rsid w:val="00424F55"/>
    <w:rsid w:val="00442BAC"/>
    <w:rsid w:val="00443454"/>
    <w:rsid w:val="00445FE0"/>
    <w:rsid w:val="00454113"/>
    <w:rsid w:val="0046003D"/>
    <w:rsid w:val="00461FBE"/>
    <w:rsid w:val="00467980"/>
    <w:rsid w:val="00474C31"/>
    <w:rsid w:val="004774F5"/>
    <w:rsid w:val="004778F6"/>
    <w:rsid w:val="00487140"/>
    <w:rsid w:val="00490137"/>
    <w:rsid w:val="00494690"/>
    <w:rsid w:val="004A1A94"/>
    <w:rsid w:val="004A22EE"/>
    <w:rsid w:val="004A57AA"/>
    <w:rsid w:val="004B0A63"/>
    <w:rsid w:val="004B24C3"/>
    <w:rsid w:val="004C0078"/>
    <w:rsid w:val="004C2193"/>
    <w:rsid w:val="004C7BBF"/>
    <w:rsid w:val="004D63BB"/>
    <w:rsid w:val="004E00DB"/>
    <w:rsid w:val="004E0E23"/>
    <w:rsid w:val="004E1D53"/>
    <w:rsid w:val="004E2756"/>
    <w:rsid w:val="004E5B14"/>
    <w:rsid w:val="004F3ADA"/>
    <w:rsid w:val="004F3EC0"/>
    <w:rsid w:val="004F5B3B"/>
    <w:rsid w:val="004F6465"/>
    <w:rsid w:val="004F6750"/>
    <w:rsid w:val="004F7827"/>
    <w:rsid w:val="00502DA2"/>
    <w:rsid w:val="005040AA"/>
    <w:rsid w:val="005100EC"/>
    <w:rsid w:val="00514110"/>
    <w:rsid w:val="005157A0"/>
    <w:rsid w:val="005172EE"/>
    <w:rsid w:val="00521C5D"/>
    <w:rsid w:val="00524ADD"/>
    <w:rsid w:val="00525DCD"/>
    <w:rsid w:val="00527489"/>
    <w:rsid w:val="00527715"/>
    <w:rsid w:val="00533290"/>
    <w:rsid w:val="00535306"/>
    <w:rsid w:val="00541458"/>
    <w:rsid w:val="005419C2"/>
    <w:rsid w:val="00550E87"/>
    <w:rsid w:val="00551697"/>
    <w:rsid w:val="00561673"/>
    <w:rsid w:val="005621B3"/>
    <w:rsid w:val="00562751"/>
    <w:rsid w:val="00563FC7"/>
    <w:rsid w:val="00566DA8"/>
    <w:rsid w:val="00570F85"/>
    <w:rsid w:val="005717C2"/>
    <w:rsid w:val="00574885"/>
    <w:rsid w:val="0058141F"/>
    <w:rsid w:val="0058625A"/>
    <w:rsid w:val="00587A6F"/>
    <w:rsid w:val="00587C77"/>
    <w:rsid w:val="005932E1"/>
    <w:rsid w:val="005A2959"/>
    <w:rsid w:val="005A2C2D"/>
    <w:rsid w:val="005A2F5D"/>
    <w:rsid w:val="005A36BC"/>
    <w:rsid w:val="005C7059"/>
    <w:rsid w:val="005D07FA"/>
    <w:rsid w:val="005D1209"/>
    <w:rsid w:val="005D212C"/>
    <w:rsid w:val="005D4F23"/>
    <w:rsid w:val="005D5808"/>
    <w:rsid w:val="005E0984"/>
    <w:rsid w:val="005E1A46"/>
    <w:rsid w:val="005E2C2B"/>
    <w:rsid w:val="005F0543"/>
    <w:rsid w:val="005F164E"/>
    <w:rsid w:val="005F41CB"/>
    <w:rsid w:val="006009A9"/>
    <w:rsid w:val="00602500"/>
    <w:rsid w:val="00604FA9"/>
    <w:rsid w:val="00611254"/>
    <w:rsid w:val="00612B25"/>
    <w:rsid w:val="006143FD"/>
    <w:rsid w:val="0061720A"/>
    <w:rsid w:val="00625C63"/>
    <w:rsid w:val="0062756B"/>
    <w:rsid w:val="006306DF"/>
    <w:rsid w:val="00632257"/>
    <w:rsid w:val="006352DA"/>
    <w:rsid w:val="0063569B"/>
    <w:rsid w:val="00636D94"/>
    <w:rsid w:val="006410D4"/>
    <w:rsid w:val="00641512"/>
    <w:rsid w:val="00641B0E"/>
    <w:rsid w:val="00645B34"/>
    <w:rsid w:val="00646378"/>
    <w:rsid w:val="006524C7"/>
    <w:rsid w:val="0065443C"/>
    <w:rsid w:val="00655114"/>
    <w:rsid w:val="0066197C"/>
    <w:rsid w:val="006623AF"/>
    <w:rsid w:val="00662614"/>
    <w:rsid w:val="00662DBC"/>
    <w:rsid w:val="00663675"/>
    <w:rsid w:val="00671F4F"/>
    <w:rsid w:val="0067733F"/>
    <w:rsid w:val="00680A5E"/>
    <w:rsid w:val="006824EA"/>
    <w:rsid w:val="00682A56"/>
    <w:rsid w:val="006837EF"/>
    <w:rsid w:val="00685034"/>
    <w:rsid w:val="00685B04"/>
    <w:rsid w:val="00694AEC"/>
    <w:rsid w:val="00697813"/>
    <w:rsid w:val="006978AA"/>
    <w:rsid w:val="006A4B9B"/>
    <w:rsid w:val="006A5600"/>
    <w:rsid w:val="006A65DF"/>
    <w:rsid w:val="006B371C"/>
    <w:rsid w:val="006B7A00"/>
    <w:rsid w:val="006C2219"/>
    <w:rsid w:val="006C32F5"/>
    <w:rsid w:val="006C73AC"/>
    <w:rsid w:val="006D56F2"/>
    <w:rsid w:val="006E35ED"/>
    <w:rsid w:val="006E3FAF"/>
    <w:rsid w:val="006E4F43"/>
    <w:rsid w:val="006F0982"/>
    <w:rsid w:val="006F283E"/>
    <w:rsid w:val="007006D8"/>
    <w:rsid w:val="00702AE3"/>
    <w:rsid w:val="00710C39"/>
    <w:rsid w:val="00710EF2"/>
    <w:rsid w:val="00712822"/>
    <w:rsid w:val="00712947"/>
    <w:rsid w:val="0071517B"/>
    <w:rsid w:val="007154DF"/>
    <w:rsid w:val="00715B7D"/>
    <w:rsid w:val="00716403"/>
    <w:rsid w:val="007170E8"/>
    <w:rsid w:val="007175E4"/>
    <w:rsid w:val="007207C2"/>
    <w:rsid w:val="0072384E"/>
    <w:rsid w:val="00726544"/>
    <w:rsid w:val="007269ED"/>
    <w:rsid w:val="00731845"/>
    <w:rsid w:val="00732BC7"/>
    <w:rsid w:val="007368C7"/>
    <w:rsid w:val="00736B3D"/>
    <w:rsid w:val="007520B1"/>
    <w:rsid w:val="00753163"/>
    <w:rsid w:val="00757459"/>
    <w:rsid w:val="0075765C"/>
    <w:rsid w:val="00757C70"/>
    <w:rsid w:val="00761AA5"/>
    <w:rsid w:val="0076496E"/>
    <w:rsid w:val="00766F61"/>
    <w:rsid w:val="007716AF"/>
    <w:rsid w:val="00772B97"/>
    <w:rsid w:val="00773ECA"/>
    <w:rsid w:val="00774F53"/>
    <w:rsid w:val="00775BB6"/>
    <w:rsid w:val="00777400"/>
    <w:rsid w:val="00783ABE"/>
    <w:rsid w:val="00786657"/>
    <w:rsid w:val="007867E0"/>
    <w:rsid w:val="00786DAB"/>
    <w:rsid w:val="007927C7"/>
    <w:rsid w:val="007948D7"/>
    <w:rsid w:val="00794FF3"/>
    <w:rsid w:val="007964AB"/>
    <w:rsid w:val="00797456"/>
    <w:rsid w:val="007A249F"/>
    <w:rsid w:val="007A49E2"/>
    <w:rsid w:val="007B4FAB"/>
    <w:rsid w:val="007C2AC2"/>
    <w:rsid w:val="007C412B"/>
    <w:rsid w:val="007C5736"/>
    <w:rsid w:val="007D2E08"/>
    <w:rsid w:val="007D49FB"/>
    <w:rsid w:val="007D50C3"/>
    <w:rsid w:val="007E74FC"/>
    <w:rsid w:val="007F4C12"/>
    <w:rsid w:val="007F5E76"/>
    <w:rsid w:val="008003E5"/>
    <w:rsid w:val="00801F9F"/>
    <w:rsid w:val="0081369A"/>
    <w:rsid w:val="008149F4"/>
    <w:rsid w:val="008239C2"/>
    <w:rsid w:val="00824F45"/>
    <w:rsid w:val="0082551C"/>
    <w:rsid w:val="00831EAD"/>
    <w:rsid w:val="00836B9D"/>
    <w:rsid w:val="00841CA8"/>
    <w:rsid w:val="00847C4B"/>
    <w:rsid w:val="00850CD0"/>
    <w:rsid w:val="00852129"/>
    <w:rsid w:val="00852137"/>
    <w:rsid w:val="008540E5"/>
    <w:rsid w:val="0086754F"/>
    <w:rsid w:val="00867FC5"/>
    <w:rsid w:val="00871D09"/>
    <w:rsid w:val="00872C6B"/>
    <w:rsid w:val="00873396"/>
    <w:rsid w:val="00875A24"/>
    <w:rsid w:val="008770C9"/>
    <w:rsid w:val="00877477"/>
    <w:rsid w:val="00883388"/>
    <w:rsid w:val="00887211"/>
    <w:rsid w:val="00893A3D"/>
    <w:rsid w:val="008969CE"/>
    <w:rsid w:val="008A36E6"/>
    <w:rsid w:val="008A469B"/>
    <w:rsid w:val="008A53BB"/>
    <w:rsid w:val="008A5987"/>
    <w:rsid w:val="008A5E56"/>
    <w:rsid w:val="008B0988"/>
    <w:rsid w:val="008B70C4"/>
    <w:rsid w:val="008C1E66"/>
    <w:rsid w:val="008C3FBE"/>
    <w:rsid w:val="008C4E8F"/>
    <w:rsid w:val="008C5DC6"/>
    <w:rsid w:val="008D04F2"/>
    <w:rsid w:val="008D324E"/>
    <w:rsid w:val="008D5765"/>
    <w:rsid w:val="008D6347"/>
    <w:rsid w:val="008D79D6"/>
    <w:rsid w:val="008E0349"/>
    <w:rsid w:val="008E1DF5"/>
    <w:rsid w:val="008F125E"/>
    <w:rsid w:val="008F65B1"/>
    <w:rsid w:val="008F6A9A"/>
    <w:rsid w:val="008F73DF"/>
    <w:rsid w:val="00900244"/>
    <w:rsid w:val="00903C59"/>
    <w:rsid w:val="00904214"/>
    <w:rsid w:val="00906A75"/>
    <w:rsid w:val="00907278"/>
    <w:rsid w:val="00907352"/>
    <w:rsid w:val="00910186"/>
    <w:rsid w:val="009116AB"/>
    <w:rsid w:val="00917CC2"/>
    <w:rsid w:val="00920D77"/>
    <w:rsid w:val="009212AE"/>
    <w:rsid w:val="00926E05"/>
    <w:rsid w:val="00926FAB"/>
    <w:rsid w:val="009278FA"/>
    <w:rsid w:val="0094001E"/>
    <w:rsid w:val="0094179F"/>
    <w:rsid w:val="00944690"/>
    <w:rsid w:val="00950860"/>
    <w:rsid w:val="009551E3"/>
    <w:rsid w:val="0096038C"/>
    <w:rsid w:val="009604FD"/>
    <w:rsid w:val="009626F7"/>
    <w:rsid w:val="00965AA9"/>
    <w:rsid w:val="00965FFA"/>
    <w:rsid w:val="0097010C"/>
    <w:rsid w:val="0098150F"/>
    <w:rsid w:val="00982524"/>
    <w:rsid w:val="00993EEA"/>
    <w:rsid w:val="0099687D"/>
    <w:rsid w:val="009A1EEC"/>
    <w:rsid w:val="009A5CC0"/>
    <w:rsid w:val="009B0925"/>
    <w:rsid w:val="009B4533"/>
    <w:rsid w:val="009B645D"/>
    <w:rsid w:val="009C1D80"/>
    <w:rsid w:val="009C3581"/>
    <w:rsid w:val="009C6E6E"/>
    <w:rsid w:val="009D31AE"/>
    <w:rsid w:val="009D3B88"/>
    <w:rsid w:val="009D6DDB"/>
    <w:rsid w:val="009E1065"/>
    <w:rsid w:val="009E35BE"/>
    <w:rsid w:val="009E436C"/>
    <w:rsid w:val="009E5A97"/>
    <w:rsid w:val="009F0716"/>
    <w:rsid w:val="009F331B"/>
    <w:rsid w:val="009F4610"/>
    <w:rsid w:val="009F4C7C"/>
    <w:rsid w:val="00A051F2"/>
    <w:rsid w:val="00A068E8"/>
    <w:rsid w:val="00A07388"/>
    <w:rsid w:val="00A16744"/>
    <w:rsid w:val="00A20F02"/>
    <w:rsid w:val="00A21B92"/>
    <w:rsid w:val="00A2330C"/>
    <w:rsid w:val="00A2418D"/>
    <w:rsid w:val="00A254FA"/>
    <w:rsid w:val="00A30C8D"/>
    <w:rsid w:val="00A31A5C"/>
    <w:rsid w:val="00A33C71"/>
    <w:rsid w:val="00A36894"/>
    <w:rsid w:val="00A3705B"/>
    <w:rsid w:val="00A3732D"/>
    <w:rsid w:val="00A37517"/>
    <w:rsid w:val="00A40D36"/>
    <w:rsid w:val="00A42A3F"/>
    <w:rsid w:val="00A4487B"/>
    <w:rsid w:val="00A44A08"/>
    <w:rsid w:val="00A44AE6"/>
    <w:rsid w:val="00A458BA"/>
    <w:rsid w:val="00A50305"/>
    <w:rsid w:val="00A54503"/>
    <w:rsid w:val="00A627C7"/>
    <w:rsid w:val="00A63286"/>
    <w:rsid w:val="00A63942"/>
    <w:rsid w:val="00A67334"/>
    <w:rsid w:val="00A70DF0"/>
    <w:rsid w:val="00A7157B"/>
    <w:rsid w:val="00A80B68"/>
    <w:rsid w:val="00A81C4A"/>
    <w:rsid w:val="00A824AA"/>
    <w:rsid w:val="00A83212"/>
    <w:rsid w:val="00A867E7"/>
    <w:rsid w:val="00A91CCF"/>
    <w:rsid w:val="00A94C9D"/>
    <w:rsid w:val="00A97809"/>
    <w:rsid w:val="00AA122E"/>
    <w:rsid w:val="00AA2E80"/>
    <w:rsid w:val="00AA7CC8"/>
    <w:rsid w:val="00AB1270"/>
    <w:rsid w:val="00AB4FCD"/>
    <w:rsid w:val="00AB5DA3"/>
    <w:rsid w:val="00AB663E"/>
    <w:rsid w:val="00AB743C"/>
    <w:rsid w:val="00AC0B02"/>
    <w:rsid w:val="00AD7410"/>
    <w:rsid w:val="00AE1A68"/>
    <w:rsid w:val="00AE2276"/>
    <w:rsid w:val="00AE45E6"/>
    <w:rsid w:val="00AF461C"/>
    <w:rsid w:val="00AF4F8B"/>
    <w:rsid w:val="00AF50C5"/>
    <w:rsid w:val="00AF5354"/>
    <w:rsid w:val="00AF6005"/>
    <w:rsid w:val="00AF62E1"/>
    <w:rsid w:val="00AF79A7"/>
    <w:rsid w:val="00B00A4E"/>
    <w:rsid w:val="00B0112C"/>
    <w:rsid w:val="00B03A9B"/>
    <w:rsid w:val="00B15D0D"/>
    <w:rsid w:val="00B1600B"/>
    <w:rsid w:val="00B175E8"/>
    <w:rsid w:val="00B2228A"/>
    <w:rsid w:val="00B26322"/>
    <w:rsid w:val="00B263F9"/>
    <w:rsid w:val="00B30469"/>
    <w:rsid w:val="00B35118"/>
    <w:rsid w:val="00B36F50"/>
    <w:rsid w:val="00B412DD"/>
    <w:rsid w:val="00B42AC7"/>
    <w:rsid w:val="00B50D81"/>
    <w:rsid w:val="00B523CD"/>
    <w:rsid w:val="00B52BB2"/>
    <w:rsid w:val="00B535C0"/>
    <w:rsid w:val="00B55720"/>
    <w:rsid w:val="00B55D70"/>
    <w:rsid w:val="00B60B85"/>
    <w:rsid w:val="00B6120C"/>
    <w:rsid w:val="00B6371F"/>
    <w:rsid w:val="00B6420B"/>
    <w:rsid w:val="00B67603"/>
    <w:rsid w:val="00B67A63"/>
    <w:rsid w:val="00B7196B"/>
    <w:rsid w:val="00B7271A"/>
    <w:rsid w:val="00B74D5B"/>
    <w:rsid w:val="00B74F28"/>
    <w:rsid w:val="00B762F7"/>
    <w:rsid w:val="00B812E2"/>
    <w:rsid w:val="00B83688"/>
    <w:rsid w:val="00B85AE0"/>
    <w:rsid w:val="00B90C13"/>
    <w:rsid w:val="00B95124"/>
    <w:rsid w:val="00B953A5"/>
    <w:rsid w:val="00BA2305"/>
    <w:rsid w:val="00BB41D8"/>
    <w:rsid w:val="00BB722B"/>
    <w:rsid w:val="00BC32B7"/>
    <w:rsid w:val="00BC6F0E"/>
    <w:rsid w:val="00BD4C28"/>
    <w:rsid w:val="00BD63F1"/>
    <w:rsid w:val="00BE7C2F"/>
    <w:rsid w:val="00BE7D89"/>
    <w:rsid w:val="00BF21FF"/>
    <w:rsid w:val="00BF2464"/>
    <w:rsid w:val="00BF2F12"/>
    <w:rsid w:val="00BF33E3"/>
    <w:rsid w:val="00BF3AC5"/>
    <w:rsid w:val="00BF3E8C"/>
    <w:rsid w:val="00BF50FB"/>
    <w:rsid w:val="00C03E5D"/>
    <w:rsid w:val="00C06575"/>
    <w:rsid w:val="00C101C5"/>
    <w:rsid w:val="00C11BBC"/>
    <w:rsid w:val="00C16068"/>
    <w:rsid w:val="00C17EBB"/>
    <w:rsid w:val="00C23817"/>
    <w:rsid w:val="00C27975"/>
    <w:rsid w:val="00C325E4"/>
    <w:rsid w:val="00C32DA4"/>
    <w:rsid w:val="00C3690D"/>
    <w:rsid w:val="00C5303F"/>
    <w:rsid w:val="00C53429"/>
    <w:rsid w:val="00C6080D"/>
    <w:rsid w:val="00C613D0"/>
    <w:rsid w:val="00C61903"/>
    <w:rsid w:val="00C63900"/>
    <w:rsid w:val="00C649F8"/>
    <w:rsid w:val="00C6736B"/>
    <w:rsid w:val="00C7018E"/>
    <w:rsid w:val="00C701EF"/>
    <w:rsid w:val="00C73266"/>
    <w:rsid w:val="00C75BA1"/>
    <w:rsid w:val="00C829B4"/>
    <w:rsid w:val="00C84AFB"/>
    <w:rsid w:val="00C8522B"/>
    <w:rsid w:val="00C85DFA"/>
    <w:rsid w:val="00C94ABB"/>
    <w:rsid w:val="00CA3ECE"/>
    <w:rsid w:val="00CA7202"/>
    <w:rsid w:val="00CB0AEE"/>
    <w:rsid w:val="00CB0BAF"/>
    <w:rsid w:val="00CB253B"/>
    <w:rsid w:val="00CB26A2"/>
    <w:rsid w:val="00CB432F"/>
    <w:rsid w:val="00CC022D"/>
    <w:rsid w:val="00CC0FD6"/>
    <w:rsid w:val="00CC72BC"/>
    <w:rsid w:val="00CD1D5E"/>
    <w:rsid w:val="00CD331A"/>
    <w:rsid w:val="00CE041D"/>
    <w:rsid w:val="00CE3BC7"/>
    <w:rsid w:val="00CE6505"/>
    <w:rsid w:val="00CF1C78"/>
    <w:rsid w:val="00CF1E68"/>
    <w:rsid w:val="00CF31CD"/>
    <w:rsid w:val="00CF34BC"/>
    <w:rsid w:val="00CF3B4E"/>
    <w:rsid w:val="00CF4E92"/>
    <w:rsid w:val="00CF5640"/>
    <w:rsid w:val="00CF68BC"/>
    <w:rsid w:val="00D003D5"/>
    <w:rsid w:val="00D05E28"/>
    <w:rsid w:val="00D07494"/>
    <w:rsid w:val="00D12774"/>
    <w:rsid w:val="00D209FB"/>
    <w:rsid w:val="00D21B78"/>
    <w:rsid w:val="00D22108"/>
    <w:rsid w:val="00D274B3"/>
    <w:rsid w:val="00D37E09"/>
    <w:rsid w:val="00D4110E"/>
    <w:rsid w:val="00D429EE"/>
    <w:rsid w:val="00D46CEE"/>
    <w:rsid w:val="00D525E2"/>
    <w:rsid w:val="00D53CAD"/>
    <w:rsid w:val="00D54082"/>
    <w:rsid w:val="00D54310"/>
    <w:rsid w:val="00D552B8"/>
    <w:rsid w:val="00D61AD3"/>
    <w:rsid w:val="00D6582A"/>
    <w:rsid w:val="00D761F9"/>
    <w:rsid w:val="00D810BC"/>
    <w:rsid w:val="00D83BB4"/>
    <w:rsid w:val="00D905F8"/>
    <w:rsid w:val="00D90CAE"/>
    <w:rsid w:val="00D91B71"/>
    <w:rsid w:val="00D925B1"/>
    <w:rsid w:val="00D97866"/>
    <w:rsid w:val="00D97882"/>
    <w:rsid w:val="00DA375C"/>
    <w:rsid w:val="00DA6BF0"/>
    <w:rsid w:val="00DB117B"/>
    <w:rsid w:val="00DB5FBF"/>
    <w:rsid w:val="00DC2CA0"/>
    <w:rsid w:val="00DC2E02"/>
    <w:rsid w:val="00DC642D"/>
    <w:rsid w:val="00DD20EE"/>
    <w:rsid w:val="00DD41F2"/>
    <w:rsid w:val="00DD5A53"/>
    <w:rsid w:val="00DE2A1A"/>
    <w:rsid w:val="00DE3B14"/>
    <w:rsid w:val="00DF6E29"/>
    <w:rsid w:val="00E009F6"/>
    <w:rsid w:val="00E0121B"/>
    <w:rsid w:val="00E02311"/>
    <w:rsid w:val="00E02ABB"/>
    <w:rsid w:val="00E11C8F"/>
    <w:rsid w:val="00E23FAC"/>
    <w:rsid w:val="00E26BBF"/>
    <w:rsid w:val="00E2710E"/>
    <w:rsid w:val="00E3442D"/>
    <w:rsid w:val="00E3513D"/>
    <w:rsid w:val="00E35E56"/>
    <w:rsid w:val="00E40689"/>
    <w:rsid w:val="00E427C9"/>
    <w:rsid w:val="00E46217"/>
    <w:rsid w:val="00E477B9"/>
    <w:rsid w:val="00E54E6E"/>
    <w:rsid w:val="00E56076"/>
    <w:rsid w:val="00E566C1"/>
    <w:rsid w:val="00E6010D"/>
    <w:rsid w:val="00E607B3"/>
    <w:rsid w:val="00E63F6A"/>
    <w:rsid w:val="00E657EC"/>
    <w:rsid w:val="00E73A57"/>
    <w:rsid w:val="00E7462F"/>
    <w:rsid w:val="00E81173"/>
    <w:rsid w:val="00E81411"/>
    <w:rsid w:val="00E818B0"/>
    <w:rsid w:val="00E81DE4"/>
    <w:rsid w:val="00E84B29"/>
    <w:rsid w:val="00E863C9"/>
    <w:rsid w:val="00E91D30"/>
    <w:rsid w:val="00E94E47"/>
    <w:rsid w:val="00E962E5"/>
    <w:rsid w:val="00E962F6"/>
    <w:rsid w:val="00EA1F21"/>
    <w:rsid w:val="00EA5184"/>
    <w:rsid w:val="00EB0AF4"/>
    <w:rsid w:val="00EB2513"/>
    <w:rsid w:val="00EB7061"/>
    <w:rsid w:val="00EC175D"/>
    <w:rsid w:val="00EC1FF5"/>
    <w:rsid w:val="00EC2ACF"/>
    <w:rsid w:val="00EC484F"/>
    <w:rsid w:val="00EC709A"/>
    <w:rsid w:val="00ED1235"/>
    <w:rsid w:val="00ED6108"/>
    <w:rsid w:val="00EF2996"/>
    <w:rsid w:val="00EF6F0A"/>
    <w:rsid w:val="00F00C80"/>
    <w:rsid w:val="00F02B72"/>
    <w:rsid w:val="00F04CD2"/>
    <w:rsid w:val="00F06DDE"/>
    <w:rsid w:val="00F10858"/>
    <w:rsid w:val="00F11370"/>
    <w:rsid w:val="00F160F3"/>
    <w:rsid w:val="00F16ACD"/>
    <w:rsid w:val="00F22A88"/>
    <w:rsid w:val="00F254C4"/>
    <w:rsid w:val="00F26415"/>
    <w:rsid w:val="00F30C94"/>
    <w:rsid w:val="00F364B6"/>
    <w:rsid w:val="00F37B0F"/>
    <w:rsid w:val="00F41D1B"/>
    <w:rsid w:val="00F446F2"/>
    <w:rsid w:val="00F44E0B"/>
    <w:rsid w:val="00F511B3"/>
    <w:rsid w:val="00F54E74"/>
    <w:rsid w:val="00F55A99"/>
    <w:rsid w:val="00F57E34"/>
    <w:rsid w:val="00F6001B"/>
    <w:rsid w:val="00F61852"/>
    <w:rsid w:val="00F65D59"/>
    <w:rsid w:val="00F66B7E"/>
    <w:rsid w:val="00F66C9B"/>
    <w:rsid w:val="00F73B43"/>
    <w:rsid w:val="00F75440"/>
    <w:rsid w:val="00F77C7B"/>
    <w:rsid w:val="00F81664"/>
    <w:rsid w:val="00F82E38"/>
    <w:rsid w:val="00F85DBE"/>
    <w:rsid w:val="00F871AB"/>
    <w:rsid w:val="00F96064"/>
    <w:rsid w:val="00FB06AF"/>
    <w:rsid w:val="00FB4284"/>
    <w:rsid w:val="00FB5262"/>
    <w:rsid w:val="00FB5DE4"/>
    <w:rsid w:val="00FB7306"/>
    <w:rsid w:val="00FB7EC4"/>
    <w:rsid w:val="00FC04A2"/>
    <w:rsid w:val="00FC1F9A"/>
    <w:rsid w:val="00FC392B"/>
    <w:rsid w:val="00FC4198"/>
    <w:rsid w:val="00FD24FC"/>
    <w:rsid w:val="00FD310A"/>
    <w:rsid w:val="00FD427A"/>
    <w:rsid w:val="00FD65CC"/>
    <w:rsid w:val="00FD7908"/>
    <w:rsid w:val="00FD7CB2"/>
    <w:rsid w:val="00FE0F28"/>
    <w:rsid w:val="00FE5E24"/>
    <w:rsid w:val="00FE652D"/>
    <w:rsid w:val="00FF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2607D"/>
  <w15:chartTrackingRefBased/>
  <w15:docId w15:val="{0F2CD55F-CAD6-45EC-964E-AD9D6AA8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43"/>
  </w:style>
  <w:style w:type="paragraph" w:styleId="Ttulo1">
    <w:name w:val="heading 1"/>
    <w:basedOn w:val="Normal"/>
    <w:next w:val="Normal"/>
    <w:link w:val="Ttulo1Car"/>
    <w:uiPriority w:val="9"/>
    <w:qFormat/>
    <w:rsid w:val="00B6760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760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760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760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60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60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60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60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60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7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809"/>
  </w:style>
  <w:style w:type="paragraph" w:styleId="Piedepgina">
    <w:name w:val="footer"/>
    <w:basedOn w:val="Normal"/>
    <w:link w:val="PiedepginaCar"/>
    <w:uiPriority w:val="99"/>
    <w:unhideWhenUsed/>
    <w:rsid w:val="00A97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809"/>
  </w:style>
  <w:style w:type="table" w:styleId="Tablaconcuadrcula">
    <w:name w:val="Table Grid"/>
    <w:basedOn w:val="Tablanormal"/>
    <w:uiPriority w:val="59"/>
    <w:rsid w:val="00A9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6760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B67603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B67603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B67603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603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603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603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603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603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67603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6760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6760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60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67603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B67603"/>
    <w:rPr>
      <w:b/>
      <w:bCs/>
    </w:rPr>
  </w:style>
  <w:style w:type="character" w:styleId="nfasis">
    <w:name w:val="Emphasis"/>
    <w:uiPriority w:val="20"/>
    <w:qFormat/>
    <w:rsid w:val="00B67603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B6760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67603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67603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60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603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B67603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B67603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B67603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B67603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B67603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67603"/>
    <w:pPr>
      <w:outlineLvl w:val="9"/>
    </w:pPr>
  </w:style>
  <w:style w:type="paragraph" w:styleId="Prrafodelista">
    <w:name w:val="List Paragraph"/>
    <w:basedOn w:val="Normal"/>
    <w:link w:val="PrrafodelistaCar"/>
    <w:uiPriority w:val="34"/>
    <w:qFormat/>
    <w:rsid w:val="0041716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B12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1270"/>
    <w:rPr>
      <w:color w:val="605E5C"/>
      <w:shd w:val="clear" w:color="auto" w:fill="E1DFDD"/>
    </w:rPr>
  </w:style>
  <w:style w:type="paragraph" w:customStyle="1" w:styleId="TaskContent">
    <w:name w:val="TaskContent"/>
    <w:basedOn w:val="Normal"/>
    <w:link w:val="TaskContentChar"/>
    <w:qFormat/>
    <w:rsid w:val="00FC4198"/>
    <w:pPr>
      <w:autoSpaceDE w:val="0"/>
      <w:autoSpaceDN w:val="0"/>
      <w:adjustRightInd w:val="0"/>
      <w:spacing w:before="0" w:after="120" w:line="240" w:lineRule="auto"/>
      <w:jc w:val="both"/>
    </w:pPr>
    <w:rPr>
      <w:i/>
    </w:rPr>
  </w:style>
  <w:style w:type="character" w:customStyle="1" w:styleId="TaskContentChar">
    <w:name w:val="TaskContent Char"/>
    <w:basedOn w:val="Fuentedeprrafopredeter"/>
    <w:link w:val="TaskContent"/>
    <w:rsid w:val="00FC4198"/>
    <w:rPr>
      <w:i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FC4198"/>
  </w:style>
  <w:style w:type="paragraph" w:customStyle="1" w:styleId="QuestionDesc">
    <w:name w:val="QuestionDesc"/>
    <w:basedOn w:val="Normal"/>
    <w:link w:val="QuestionDescChar"/>
    <w:qFormat/>
    <w:rsid w:val="00026191"/>
    <w:pPr>
      <w:autoSpaceDE w:val="0"/>
      <w:autoSpaceDN w:val="0"/>
      <w:adjustRightInd w:val="0"/>
      <w:spacing w:before="0" w:after="0" w:line="240" w:lineRule="auto"/>
      <w:ind w:firstLine="357"/>
      <w:jc w:val="both"/>
    </w:pPr>
    <w:rPr>
      <w:rFonts w:cs="Calibri,Bold"/>
      <w:bCs/>
      <w:i/>
    </w:rPr>
  </w:style>
  <w:style w:type="paragraph" w:customStyle="1" w:styleId="QuestionTask">
    <w:name w:val="QuestionTask"/>
    <w:basedOn w:val="Prrafodelista"/>
    <w:link w:val="QuestionTaskChar"/>
    <w:qFormat/>
    <w:rsid w:val="00AD7410"/>
    <w:pPr>
      <w:numPr>
        <w:numId w:val="2"/>
      </w:numPr>
      <w:autoSpaceDE w:val="0"/>
      <w:autoSpaceDN w:val="0"/>
      <w:adjustRightInd w:val="0"/>
      <w:spacing w:before="0" w:after="0" w:line="240" w:lineRule="auto"/>
    </w:pPr>
    <w:rPr>
      <w:rFonts w:eastAsia="Times New Roman" w:cstheme="minorHAnsi"/>
      <w:lang w:eastAsia="en-AU"/>
    </w:rPr>
  </w:style>
  <w:style w:type="character" w:customStyle="1" w:styleId="QuestionDescChar">
    <w:name w:val="QuestionDesc Char"/>
    <w:basedOn w:val="Fuentedeprrafopredeter"/>
    <w:link w:val="QuestionDesc"/>
    <w:rsid w:val="00026191"/>
    <w:rPr>
      <w:rFonts w:cs="Calibri,Bold"/>
      <w:bCs/>
      <w:i/>
    </w:rPr>
  </w:style>
  <w:style w:type="paragraph" w:customStyle="1" w:styleId="QuestionTableTitle">
    <w:name w:val="QuestionTableTitle"/>
    <w:basedOn w:val="QuestionTask"/>
    <w:link w:val="QuestionTableTitleChar"/>
    <w:qFormat/>
    <w:rsid w:val="00BF2F12"/>
    <w:pPr>
      <w:keepNext/>
      <w:numPr>
        <w:numId w:val="0"/>
      </w:numPr>
      <w:spacing w:before="120"/>
      <w:contextualSpacing w:val="0"/>
      <w:jc w:val="center"/>
    </w:pPr>
    <w:rPr>
      <w:b/>
      <w:bCs/>
    </w:rPr>
  </w:style>
  <w:style w:type="character" w:customStyle="1" w:styleId="QuestionTaskChar">
    <w:name w:val="QuestionTask Char"/>
    <w:basedOn w:val="PrrafodelistaCar"/>
    <w:link w:val="QuestionTask"/>
    <w:rsid w:val="00AD7410"/>
    <w:rPr>
      <w:rFonts w:eastAsia="Times New Roman" w:cstheme="minorHAnsi"/>
      <w:lang w:eastAsia="en-AU"/>
    </w:rPr>
  </w:style>
  <w:style w:type="character" w:customStyle="1" w:styleId="QuestionTableTitleChar">
    <w:name w:val="QuestionTableTitle Char"/>
    <w:basedOn w:val="QuestionTaskChar"/>
    <w:link w:val="QuestionTableTitle"/>
    <w:rsid w:val="00BF2F12"/>
    <w:rPr>
      <w:rFonts w:eastAsia="Times New Roman" w:cstheme="minorHAnsi"/>
      <w:b/>
      <w:bCs/>
      <w:lang w:eastAsia="en-AU"/>
    </w:rPr>
  </w:style>
  <w:style w:type="paragraph" w:customStyle="1" w:styleId="Default">
    <w:name w:val="Default"/>
    <w:rsid w:val="00E818B0"/>
    <w:pPr>
      <w:autoSpaceDE w:val="0"/>
      <w:autoSpaceDN w:val="0"/>
      <w:adjustRightInd w:val="0"/>
      <w:spacing w:before="0" w:after="0" w:line="240" w:lineRule="auto"/>
    </w:pPr>
    <w:rPr>
      <w:rFonts w:ascii="Calibri" w:eastAsiaTheme="minorHAnsi" w:hAnsi="Calibri" w:cs="Calibri"/>
      <w:color w:val="000000"/>
      <w:sz w:val="24"/>
      <w:szCs w:val="24"/>
      <w:lang w:val="pl-PL"/>
    </w:rPr>
  </w:style>
  <w:style w:type="character" w:styleId="Hipervnculovisitado">
    <w:name w:val="FollowedHyperlink"/>
    <w:basedOn w:val="Fuentedeprrafopredeter"/>
    <w:uiPriority w:val="99"/>
    <w:semiHidden/>
    <w:unhideWhenUsed/>
    <w:rsid w:val="00FD65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1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5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1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AD2D92A7C5D34CB83F6D75A58315BA" ma:contentTypeVersion="12" ma:contentTypeDescription="Create a new document." ma:contentTypeScope="" ma:versionID="c3a351d97ed6c0fe042f2da04c9d569f">
  <xsd:schema xmlns:xsd="http://www.w3.org/2001/XMLSchema" xmlns:xs="http://www.w3.org/2001/XMLSchema" xmlns:p="http://schemas.microsoft.com/office/2006/metadata/properties" xmlns:ns3="74663e25-5c1b-497c-bfd5-a07e33a9213b" xmlns:ns4="868c7e15-d6ea-4d44-b97d-8cfe247ae624" targetNamespace="http://schemas.microsoft.com/office/2006/metadata/properties" ma:root="true" ma:fieldsID="7aaedc233fc319bc2f80aeff696ba5bc" ns3:_="" ns4:_="">
    <xsd:import namespace="74663e25-5c1b-497c-bfd5-a07e33a9213b"/>
    <xsd:import namespace="868c7e15-d6ea-4d44-b97d-8cfe247ae62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63e25-5c1b-497c-bfd5-a07e33a921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c7e15-d6ea-4d44-b97d-8cfe247ae6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9BE5A2-C352-4E73-B376-7AEA7FC734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1F5105-F009-4FBA-AB78-37E19C447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663e25-5c1b-497c-bfd5-a07e33a9213b"/>
    <ds:schemaRef ds:uri="868c7e15-d6ea-4d44-b97d-8cfe247ae6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87C2AD-255C-4452-9CFB-A88088B256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6E0832-6E1A-4422-A948-3419557EB9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3354</Words>
  <Characters>18447</Characters>
  <Application>Microsoft Office Word</Application>
  <DocSecurity>0</DocSecurity>
  <Lines>153</Lines>
  <Paragraphs>43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Lorkiewicz</dc:creator>
  <cp:keywords/>
  <dc:description/>
  <cp:lastModifiedBy>Alvaro Puebla Ruisanchez (293867)</cp:lastModifiedBy>
  <cp:revision>80</cp:revision>
  <cp:lastPrinted>2026-06-23T08:54:00Z</cp:lastPrinted>
  <dcterms:created xsi:type="dcterms:W3CDTF">2023-06-23T09:11:00Z</dcterms:created>
  <dcterms:modified xsi:type="dcterms:W3CDTF">2026-06-23T08:54:00Z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0x01010098AD2D92A7C5D34CB83F6D75A58315BA</vt:lpwstr>
  </property>
</Properties>
</file>