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B4EA2"/>
          <w:sz w:val="56"/>
        </w:rPr>
        <w:t>C Zero Sdn Bhd</w:t>
      </w:r>
    </w:p>
    <w:p>
      <w:pPr>
        <w:jc w:val="center"/>
      </w:pPr>
      <w:r>
        <w:rPr>
          <w:b/>
          <w:color w:val="1A1A1A"/>
          <w:sz w:val="36"/>
        </w:rPr>
        <w:t>PlagSini Platform Overview</w:t>
      </w:r>
    </w:p>
    <w:p>
      <w:pPr>
        <w:jc w:val="center"/>
      </w:pPr>
      <w:r>
        <w:rPr>
          <w:i/>
          <w:sz w:val="22"/>
        </w:rPr>
        <w:t>EV Charging Management Platform — Partner Introduction</w:t>
      </w:r>
    </w:p>
    <w:p>
      <w:pPr>
        <w:spacing w:before="1200"/>
        <w:jc w:val="center"/>
      </w:pPr>
      <w:r>
        <w:rPr>
          <w:sz w:val="20"/>
        </w:rPr>
        <w:t>Version 1.0</w:t>
        <w:br/>
      </w:r>
      <w:r>
        <w:rPr>
          <w:sz w:val="20"/>
        </w:rPr>
        <w:t>1 July 2026</w:t>
        <w:br/>
      </w:r>
      <w:r>
        <w:rPr>
          <w:sz w:val="20"/>
        </w:rPr>
        <w:t>Confidential — Partner Use Only</w:t>
        <w:br/>
      </w:r>
    </w:p>
    <w:p>
      <w:r>
        <w:br w:type="page"/>
      </w:r>
    </w:p>
    <w:p>
      <w:r>
        <w:rPr>
          <w:b/>
        </w:rPr>
        <w:t>Document Version:</w:t>
      </w:r>
      <w:r>
        <w:t xml:space="preserve"> 1.0</w:t>
      </w:r>
    </w:p>
    <w:p>
      <w:r>
        <w:rPr>
          <w:b/>
        </w:rPr>
        <w:t>Date:</w:t>
      </w:r>
      <w:r>
        <w:t xml:space="preserve"> 1 July 2026</w:t>
      </w:r>
    </w:p>
    <w:p>
      <w:r>
        <w:rPr>
          <w:b/>
        </w:rPr>
        <w:t>Issued by:</w:t>
      </w:r>
      <w:r>
        <w:t xml:space="preserve"> C Zero Sdn Bhd</w:t>
      </w:r>
    </w:p>
    <w:p>
      <w:r>
        <w:rPr>
          <w:b/>
        </w:rPr>
        <w:t>Audience:</w:t>
      </w:r>
      <w:r>
        <w:t xml:space="preserve"> Partner / Hardware vendor introduction</w:t>
      </w:r>
    </w:p>
    <w:p>
      <w:pPr>
        <w:pBdr>
          <w:bottom w:val="single" w:sz="8" w:color="0B4EA2"/>
        </w:pBdr>
      </w:pPr>
    </w:p>
    <w:p>
      <w:pPr>
        <w:spacing w:before="280" w:after="120"/>
      </w:pPr>
      <w:r>
        <w:rPr>
          <w:b/>
          <w:color w:val="0B4EA2"/>
          <w:sz w:val="44"/>
        </w:rPr>
        <w:t>1. Company</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Field</w:t>
            </w:r>
          </w:p>
        </w:tc>
        <w:tc>
          <w:tcPr>
            <w:tcW w:type="dxa" w:w="4819"/>
            <w:vAlign w:val="top"/>
            <w:shd w:val="clear" w:color="auto" w:fill="0B4EA2"/>
          </w:tcPr>
          <w:p>
            <w:r/>
            <w:r>
              <w:rPr>
                <w:b/>
                <w:color w:val="FFFFFF"/>
                <w:sz w:val="19"/>
              </w:rPr>
              <w:t>Value</w:t>
            </w:r>
          </w:p>
        </w:tc>
      </w:tr>
      <w:tr>
        <w:tc>
          <w:tcPr>
            <w:tcW w:type="dxa" w:w="4819"/>
            <w:vAlign w:val="top"/>
          </w:tcPr>
          <w:p>
            <w:r/>
            <w:r>
              <w:rPr>
                <w:sz w:val="19"/>
              </w:rPr>
              <w:t>Legal entity</w:t>
            </w:r>
          </w:p>
        </w:tc>
        <w:tc>
          <w:tcPr>
            <w:tcW w:type="dxa" w:w="4819"/>
            <w:vAlign w:val="top"/>
          </w:tcPr>
          <w:p>
            <w:r/>
            <w:r>
              <w:rPr>
                <w:sz w:val="19"/>
              </w:rPr>
              <w:t>C Zero Sdn Bhd</w:t>
            </w:r>
          </w:p>
        </w:tc>
      </w:tr>
      <w:tr>
        <w:tc>
          <w:tcPr>
            <w:tcW w:type="dxa" w:w="4819"/>
            <w:vAlign w:val="top"/>
            <w:shd w:val="clear" w:color="auto" w:fill="F2F5FA"/>
          </w:tcPr>
          <w:p>
            <w:r/>
            <w:r>
              <w:rPr>
                <w:sz w:val="19"/>
              </w:rPr>
              <w:t>Registered address</w:t>
            </w:r>
          </w:p>
        </w:tc>
        <w:tc>
          <w:tcPr>
            <w:tcW w:type="dxa" w:w="4819"/>
            <w:vAlign w:val="top"/>
            <w:shd w:val="clear" w:color="auto" w:fill="F2F5FA"/>
          </w:tcPr>
          <w:p>
            <w:r/>
            <w:r>
              <w:rPr>
                <w:sz w:val="19"/>
              </w:rPr>
              <w:t>2, Jalan Gergaji 15/14, Seksyen 15, 40200 Shah Alam, Selangor, Malaysia</w:t>
            </w:r>
          </w:p>
        </w:tc>
      </w:tr>
      <w:tr>
        <w:tc>
          <w:tcPr>
            <w:tcW w:type="dxa" w:w="4819"/>
            <w:vAlign w:val="top"/>
          </w:tcPr>
          <w:p>
            <w:r/>
            <w:r>
              <w:rPr>
                <w:sz w:val="19"/>
              </w:rPr>
              <w:t>Brand</w:t>
            </w:r>
          </w:p>
        </w:tc>
        <w:tc>
          <w:tcPr>
            <w:tcW w:type="dxa" w:w="4819"/>
            <w:vAlign w:val="top"/>
          </w:tcPr>
          <w:p>
            <w:r/>
            <w:r>
              <w:rPr>
                <w:sz w:val="19"/>
              </w:rPr>
              <w:t>PlagSini</w:t>
            </w:r>
          </w:p>
        </w:tc>
      </w:tr>
      <w:tr>
        <w:tc>
          <w:tcPr>
            <w:tcW w:type="dxa" w:w="4819"/>
            <w:vAlign w:val="top"/>
            <w:shd w:val="clear" w:color="auto" w:fill="F2F5FA"/>
          </w:tcPr>
          <w:p>
            <w:r/>
            <w:r>
              <w:rPr>
                <w:sz w:val="19"/>
              </w:rPr>
              <w:t>Country of operations</w:t>
            </w:r>
          </w:p>
        </w:tc>
        <w:tc>
          <w:tcPr>
            <w:tcW w:type="dxa" w:w="4819"/>
            <w:vAlign w:val="top"/>
            <w:shd w:val="clear" w:color="auto" w:fill="F2F5FA"/>
          </w:tcPr>
          <w:p>
            <w:r/>
            <w:r>
              <w:rPr>
                <w:sz w:val="19"/>
              </w:rPr>
              <w:t>Malaysia</w:t>
            </w:r>
          </w:p>
        </w:tc>
      </w:tr>
      <w:tr>
        <w:tc>
          <w:tcPr>
            <w:tcW w:type="dxa" w:w="4819"/>
            <w:vAlign w:val="top"/>
          </w:tcPr>
          <w:p>
            <w:r/>
            <w:r>
              <w:rPr>
                <w:sz w:val="19"/>
              </w:rPr>
              <w:t>Website</w:t>
            </w:r>
          </w:p>
        </w:tc>
        <w:tc>
          <w:tcPr>
            <w:tcW w:type="dxa" w:w="4819"/>
            <w:vAlign w:val="top"/>
          </w:tcPr>
          <w:p>
            <w:r/>
            <w:r>
              <w:rPr>
                <w:sz w:val="19"/>
              </w:rPr>
              <w:t>https://plagsini.com</w:t>
            </w:r>
          </w:p>
        </w:tc>
      </w:tr>
      <w:tr>
        <w:tc>
          <w:tcPr>
            <w:tcW w:type="dxa" w:w="4819"/>
            <w:vAlign w:val="top"/>
            <w:shd w:val="clear" w:color="auto" w:fill="F2F5FA"/>
          </w:tcPr>
          <w:p>
            <w:r/>
            <w:r>
              <w:rPr>
                <w:sz w:val="19"/>
              </w:rPr>
              <w:t>Support portal</w:t>
            </w:r>
          </w:p>
        </w:tc>
        <w:tc>
          <w:tcPr>
            <w:tcW w:type="dxa" w:w="4819"/>
            <w:vAlign w:val="top"/>
            <w:shd w:val="clear" w:color="auto" w:fill="F2F5FA"/>
          </w:tcPr>
          <w:p>
            <w:r/>
            <w:r>
              <w:rPr>
                <w:sz w:val="19"/>
              </w:rPr>
              <w:t>https://charger.czeros.tech</w:t>
            </w:r>
          </w:p>
        </w:tc>
      </w:tr>
      <w:tr>
        <w:tc>
          <w:tcPr>
            <w:tcW w:type="dxa" w:w="4819"/>
            <w:vAlign w:val="top"/>
          </w:tcPr>
          <w:p>
            <w:r/>
            <w:r>
              <w:rPr>
                <w:sz w:val="19"/>
              </w:rPr>
              <w:t>Primary contact</w:t>
            </w:r>
          </w:p>
        </w:tc>
        <w:tc>
          <w:tcPr>
            <w:tcW w:type="dxa" w:w="4819"/>
            <w:vAlign w:val="top"/>
          </w:tcPr>
          <w:p>
            <w:r/>
            <w:r>
              <w:rPr>
                <w:sz w:val="19"/>
              </w:rPr>
              <w:t>Aqid — aqidishak28@gmail.com</w:t>
            </w:r>
          </w:p>
        </w:tc>
      </w:tr>
      <w:tr>
        <w:tc>
          <w:tcPr>
            <w:tcW w:type="dxa" w:w="4819"/>
            <w:vAlign w:val="top"/>
            <w:shd w:val="clear" w:color="auto" w:fill="F2F5FA"/>
          </w:tcPr>
          <w:p>
            <w:r/>
            <w:r>
              <w:rPr>
                <w:sz w:val="19"/>
              </w:rPr>
              <w:t>Technical contact</w:t>
            </w:r>
          </w:p>
        </w:tc>
        <w:tc>
          <w:tcPr>
            <w:tcW w:type="dxa" w:w="4819"/>
            <w:vAlign w:val="top"/>
            <w:shd w:val="clear" w:color="auto" w:fill="F2F5FA"/>
          </w:tcPr>
          <w:p>
            <w:r/>
            <w:r>
              <w:rPr>
                <w:sz w:val="19"/>
              </w:rPr>
              <w:t>engineering@plagsini.com</w:t>
            </w:r>
          </w:p>
        </w:tc>
      </w:tr>
    </w:tbl>
    <w:p/>
    <w:p>
      <w:pPr>
        <w:pBdr>
          <w:bottom w:val="single" w:sz="8" w:color="0B4EA2"/>
        </w:pBdr>
      </w:pPr>
    </w:p>
    <w:p>
      <w:pPr>
        <w:spacing w:before="280" w:after="120"/>
      </w:pPr>
      <w:r>
        <w:rPr>
          <w:b/>
          <w:color w:val="0B4EA2"/>
          <w:sz w:val="44"/>
        </w:rPr>
        <w:t>2. Platform in one paragraph</w:t>
      </w:r>
    </w:p>
    <w:p>
      <w:r>
        <w:t>PlagSini is a full-stack EV charging management platform built by C Zero Sdn Bhd. It combines a cloud CSMS (Charge Station Management System), a customer mobile app, self-service kiosk terminals, and a payment layer wired to Malaysian rails (Touch 'n Go eWallet, Billplz, OCBC), plus an OCPI 2.2.1 roaming interface for eMobility partners. Chargers connect over OCPP 1.6J WebSocket and are visible in real time on the operator dashboard.</w:t>
      </w:r>
    </w:p>
    <w:p>
      <w:pPr>
        <w:pBdr>
          <w:bottom w:val="single" w:sz="8" w:color="0B4EA2"/>
        </w:pBdr>
      </w:pPr>
    </w:p>
    <w:p>
      <w:pPr>
        <w:spacing w:before="280" w:after="120"/>
      </w:pPr>
      <w:r>
        <w:rPr>
          <w:b/>
          <w:color w:val="0B4EA2"/>
          <w:sz w:val="44"/>
        </w:rPr>
        <w:t>3. What the platform does</w:t>
      </w:r>
    </w:p>
    <w:p>
      <w:pPr>
        <w:spacing w:before="200" w:after="120"/>
      </w:pPr>
      <w:r>
        <w:rPr>
          <w:b/>
          <w:color w:val="0B4EA2"/>
          <w:sz w:val="32"/>
        </w:rPr>
        <w:t>3.1 Fleet &amp; site management</w:t>
      </w:r>
    </w:p>
    <w:p>
      <w:pPr>
        <w:pStyle w:val="ListBullet"/>
      </w:pPr>
      <w:r>
        <w:t>Register and provision charging stations</w:t>
      </w:r>
    </w:p>
    <w:p>
      <w:pPr>
        <w:pStyle w:val="ListBullet"/>
      </w:pPr>
      <w:r>
        <w:t>Real-time charger status (Online / Offline / Available / Charging / Faulted)</w:t>
      </w:r>
    </w:p>
    <w:p>
      <w:pPr>
        <w:pStyle w:val="ListBullet"/>
      </w:pPr>
      <w:r>
        <w:t>GPS coordinates, location metadata, connector specifications</w:t>
      </w:r>
    </w:p>
    <w:p>
      <w:pPr>
        <w:pStyle w:val="ListBullet"/>
      </w:pPr>
      <w:r>
        <w:t>Fleet-wide health monitoring with automatic alerts</w:t>
      </w:r>
    </w:p>
    <w:p>
      <w:pPr>
        <w:spacing w:before="200" w:after="120"/>
      </w:pPr>
      <w:r>
        <w:rPr>
          <w:b/>
          <w:color w:val="0B4EA2"/>
          <w:sz w:val="32"/>
        </w:rPr>
        <w:t>3.2 Charging session control</w:t>
      </w:r>
    </w:p>
    <w:p>
      <w:pPr>
        <w:pStyle w:val="ListBullet"/>
      </w:pPr>
      <w:r>
        <w:t>Start / stop sessions remotely from admin dashboard</w:t>
      </w:r>
    </w:p>
    <w:p>
      <w:pPr>
        <w:pStyle w:val="ListBullet"/>
      </w:pPr>
      <w:r>
        <w:t>Live metering: instantaneous power (kW), energy delivered (kWh), voltage, current, SOC</w:t>
      </w:r>
    </w:p>
    <w:p>
      <w:pPr>
        <w:pStyle w:val="ListBullet"/>
      </w:pPr>
      <w:r>
        <w:t>Session history with billing detail</w:t>
      </w:r>
    </w:p>
    <w:p>
      <w:pPr>
        <w:pStyle w:val="ListBullet"/>
      </w:pPr>
      <w:r>
        <w:t>Automatic session settlement + refund workflow for deposit/refund flows</w:t>
      </w:r>
    </w:p>
    <w:p>
      <w:pPr>
        <w:spacing w:before="200" w:after="120"/>
      </w:pPr>
      <w:r>
        <w:rPr>
          <w:b/>
          <w:color w:val="0B4EA2"/>
          <w:sz w:val="32"/>
        </w:rPr>
        <w:t>3.3 Payments</w:t>
      </w:r>
    </w:p>
    <w:p>
      <w:pPr>
        <w:pStyle w:val="ListBullet"/>
      </w:pPr>
      <w:r>
        <w:t>Touch 'n Go eWallet (TNG TPA — direct integration, verified sender status)</w:t>
      </w:r>
    </w:p>
    <w:p>
      <w:pPr>
        <w:pStyle w:val="ListBullet"/>
      </w:pPr>
      <w:r>
        <w:t>Billplz gateway</w:t>
      </w:r>
    </w:p>
    <w:p>
      <w:pPr>
        <w:pStyle w:val="ListBullet"/>
      </w:pPr>
      <w:r>
        <w:t>OCBC merchant integration</w:t>
      </w:r>
    </w:p>
    <w:p>
      <w:pPr>
        <w:pStyle w:val="ListBullet"/>
      </w:pPr>
      <w:r>
        <w:t>Prepaid wallet with top-up management</w:t>
      </w:r>
    </w:p>
    <w:p>
      <w:pPr>
        <w:pStyle w:val="ListBullet"/>
      </w:pPr>
      <w:r>
        <w:t>Idle-fee (anti-hogging) support</w:t>
      </w:r>
    </w:p>
    <w:p>
      <w:pPr>
        <w:pStyle w:val="ListBullet"/>
      </w:pPr>
      <w:r>
        <w:t>Charging invoice emails to customers</w:t>
      </w:r>
    </w:p>
    <w:p>
      <w:pPr>
        <w:spacing w:before="200" w:after="120"/>
      </w:pPr>
      <w:r>
        <w:rPr>
          <w:b/>
          <w:color w:val="0B4EA2"/>
          <w:sz w:val="32"/>
        </w:rPr>
        <w:t>3.4 Customer channels</w:t>
      </w:r>
    </w:p>
    <w:p>
      <w:pPr>
        <w:pStyle w:val="ListBullet"/>
      </w:pPr>
      <w:r>
        <w:rPr>
          <w:b/>
        </w:rPr>
        <w:t>AppEV mobile app</w:t>
      </w:r>
      <w:r>
        <w:t xml:space="preserve"> (Flutter, iOS + Android + web) — find chargers, start/stop, view history, top-up wallet</w:t>
      </w:r>
    </w:p>
    <w:p>
      <w:pPr>
        <w:pStyle w:val="ListBullet"/>
      </w:pPr>
      <w:r>
        <w:rPr>
          <w:b/>
        </w:rPr>
        <w:t>Self-service kiosk terminals</w:t>
      </w:r>
      <w:r>
        <w:t xml:space="preserve"> — Honor tablets at unmanned sites, deposit/refund payment flow, receipt printing</w:t>
      </w:r>
    </w:p>
    <w:p>
      <w:pPr>
        <w:pStyle w:val="ListBullet"/>
      </w:pPr>
      <w:r>
        <w:rPr>
          <w:b/>
        </w:rPr>
        <w:t>Web dashboard</w:t>
      </w:r>
      <w:r>
        <w:t xml:space="preserve"> — customer portal for wallet, invoices, support tickets</w:t>
      </w:r>
    </w:p>
    <w:p>
      <w:pPr>
        <w:spacing w:before="200" w:after="120"/>
      </w:pPr>
      <w:r>
        <w:rPr>
          <w:b/>
          <w:color w:val="0B4EA2"/>
          <w:sz w:val="32"/>
        </w:rPr>
        <w:t>3.5 Roaming</w:t>
      </w:r>
    </w:p>
    <w:p>
      <w:pPr>
        <w:pStyle w:val="ListBullet"/>
      </w:pPr>
      <w:r>
        <w:rPr>
          <w:b/>
        </w:rPr>
        <w:t>OCPI 2.2.1 CPO interface</w:t>
      </w:r>
      <w:r>
        <w:t xml:space="preserve"> — full compliance</w:t>
      </w:r>
    </w:p>
    <w:p>
      <w:pPr>
        <w:pStyle w:val="ListBullet"/>
      </w:pPr>
      <w:r>
        <w:t>Modules: Versions, Credentials, Locations, EVSEs, Connectors, Tariffs, Tariff Groups, Taxes, Sessions, CDRs, Tokens, Commands (Start/Stop), Roaming Operators</w:t>
      </w:r>
    </w:p>
    <w:p>
      <w:pPr>
        <w:pStyle w:val="ListBullet"/>
      </w:pPr>
      <w:r>
        <w:t>Existing eRoaming partner discussion: Voltality (Singapore) → TNG eWallet ecosystem</w:t>
      </w:r>
    </w:p>
    <w:p>
      <w:pPr>
        <w:spacing w:before="200" w:after="120"/>
      </w:pPr>
      <w:r>
        <w:rPr>
          <w:b/>
          <w:color w:val="0B4EA2"/>
          <w:sz w:val="32"/>
        </w:rPr>
        <w:t>3.6 Analytics &amp; reporting</w:t>
      </w:r>
    </w:p>
    <w:p>
      <w:pPr>
        <w:pStyle w:val="ListBullet"/>
      </w:pPr>
      <w:r>
        <w:t>Revenue by day / month / all-time</w:t>
      </w:r>
    </w:p>
    <w:p>
      <w:pPr>
        <w:pStyle w:val="ListBullet"/>
      </w:pPr>
      <w:r>
        <w:t>Energy delivered (kWh, MWh)</w:t>
      </w:r>
    </w:p>
    <w:p>
      <w:pPr>
        <w:pStyle w:val="ListBullet"/>
      </w:pPr>
      <w:r>
        <w:t>Fleet utilisation</w:t>
      </w:r>
    </w:p>
    <w:p>
      <w:pPr>
        <w:pStyle w:val="ListBullet"/>
      </w:pPr>
      <w:r>
        <w:t>CO₂ emissions saved (Malaysia grid factor 0.585 kg/kWh)</w:t>
      </w:r>
    </w:p>
    <w:p>
      <w:pPr>
        <w:pStyle w:val="ListBullet"/>
      </w:pPr>
      <w:r>
        <w:t>Peak-hour analysis</w:t>
      </w:r>
    </w:p>
    <w:p>
      <w:pPr>
        <w:pStyle w:val="ListBullet"/>
      </w:pPr>
      <w:r>
        <w:t>Per-charger performance ranking</w:t>
      </w:r>
    </w:p>
    <w:p>
      <w:pPr>
        <w:spacing w:before="200" w:after="120"/>
      </w:pPr>
      <w:r>
        <w:rPr>
          <w:b/>
          <w:color w:val="0B4EA2"/>
          <w:sz w:val="32"/>
        </w:rPr>
        <w:t>3.7 Support &amp; operations</w:t>
      </w:r>
    </w:p>
    <w:p>
      <w:pPr>
        <w:pStyle w:val="ListBullet"/>
      </w:pPr>
      <w:r>
        <w:t>Ticket system with staff auto-assignment by department</w:t>
      </w:r>
    </w:p>
    <w:p>
      <w:pPr>
        <w:pStyle w:val="ListBullet"/>
      </w:pPr>
      <w:r>
        <w:t>SLA tracking (open / in-progress / resolved / near-SLA / overdue)</w:t>
      </w:r>
    </w:p>
    <w:p>
      <w:pPr>
        <w:pStyle w:val="ListBullet"/>
      </w:pPr>
      <w:r>
        <w:t>Email notification to assigned staff</w:t>
      </w:r>
    </w:p>
    <w:p>
      <w:pPr>
        <w:pStyle w:val="ListBullet"/>
      </w:pPr>
      <w:r>
        <w:t>Maintenance mode &amp; disable-temporarily flag per charger</w:t>
      </w:r>
    </w:p>
    <w:p>
      <w:pPr>
        <w:pStyle w:val="ListBullet"/>
      </w:pPr>
      <w:r>
        <w:t>Full audit logging of admin actions</w:t>
      </w:r>
    </w:p>
    <w:p>
      <w:pPr>
        <w:pBdr>
          <w:bottom w:val="single" w:sz="8" w:color="0B4EA2"/>
        </w:pBdr>
      </w:pPr>
    </w:p>
    <w:p>
      <w:pPr>
        <w:spacing w:before="280" w:after="120"/>
      </w:pPr>
      <w:r>
        <w:rPr>
          <w:b/>
          <w:color w:val="0B4EA2"/>
          <w:sz w:val="44"/>
        </w:rPr>
        <w:t>4. Architecture (simplified)</w:t>
      </w:r>
    </w:p>
    <w:p>
      <w:pPr>
        <w:spacing w:before="80" w:after="160"/>
        <w:ind w:left="283"/>
        <w:shd w:val="clear" w:color="auto" w:fill="F4F4F4"/>
      </w:pPr>
      <w:r>
        <w:rPr>
          <w:rFonts w:ascii="Consolas" w:hAnsi="Consolas"/>
          <w:sz w:val="18"/>
        </w:rPr>
        <w:t xml:space="preserve">    ┌──────────────────┐        OCPP 1.6J             ┌─────────────────┐</w:t>
        <w:br/>
        <w:t xml:space="preserve">    │   Charging       │ ◄──── WebSocket (wss) ─────► │   PlagSini      │</w:t>
        <w:br/>
        <w:t xml:space="preserve">    │   Station        │                              │   CSMS (Cloud)  │</w:t>
        <w:br/>
        <w:t xml:space="preserve">    │   (Hardware)     │                              └────────┬────────┘</w:t>
        <w:br/>
        <w:t xml:space="preserve">    └──────────────────┘                                       │</w:t>
        <w:br/>
        <w:t xml:space="preserve">                                                               │</w:t>
        <w:br/>
        <w:t xml:space="preserve">     ┌──────────────────┬───────────────────┬──────────────────┴──────────────┐</w:t>
        <w:br/>
        <w:t xml:space="preserve">     │                  │                   │                                 │</w:t>
        <w:br/>
        <w:t xml:space="preserve">     ▼                  ▼                   ▼                                 ▼</w:t>
        <w:br/>
        <w:t>┌──────────┐    ┌──────────────┐    ┌─────────────┐                ┌──────────────────┐</w:t>
        <w:br/>
        <w:t>│ AppEV    │    │ Kiosk        │    │ Admin       │                │ OCPI 2.2.1 Hub  │</w:t>
        <w:br/>
        <w:t>│ Mobile   │    │ Terminal     │    │ Dashboard   │                │ (Voltality,      │</w:t>
        <w:br/>
        <w:t>│ (iOS/And)│    │ (Honor tab)  │    │ (Web)       │                │ TNG eWallet,     │</w:t>
        <w:br/>
        <w:t>└──────────┘    └──────────────┘    └─────────────┘                │ Vehicle OEMs)    │</w:t>
        <w:br/>
        <w:t xml:space="preserve">                                                                   └──────────────────┘</w:t>
      </w:r>
    </w:p>
    <w:p>
      <w:pPr>
        <w:pBdr>
          <w:bottom w:val="single" w:sz="8" w:color="0B4EA2"/>
        </w:pBdr>
      </w:pPr>
    </w:p>
    <w:p>
      <w:pPr>
        <w:spacing w:before="280" w:after="120"/>
      </w:pPr>
      <w:r>
        <w:rPr>
          <w:b/>
          <w:color w:val="0B4EA2"/>
          <w:sz w:val="44"/>
        </w:rPr>
        <w:t>5. Technology stack</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Layer</w:t>
            </w:r>
          </w:p>
        </w:tc>
        <w:tc>
          <w:tcPr>
            <w:tcW w:type="dxa" w:w="4819"/>
            <w:vAlign w:val="top"/>
            <w:shd w:val="clear" w:color="auto" w:fill="0B4EA2"/>
          </w:tcPr>
          <w:p>
            <w:r/>
            <w:r>
              <w:rPr>
                <w:b/>
                <w:color w:val="FFFFFF"/>
                <w:sz w:val="19"/>
              </w:rPr>
              <w:t>Technology</w:t>
            </w:r>
          </w:p>
        </w:tc>
      </w:tr>
      <w:tr>
        <w:tc>
          <w:tcPr>
            <w:tcW w:type="dxa" w:w="4819"/>
            <w:vAlign w:val="top"/>
          </w:tcPr>
          <w:p>
            <w:r/>
            <w:r>
              <w:rPr>
                <w:sz w:val="19"/>
              </w:rPr>
              <w:t>Backend</w:t>
            </w:r>
          </w:p>
        </w:tc>
        <w:tc>
          <w:tcPr>
            <w:tcW w:type="dxa" w:w="4819"/>
            <w:vAlign w:val="top"/>
          </w:tcPr>
          <w:p>
            <w:r/>
            <w:r>
              <w:rPr>
                <w:sz w:val="19"/>
              </w:rPr>
              <w:t>Python 3.11 · FastAPI · SQLAlchemy 2.0 · Alembic</w:t>
            </w:r>
          </w:p>
        </w:tc>
      </w:tr>
      <w:tr>
        <w:tc>
          <w:tcPr>
            <w:tcW w:type="dxa" w:w="4819"/>
            <w:vAlign w:val="top"/>
            <w:shd w:val="clear" w:color="auto" w:fill="F2F5FA"/>
          </w:tcPr>
          <w:p>
            <w:r/>
            <w:r>
              <w:rPr>
                <w:sz w:val="19"/>
              </w:rPr>
              <w:t>Database</w:t>
            </w:r>
          </w:p>
        </w:tc>
        <w:tc>
          <w:tcPr>
            <w:tcW w:type="dxa" w:w="4819"/>
            <w:vAlign w:val="top"/>
            <w:shd w:val="clear" w:color="auto" w:fill="F2F5FA"/>
          </w:tcPr>
          <w:p>
            <w:r/>
            <w:r>
              <w:rPr>
                <w:sz w:val="19"/>
              </w:rPr>
              <w:t>MySQL 8.0</w:t>
            </w:r>
          </w:p>
        </w:tc>
      </w:tr>
      <w:tr>
        <w:tc>
          <w:tcPr>
            <w:tcW w:type="dxa" w:w="4819"/>
            <w:vAlign w:val="top"/>
          </w:tcPr>
          <w:p>
            <w:r/>
            <w:r>
              <w:rPr>
                <w:sz w:val="19"/>
              </w:rPr>
              <w:t>CSMS Protocol</w:t>
            </w:r>
          </w:p>
        </w:tc>
        <w:tc>
          <w:tcPr>
            <w:tcW w:type="dxa" w:w="4819"/>
            <w:vAlign w:val="top"/>
          </w:tcPr>
          <w:p>
            <w:r/>
            <w:r>
              <w:rPr>
                <w:sz w:val="19"/>
              </w:rPr>
              <w:t>OCPP 1.6J (JSON over WebSocket)</w:t>
            </w:r>
          </w:p>
        </w:tc>
      </w:tr>
      <w:tr>
        <w:tc>
          <w:tcPr>
            <w:tcW w:type="dxa" w:w="4819"/>
            <w:vAlign w:val="top"/>
            <w:shd w:val="clear" w:color="auto" w:fill="F2F5FA"/>
          </w:tcPr>
          <w:p>
            <w:r/>
            <w:r>
              <w:rPr>
                <w:sz w:val="19"/>
              </w:rPr>
              <w:t>Roaming Protocol</w:t>
            </w:r>
          </w:p>
        </w:tc>
        <w:tc>
          <w:tcPr>
            <w:tcW w:type="dxa" w:w="4819"/>
            <w:vAlign w:val="top"/>
            <w:shd w:val="clear" w:color="auto" w:fill="F2F5FA"/>
          </w:tcPr>
          <w:p>
            <w:r/>
            <w:r>
              <w:rPr>
                <w:sz w:val="19"/>
              </w:rPr>
              <w:t>OCPI 2.2.1 (REST + JSON)</w:t>
            </w:r>
          </w:p>
        </w:tc>
      </w:tr>
      <w:tr>
        <w:tc>
          <w:tcPr>
            <w:tcW w:type="dxa" w:w="4819"/>
            <w:vAlign w:val="top"/>
          </w:tcPr>
          <w:p>
            <w:r/>
            <w:r>
              <w:rPr>
                <w:sz w:val="19"/>
              </w:rPr>
              <w:t>Mobile app</w:t>
            </w:r>
          </w:p>
        </w:tc>
        <w:tc>
          <w:tcPr>
            <w:tcW w:type="dxa" w:w="4819"/>
            <w:vAlign w:val="top"/>
          </w:tcPr>
          <w:p>
            <w:r/>
            <w:r>
              <w:rPr>
                <w:sz w:val="19"/>
              </w:rPr>
              <w:t>Flutter (Dart) — cross-platform iOS / Android / Web</w:t>
            </w:r>
          </w:p>
        </w:tc>
      </w:tr>
      <w:tr>
        <w:tc>
          <w:tcPr>
            <w:tcW w:type="dxa" w:w="4819"/>
            <w:vAlign w:val="top"/>
            <w:shd w:val="clear" w:color="auto" w:fill="F2F5FA"/>
          </w:tcPr>
          <w:p>
            <w:r/>
            <w:r>
              <w:rPr>
                <w:sz w:val="19"/>
              </w:rPr>
              <w:t>Web dashboard</w:t>
            </w:r>
          </w:p>
        </w:tc>
        <w:tc>
          <w:tcPr>
            <w:tcW w:type="dxa" w:w="4819"/>
            <w:vAlign w:val="top"/>
            <w:shd w:val="clear" w:color="auto" w:fill="F2F5FA"/>
          </w:tcPr>
          <w:p>
            <w:r/>
            <w:r>
              <w:rPr>
                <w:sz w:val="19"/>
              </w:rPr>
              <w:t>Vanilla HTML/CSS/JS + Chart.js</w:t>
            </w:r>
          </w:p>
        </w:tc>
      </w:tr>
      <w:tr>
        <w:tc>
          <w:tcPr>
            <w:tcW w:type="dxa" w:w="4819"/>
            <w:vAlign w:val="top"/>
          </w:tcPr>
          <w:p>
            <w:r/>
            <w:r>
              <w:rPr>
                <w:sz w:val="19"/>
              </w:rPr>
              <w:t>Deployment</w:t>
            </w:r>
          </w:p>
        </w:tc>
        <w:tc>
          <w:tcPr>
            <w:tcW w:type="dxa" w:w="4819"/>
            <w:vAlign w:val="top"/>
          </w:tcPr>
          <w:p>
            <w:r/>
            <w:r>
              <w:rPr>
                <w:sz w:val="19"/>
              </w:rPr>
              <w:t>Docker Compose on Ubuntu 24.04 LTS</w:t>
            </w:r>
          </w:p>
        </w:tc>
      </w:tr>
      <w:tr>
        <w:tc>
          <w:tcPr>
            <w:tcW w:type="dxa" w:w="4819"/>
            <w:vAlign w:val="top"/>
            <w:shd w:val="clear" w:color="auto" w:fill="F2F5FA"/>
          </w:tcPr>
          <w:p>
            <w:r/>
            <w:r>
              <w:rPr>
                <w:sz w:val="19"/>
              </w:rPr>
              <w:t>Reverse proxy</w:t>
            </w:r>
          </w:p>
        </w:tc>
        <w:tc>
          <w:tcPr>
            <w:tcW w:type="dxa" w:w="4819"/>
            <w:vAlign w:val="top"/>
            <w:shd w:val="clear" w:color="auto" w:fill="F2F5FA"/>
          </w:tcPr>
          <w:p>
            <w:r/>
            <w:r>
              <w:rPr>
                <w:sz w:val="19"/>
              </w:rPr>
              <w:t>Nginx (TLS 1.2/1.3, HSTS, CSP)</w:t>
            </w:r>
          </w:p>
        </w:tc>
      </w:tr>
      <w:tr>
        <w:tc>
          <w:tcPr>
            <w:tcW w:type="dxa" w:w="4819"/>
            <w:vAlign w:val="top"/>
          </w:tcPr>
          <w:p>
            <w:r/>
            <w:r>
              <w:rPr>
                <w:sz w:val="19"/>
              </w:rPr>
              <w:t>TLS certificates</w:t>
            </w:r>
          </w:p>
        </w:tc>
        <w:tc>
          <w:tcPr>
            <w:tcW w:type="dxa" w:w="4819"/>
            <w:vAlign w:val="top"/>
          </w:tcPr>
          <w:p>
            <w:r/>
            <w:r>
              <w:rPr>
                <w:sz w:val="19"/>
              </w:rPr>
              <w:t>Let's Encrypt (auto-renew)</w:t>
            </w:r>
          </w:p>
        </w:tc>
      </w:tr>
      <w:tr>
        <w:tc>
          <w:tcPr>
            <w:tcW w:type="dxa" w:w="4819"/>
            <w:vAlign w:val="top"/>
            <w:shd w:val="clear" w:color="auto" w:fill="F2F5FA"/>
          </w:tcPr>
          <w:p>
            <w:r/>
            <w:r>
              <w:rPr>
                <w:sz w:val="19"/>
              </w:rPr>
              <w:t>Monitoring</w:t>
            </w:r>
          </w:p>
        </w:tc>
        <w:tc>
          <w:tcPr>
            <w:tcW w:type="dxa" w:w="4819"/>
            <w:vAlign w:val="top"/>
            <w:shd w:val="clear" w:color="auto" w:fill="F2F5FA"/>
          </w:tcPr>
          <w:p>
            <w:r/>
            <w:r>
              <w:rPr>
                <w:sz w:val="19"/>
              </w:rPr>
              <w:t>Grafana 11 + Loki + Promtail</w:t>
            </w:r>
          </w:p>
        </w:tc>
      </w:tr>
      <w:tr>
        <w:tc>
          <w:tcPr>
            <w:tcW w:type="dxa" w:w="4819"/>
            <w:vAlign w:val="top"/>
          </w:tcPr>
          <w:p>
            <w:r/>
            <w:r>
              <w:rPr>
                <w:sz w:val="19"/>
              </w:rPr>
              <w:t>Log storage</w:t>
            </w:r>
          </w:p>
        </w:tc>
        <w:tc>
          <w:tcPr>
            <w:tcW w:type="dxa" w:w="4819"/>
            <w:vAlign w:val="top"/>
          </w:tcPr>
          <w:p>
            <w:r/>
            <w:r>
              <w:rPr>
                <w:sz w:val="19"/>
              </w:rPr>
              <w:t>Loki (30-day retention)</w:t>
            </w:r>
          </w:p>
        </w:tc>
      </w:tr>
      <w:tr>
        <w:tc>
          <w:tcPr>
            <w:tcW w:type="dxa" w:w="4819"/>
            <w:vAlign w:val="top"/>
            <w:shd w:val="clear" w:color="auto" w:fill="F2F5FA"/>
          </w:tcPr>
          <w:p>
            <w:r/>
            <w:r>
              <w:rPr>
                <w:sz w:val="19"/>
              </w:rPr>
              <w:t>DB backups</w:t>
            </w:r>
          </w:p>
        </w:tc>
        <w:tc>
          <w:tcPr>
            <w:tcW w:type="dxa" w:w="4819"/>
            <w:vAlign w:val="top"/>
            <w:shd w:val="clear" w:color="auto" w:fill="F2F5FA"/>
          </w:tcPr>
          <w:p>
            <w:r/>
            <w:r>
              <w:rPr>
                <w:sz w:val="19"/>
              </w:rPr>
              <w:t>Daily encrypted dump → Google Drive</w:t>
            </w:r>
          </w:p>
        </w:tc>
      </w:tr>
      <w:tr>
        <w:tc>
          <w:tcPr>
            <w:tcW w:type="dxa" w:w="4819"/>
            <w:vAlign w:val="top"/>
          </w:tcPr>
          <w:p>
            <w:r/>
            <w:r>
              <w:rPr>
                <w:sz w:val="19"/>
              </w:rPr>
              <w:t>Email delivery</w:t>
            </w:r>
          </w:p>
        </w:tc>
        <w:tc>
          <w:tcPr>
            <w:tcW w:type="dxa" w:w="4819"/>
            <w:vAlign w:val="top"/>
          </w:tcPr>
          <w:p>
            <w:r/>
            <w:r>
              <w:rPr>
                <w:sz w:val="19"/>
              </w:rPr>
              <w:t>Brevo SMTP</w:t>
            </w:r>
          </w:p>
        </w:tc>
      </w:tr>
    </w:tbl>
    <w:p/>
    <w:p>
      <w:pPr>
        <w:pBdr>
          <w:bottom w:val="single" w:sz="8" w:color="0B4EA2"/>
        </w:pBdr>
      </w:pPr>
    </w:p>
    <w:p>
      <w:pPr>
        <w:spacing w:before="280" w:after="120"/>
      </w:pPr>
      <w:r>
        <w:rPr>
          <w:b/>
          <w:color w:val="0B4EA2"/>
          <w:sz w:val="44"/>
        </w:rPr>
        <w:t>6. Security posture</w:t>
      </w:r>
    </w:p>
    <w:p>
      <w:pPr>
        <w:pStyle w:val="ListBullet"/>
      </w:pPr>
      <w:r>
        <w:rPr>
          <w:b/>
        </w:rPr>
        <w:t>TLS 1.2/1.3</w:t>
      </w:r>
      <w:r>
        <w:t xml:space="preserve"> on all external endpoints (Let's Encrypt certificates, auto-renewal)</w:t>
      </w:r>
    </w:p>
    <w:p>
      <w:pPr>
        <w:pStyle w:val="ListBullet"/>
      </w:pPr>
      <w:r>
        <w:rPr>
          <w:b/>
        </w:rPr>
        <w:t>SSH root login disabled</w:t>
      </w:r>
      <w:r>
        <w:t>, key-based auth only</w:t>
      </w:r>
    </w:p>
    <w:p>
      <w:pPr>
        <w:pStyle w:val="ListBullet"/>
      </w:pPr>
      <w:r>
        <w:rPr>
          <w:b/>
        </w:rPr>
        <w:t>Fail2ban</w:t>
      </w:r>
      <w:r>
        <w:t xml:space="preserve"> for brute-force protection</w:t>
      </w:r>
    </w:p>
    <w:p>
      <w:pPr>
        <w:pStyle w:val="ListBullet"/>
      </w:pPr>
      <w:r>
        <w:rPr>
          <w:b/>
        </w:rPr>
        <w:t>UFW firewall</w:t>
      </w:r>
      <w:r>
        <w:t xml:space="preserve"> with strict port allow-list</w:t>
      </w:r>
    </w:p>
    <w:p>
      <w:pPr>
        <w:pStyle w:val="ListBullet"/>
      </w:pPr>
      <w:r>
        <w:rPr>
          <w:b/>
        </w:rPr>
        <w:t>CSP + HSTS + X-Frame-Options</w:t>
      </w:r>
      <w:r>
        <w:t xml:space="preserve"> headers on all web responses</w:t>
      </w:r>
    </w:p>
    <w:p>
      <w:pPr>
        <w:pStyle w:val="ListBullet"/>
      </w:pPr>
      <w:r>
        <w:rPr>
          <w:b/>
        </w:rPr>
        <w:t>JWT + staff-token</w:t>
      </w:r>
      <w:r>
        <w:t xml:space="preserve"> authentication for admin/staff endpoints</w:t>
      </w:r>
    </w:p>
    <w:p>
      <w:pPr>
        <w:pStyle w:val="ListBullet"/>
      </w:pPr>
      <w:r>
        <w:rPr>
          <w:b/>
        </w:rPr>
        <w:t>Audit logging</w:t>
      </w:r>
      <w:r>
        <w:t xml:space="preserve"> middleware records all privileged actions (who, when, what, from where)</w:t>
      </w:r>
    </w:p>
    <w:p>
      <w:pPr>
        <w:pStyle w:val="ListBullet"/>
      </w:pPr>
      <w:r>
        <w:rPr>
          <w:b/>
        </w:rPr>
        <w:t>OCPP charger authentication</w:t>
      </w:r>
      <w:r>
        <w:t xml:space="preserve"> via per-device tokens</w:t>
      </w:r>
    </w:p>
    <w:p>
      <w:pPr>
        <w:pStyle w:val="ListBullet"/>
      </w:pPr>
      <w:r>
        <w:rPr>
          <w:b/>
        </w:rPr>
        <w:t>Payment callback signature verification</w:t>
      </w:r>
      <w:r>
        <w:t xml:space="preserve"> (HMAC / RSA depending on gateway)</w:t>
      </w:r>
    </w:p>
    <w:p>
      <w:pPr>
        <w:pStyle w:val="ListBullet"/>
      </w:pPr>
      <w:r>
        <w:rPr>
          <w:b/>
        </w:rPr>
        <w:t>Daily encrypted backup</w:t>
      </w:r>
      <w:r>
        <w:t xml:space="preserve"> to offsite cloud storage (Google Drive)</w:t>
      </w:r>
    </w:p>
    <w:p>
      <w:pPr>
        <w:pStyle w:val="ListBullet"/>
      </w:pPr>
      <w:r>
        <w:rPr>
          <w:b/>
        </w:rPr>
        <w:t>Rate limiting</w:t>
      </w:r>
      <w:r>
        <w:t xml:space="preserve"> on authentication endpoints (5 req/min per IP)</w:t>
      </w:r>
    </w:p>
    <w:p>
      <w:pPr>
        <w:pStyle w:val="ListBullet"/>
      </w:pPr>
      <w:r>
        <w:rPr>
          <w:b/>
        </w:rPr>
        <w:t>Regular OS + container updates</w:t>
      </w:r>
      <w:r>
        <w:t xml:space="preserve"> for security patches</w:t>
      </w:r>
    </w:p>
    <w:p>
      <w:pPr>
        <w:pBdr>
          <w:bottom w:val="single" w:sz="8" w:color="0B4EA2"/>
        </w:pBdr>
      </w:pPr>
    </w:p>
    <w:p>
      <w:pPr>
        <w:spacing w:before="280" w:after="120"/>
      </w:pPr>
      <w:r>
        <w:rPr>
          <w:b/>
          <w:color w:val="0B4EA2"/>
          <w:sz w:val="44"/>
        </w:rPr>
        <w:t>7. Operational maturity</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Metric</w:t>
            </w:r>
          </w:p>
        </w:tc>
        <w:tc>
          <w:tcPr>
            <w:tcW w:type="dxa" w:w="4819"/>
            <w:vAlign w:val="top"/>
            <w:shd w:val="clear" w:color="auto" w:fill="0B4EA2"/>
          </w:tcPr>
          <w:p>
            <w:r/>
            <w:r>
              <w:rPr>
                <w:b/>
                <w:color w:val="FFFFFF"/>
                <w:sz w:val="19"/>
              </w:rPr>
              <w:t>Current state</w:t>
            </w:r>
          </w:p>
        </w:tc>
      </w:tr>
      <w:tr>
        <w:tc>
          <w:tcPr>
            <w:tcW w:type="dxa" w:w="4819"/>
            <w:vAlign w:val="top"/>
          </w:tcPr>
          <w:p>
            <w:r/>
            <w:r>
              <w:rPr>
                <w:sz w:val="19"/>
              </w:rPr>
              <w:t>Deployment status</w:t>
            </w:r>
          </w:p>
        </w:tc>
        <w:tc>
          <w:tcPr>
            <w:tcW w:type="dxa" w:w="4819"/>
            <w:vAlign w:val="top"/>
          </w:tcPr>
          <w:p>
            <w:r/>
            <w:r>
              <w:rPr>
                <w:sz w:val="19"/>
              </w:rPr>
              <w:t>Production live at charger.czeros.tech since 2026</w:t>
            </w:r>
          </w:p>
        </w:tc>
      </w:tr>
      <w:tr>
        <w:tc>
          <w:tcPr>
            <w:tcW w:type="dxa" w:w="4819"/>
            <w:vAlign w:val="top"/>
            <w:shd w:val="clear" w:color="auto" w:fill="F2F5FA"/>
          </w:tcPr>
          <w:p>
            <w:r/>
            <w:r>
              <w:rPr>
                <w:sz w:val="19"/>
              </w:rPr>
              <w:t>Uptime target</w:t>
            </w:r>
          </w:p>
        </w:tc>
        <w:tc>
          <w:tcPr>
            <w:tcW w:type="dxa" w:w="4819"/>
            <w:vAlign w:val="top"/>
            <w:shd w:val="clear" w:color="auto" w:fill="F2F5FA"/>
          </w:tcPr>
          <w:p>
            <w:r/>
            <w:r>
              <w:rPr>
                <w:sz w:val="19"/>
              </w:rPr>
              <w:t>99.5% (excluding scheduled maintenance)</w:t>
            </w:r>
          </w:p>
        </w:tc>
      </w:tr>
      <w:tr>
        <w:tc>
          <w:tcPr>
            <w:tcW w:type="dxa" w:w="4819"/>
            <w:vAlign w:val="top"/>
          </w:tcPr>
          <w:p>
            <w:r/>
            <w:r>
              <w:rPr>
                <w:sz w:val="19"/>
              </w:rPr>
              <w:t>Chargers supported</w:t>
            </w:r>
          </w:p>
        </w:tc>
        <w:tc>
          <w:tcPr>
            <w:tcW w:type="dxa" w:w="4819"/>
            <w:vAlign w:val="top"/>
          </w:tcPr>
          <w:p>
            <w:r/>
            <w:r>
              <w:rPr>
                <w:sz w:val="19"/>
              </w:rPr>
              <w:t>473+ registered, mixed AC + DC</w:t>
            </w:r>
          </w:p>
        </w:tc>
      </w:tr>
      <w:tr>
        <w:tc>
          <w:tcPr>
            <w:tcW w:type="dxa" w:w="4819"/>
            <w:vAlign w:val="top"/>
            <w:shd w:val="clear" w:color="auto" w:fill="F2F5FA"/>
          </w:tcPr>
          <w:p>
            <w:r/>
            <w:r>
              <w:rPr>
                <w:sz w:val="19"/>
              </w:rPr>
              <w:t>Monitoring</w:t>
            </w:r>
          </w:p>
        </w:tc>
        <w:tc>
          <w:tcPr>
            <w:tcW w:type="dxa" w:w="4819"/>
            <w:vAlign w:val="top"/>
            <w:shd w:val="clear" w:color="auto" w:fill="F2F5FA"/>
          </w:tcPr>
          <w:p>
            <w:r/>
            <w:r>
              <w:rPr>
                <w:sz w:val="19"/>
              </w:rPr>
              <w:t>24/7 Grafana dashboards, log aggregation, alerting</w:t>
            </w:r>
          </w:p>
        </w:tc>
      </w:tr>
      <w:tr>
        <w:tc>
          <w:tcPr>
            <w:tcW w:type="dxa" w:w="4819"/>
            <w:vAlign w:val="top"/>
          </w:tcPr>
          <w:p>
            <w:r/>
            <w:r>
              <w:rPr>
                <w:sz w:val="19"/>
              </w:rPr>
              <w:t>Incident response</w:t>
            </w:r>
          </w:p>
        </w:tc>
        <w:tc>
          <w:tcPr>
            <w:tcW w:type="dxa" w:w="4819"/>
            <w:vAlign w:val="top"/>
          </w:tcPr>
          <w:p>
            <w:r/>
            <w:r>
              <w:rPr>
                <w:sz w:val="19"/>
              </w:rPr>
              <w:t>Documented playbook, ~2 minute self-healing for OCPP state mismatch</w:t>
            </w:r>
          </w:p>
        </w:tc>
      </w:tr>
      <w:tr>
        <w:tc>
          <w:tcPr>
            <w:tcW w:type="dxa" w:w="4819"/>
            <w:vAlign w:val="top"/>
            <w:shd w:val="clear" w:color="auto" w:fill="F2F5FA"/>
          </w:tcPr>
          <w:p>
            <w:r/>
            <w:r>
              <w:rPr>
                <w:sz w:val="19"/>
              </w:rPr>
              <w:t>Auto-recovery</w:t>
            </w:r>
          </w:p>
        </w:tc>
        <w:tc>
          <w:tcPr>
            <w:tcW w:type="dxa" w:w="4819"/>
            <w:vAlign w:val="top"/>
            <w:shd w:val="clear" w:color="auto" w:fill="F2F5FA"/>
          </w:tcPr>
          <w:p>
            <w:r/>
            <w:r>
              <w:rPr>
                <w:sz w:val="19"/>
              </w:rPr>
              <w:t>Background healer for zombie WebSocket state, orphan session cleanup</w:t>
            </w:r>
          </w:p>
        </w:tc>
      </w:tr>
      <w:tr>
        <w:tc>
          <w:tcPr>
            <w:tcW w:type="dxa" w:w="4819"/>
            <w:vAlign w:val="top"/>
          </w:tcPr>
          <w:p>
            <w:r/>
            <w:r>
              <w:rPr>
                <w:sz w:val="19"/>
              </w:rPr>
              <w:t>Compliance</w:t>
            </w:r>
          </w:p>
        </w:tc>
        <w:tc>
          <w:tcPr>
            <w:tcW w:type="dxa" w:w="4819"/>
            <w:vAlign w:val="top"/>
          </w:tcPr>
          <w:p>
            <w:r/>
            <w:r>
              <w:rPr>
                <w:sz w:val="19"/>
              </w:rPr>
              <w:t>Malaysia PDPA aligned, PDPA-conformant data handling</w:t>
            </w:r>
          </w:p>
        </w:tc>
      </w:tr>
    </w:tbl>
    <w:p/>
    <w:p>
      <w:pPr>
        <w:pBdr>
          <w:bottom w:val="single" w:sz="8" w:color="0B4EA2"/>
        </w:pBdr>
      </w:pPr>
    </w:p>
    <w:p>
      <w:pPr>
        <w:spacing w:before="280" w:after="120"/>
      </w:pPr>
      <w:r>
        <w:rPr>
          <w:b/>
          <w:color w:val="0B4EA2"/>
          <w:sz w:val="44"/>
        </w:rPr>
        <w:t>8. Integration options for hardware vendors</w:t>
      </w:r>
    </w:p>
    <w:p>
      <w:r>
        <w:t>Two integration paths are available depending on charger firmware capability:</w:t>
      </w:r>
    </w:p>
    <w:p>
      <w:pPr>
        <w:spacing w:before="200" w:after="120"/>
      </w:pPr>
      <w:r>
        <w:rPr>
          <w:b/>
          <w:color w:val="0B4EA2"/>
          <w:sz w:val="32"/>
        </w:rPr>
        <w:t>8.1 OCPP 1.6J (recommended, standard)</w:t>
      </w:r>
    </w:p>
    <w:p>
      <w:pPr>
        <w:pStyle w:val="ListBullet"/>
      </w:pPr>
      <w:r>
        <w:t>Vendor firmware supports OCPP 1.6J → connect directly to PlagSini CSMS</w:t>
      </w:r>
    </w:p>
    <w:p>
      <w:pPr>
        <w:pStyle w:val="ListBullet"/>
      </w:pPr>
      <w:r>
        <w:t>Zero custom firmware development required</w:t>
      </w:r>
    </w:p>
    <w:p>
      <w:pPr>
        <w:pStyle w:val="ListBullet"/>
      </w:pPr>
      <w:r>
        <w:t>Standard test-then-certify process (see the OCPP Integration Guide document)</w:t>
      </w:r>
    </w:p>
    <w:p>
      <w:pPr>
        <w:spacing w:before="200" w:after="120"/>
      </w:pPr>
      <w:r>
        <w:rPr>
          <w:b/>
          <w:color w:val="0B4EA2"/>
          <w:sz w:val="32"/>
        </w:rPr>
        <w:t>8.2 OCPP 2.0.1 (planned Q4 2026)</w:t>
      </w:r>
    </w:p>
    <w:p>
      <w:pPr>
        <w:pStyle w:val="ListBullet"/>
      </w:pPr>
      <w:r>
        <w:t>Vendor firmware supports OCPP 2.0.1 → PlagSini roadmap-planned support</w:t>
      </w:r>
    </w:p>
    <w:p>
      <w:pPr>
        <w:pStyle w:val="ListBullet"/>
      </w:pPr>
      <w:r>
        <w:t>Contact us for early-access participation</w:t>
      </w:r>
    </w:p>
    <w:p>
      <w:pPr>
        <w:pBdr>
          <w:bottom w:val="single" w:sz="8" w:color="0B4EA2"/>
        </w:pBdr>
      </w:pPr>
    </w:p>
    <w:p>
      <w:pPr>
        <w:spacing w:before="280" w:after="120"/>
      </w:pPr>
      <w:r>
        <w:rPr>
          <w:b/>
          <w:color w:val="0B4EA2"/>
          <w:sz w:val="44"/>
        </w:rPr>
        <w:t>9. Existing partnerships &amp; ecosystem</w:t>
      </w:r>
    </w:p>
    <w:p>
      <w:pPr>
        <w:pStyle w:val="ListBullet"/>
      </w:pPr>
      <w:r>
        <w:rPr>
          <w:b/>
        </w:rPr>
        <w:t>Touch 'n Go eWallet</w:t>
      </w:r>
      <w:r>
        <w:t xml:space="preserve"> — payment integration via TPA (Third-Party Access) direct link, live production</w:t>
      </w:r>
    </w:p>
    <w:p>
      <w:pPr>
        <w:pStyle w:val="ListBullet"/>
      </w:pPr>
      <w:r>
        <w:rPr>
          <w:b/>
        </w:rPr>
        <w:t>Voltality (Singapore)</w:t>
      </w:r>
      <w:r>
        <w:t xml:space="preserve"> — OCPI 2.2.1 eRoaming discussions in progress</w:t>
      </w:r>
    </w:p>
    <w:p>
      <w:pPr>
        <w:pStyle w:val="ListBullet"/>
      </w:pPr>
      <w:r>
        <w:rPr>
          <w:b/>
        </w:rPr>
        <w:t>Perodua / Proton EV owners</w:t>
      </w:r>
      <w:r>
        <w:t xml:space="preserve"> — target customer base for personal EV charging</w:t>
      </w:r>
    </w:p>
    <w:p>
      <w:pPr>
        <w:pStyle w:val="ListBullet"/>
      </w:pPr>
      <w:r>
        <w:rPr>
          <w:b/>
        </w:rPr>
        <w:t>Multiple charger vendors</w:t>
      </w:r>
      <w:r>
        <w:t xml:space="preserve"> — AION and other Chinese OEMs successfully deployed with OCPP 1.6J</w:t>
      </w:r>
    </w:p>
    <w:p>
      <w:pPr>
        <w:pStyle w:val="ListBullet"/>
      </w:pPr>
      <w:r>
        <w:rPr>
          <w:b/>
        </w:rPr>
        <w:t>VPS Malaysia</w:t>
      </w:r>
      <w:r>
        <w:t xml:space="preserve"> — hosting partner</w:t>
      </w:r>
    </w:p>
    <w:p>
      <w:pPr>
        <w:pBdr>
          <w:bottom w:val="single" w:sz="8" w:color="0B4EA2"/>
        </w:pBdr>
      </w:pPr>
    </w:p>
    <w:p>
      <w:pPr>
        <w:spacing w:before="280" w:after="120"/>
      </w:pPr>
      <w:r>
        <w:rPr>
          <w:b/>
          <w:color w:val="0B4EA2"/>
          <w:sz w:val="44"/>
        </w:rPr>
        <w:t>10. Next steps</w:t>
      </w:r>
    </w:p>
    <w:p>
      <w:r>
        <w:t>For hardware vendors interested in docking:</w:t>
      </w:r>
    </w:p>
    <w:p>
      <w:pPr>
        <w:pStyle w:val="ListNumber"/>
      </w:pPr>
      <w:r>
        <w:t>Confirm OCPP version supported by your firmware (1.6J or 2.0.1)</w:t>
      </w:r>
    </w:p>
    <w:p>
      <w:pPr>
        <w:pStyle w:val="ListNumber"/>
      </w:pPr>
      <w:r>
        <w:t>Confirm list of supported OCPP messages (see integration guide)</w:t>
      </w:r>
    </w:p>
    <w:p>
      <w:pPr>
        <w:pStyle w:val="ListNumber"/>
      </w:pPr>
      <w:r>
        <w:t>Receive PlagSini OCPP Integration Guide + provisioning package</w:t>
      </w:r>
    </w:p>
    <w:p>
      <w:pPr>
        <w:pStyle w:val="ListNumber"/>
      </w:pPr>
      <w:r>
        <w:t xml:space="preserve">Provisioning: PlagSini issues test </w:t>
      </w:r>
      <w:r>
        <w:rPr>
          <w:rFonts w:ascii="Consolas" w:hAnsi="Consolas"/>
          <w:sz w:val="19"/>
        </w:rPr>
        <w:t>charge_point_id</w:t>
      </w:r>
      <w:r>
        <w:t xml:space="preserve"> + auth token</w:t>
      </w:r>
    </w:p>
    <w:p>
      <w:pPr>
        <w:pStyle w:val="ListNumber"/>
      </w:pPr>
      <w:r>
        <w:t>Vendor configures firmware with PlagSini endpoint + token</w:t>
      </w:r>
    </w:p>
    <w:p>
      <w:pPr>
        <w:pStyle w:val="ListNumber"/>
      </w:pPr>
      <w:r>
        <w:t>Joint docking test session (~1–2 days per model)</w:t>
      </w:r>
    </w:p>
    <w:p>
      <w:pPr>
        <w:pStyle w:val="ListNumber"/>
      </w:pPr>
      <w:r>
        <w:t>Certification sign-off → production readiness</w:t>
      </w:r>
    </w:p>
    <w:p>
      <w:pPr>
        <w:pBdr>
          <w:bottom w:val="single" w:sz="8" w:color="0B4EA2"/>
        </w:pBdr>
      </w:pPr>
    </w:p>
    <w:p>
      <w:pPr>
        <w:spacing w:before="280" w:after="120"/>
      </w:pPr>
      <w:r>
        <w:rPr>
          <w:b/>
          <w:color w:val="0B4EA2"/>
          <w:sz w:val="44"/>
        </w:rPr>
        <w:t>11. Contact</w:t>
      </w:r>
    </w:p>
    <w:p>
      <w:r>
        <w:t>For hardware integration, roaming partnerships, or commercial discussion:</w:t>
      </w:r>
    </w:p>
    <w:p>
      <w:pPr>
        <w:pStyle w:val="ListBullet"/>
      </w:pPr>
      <w:r>
        <w:rPr>
          <w:b/>
        </w:rPr>
        <w:t>Project Lead:</w:t>
      </w:r>
      <w:r>
        <w:t xml:space="preserve"> Aqid — aqidishak28@gmail.com</w:t>
      </w:r>
    </w:p>
    <w:p>
      <w:pPr>
        <w:pStyle w:val="ListBullet"/>
      </w:pPr>
      <w:r>
        <w:rPr>
          <w:b/>
        </w:rPr>
        <w:t>Engineering:</w:t>
      </w:r>
      <w:r>
        <w:t xml:space="preserve"> engineering@plagsini.com</w:t>
      </w:r>
    </w:p>
    <w:p>
      <w:pPr>
        <w:pStyle w:val="ListBullet"/>
      </w:pPr>
      <w:r>
        <w:rPr>
          <w:b/>
        </w:rPr>
        <w:t>Company:</w:t>
      </w:r>
      <w:r>
        <w:t xml:space="preserve"> C Zero Sdn Bhd</w:t>
      </w:r>
    </w:p>
    <w:p>
      <w:pPr>
        <w:pStyle w:val="ListBullet"/>
      </w:pPr>
      <w:r>
        <w:rPr>
          <w:b/>
        </w:rPr>
        <w:t>Production endpoint:</w:t>
      </w:r>
      <w:r>
        <w:t xml:space="preserve"> https://charger.czeros.tech</w:t>
      </w:r>
    </w:p>
    <w:p>
      <w:pPr>
        <w:pStyle w:val="ListBullet"/>
      </w:pPr>
      <w:r>
        <w:rPr>
          <w:b/>
        </w:rPr>
        <w:t>Status:</w:t>
      </w:r>
      <w:r>
        <w:t xml:space="preserve"> https://charger.czeros.tech/health</w:t>
      </w:r>
    </w:p>
    <w:p>
      <w:pPr>
        <w:pBdr>
          <w:bottom w:val="single" w:sz="8" w:color="0B4EA2"/>
        </w:pBdr>
      </w:pPr>
    </w:p>
    <w:p>
      <w:r>
        <w:rPr>
          <w:i/>
          <w:color w:val="606060"/>
          <w:sz w:val="18"/>
        </w:rPr>
        <w:t>This document is issued by C Zero Sdn Bhd for prospective hardware and roaming partners. Confidential — for partner use under mutual NDA where applicable.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C Zero Sdn Bhd · OCPI 2.2.1 Specification v1.0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