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691640" cy="439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at 1.55.28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43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Proposal for Flexible Endoscopy,</w:t>
        <w:br/>
        <w:t>Laser Urology and Men’s Health Services</w:t>
      </w:r>
    </w:p>
    <w:p>
      <w:pPr>
        <w:pStyle w:val="Subtitle"/>
        <w:jc w:val="center"/>
      </w:pPr>
      <w:r>
        <w:t>On-site clinical lists, specialist support, equipment and sterile consumables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5A6773"/>
                <w:sz w:val="17"/>
              </w:rPr>
              <w:t>PREPARED FOR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[Hospital / Clinic Name]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5A6773"/>
                <w:sz w:val="17"/>
              </w:rPr>
              <w:t>PREPARED BY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MediRent / Dr. Muzaffar Chaudhary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8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5A6773"/>
                <w:sz w:val="17"/>
              </w:rPr>
              <w:t>STATUS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For review and approval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4F4"/>
          </w:tcPr>
          <w:p>
            <w:pPr>
              <w:spacing w:after="0" w:line="269" w:lineRule="auto"/>
            </w:pPr>
            <w:r>
              <w:rPr>
                <w:b/>
                <w:color w:val="147D82"/>
              </w:rPr>
              <w:t xml:space="preserve">PROPOSAL SUMMARY  </w:t>
            </w:r>
            <w:r>
              <w:t>MediRent proposes an initial complimentary trial followed by scheduled flexible cystoscopy, laser flexible ureteroscopy and men’s-health shockwave therapy services. Trained clinical support, specialist equipment, sterile instruments and consumables will be arranged as applicable to the agreed cases.</w:t>
            </w:r>
          </w:p>
        </w:tc>
      </w:tr>
    </w:tbl>
    <w:p>
      <w:pPr>
        <w:pStyle w:val="Heading1"/>
      </w:pPr>
      <w:r>
        <w:t>1. Purpose</w:t>
      </w:r>
    </w:p>
    <w:p>
      <w:r>
        <w:t>This proposal is intended to establish a practical service arrangement through which the recipient hospital or clinic can offer diagnostic and therapeutic flexible endoscopy procedures, laser urology services and men’s-health shockwave therapy using visiting specialist support and rented equipment. The model is designed to begin with a limited trial, demonstrate workflow and clinical feasibility, and then move to scheduled paid services.</w:t>
      </w:r>
    </w:p>
    <w:p>
      <w:pPr>
        <w:pStyle w:val="Heading1"/>
      </w:pPr>
      <w:r>
        <w:t>2. Complimentary Trial</w:t>
      </w:r>
    </w:p>
    <w:p>
      <w:r>
        <w:t>MediRent proposes a trial list of three patients at no charge. Suitable trial cases may include:</w:t>
      </w:r>
    </w:p>
    <w:p>
      <w:pPr>
        <w:pStyle w:val="ListBullet"/>
        <w:spacing w:after="80"/>
      </w:pPr>
      <w:r>
        <w:t>Diagnostic flexible cystoscopy</w:t>
      </w:r>
    </w:p>
    <w:p>
      <w:pPr>
        <w:pStyle w:val="ListBullet"/>
        <w:spacing w:after="80"/>
      </w:pPr>
      <w:r>
        <w:t>Ureteric stent removal</w:t>
      </w:r>
    </w:p>
    <w:p>
      <w:pPr>
        <w:pStyle w:val="ListBullet"/>
        <w:spacing w:after="80"/>
      </w:pPr>
      <w:r>
        <w:t>Intravesical Botox injection</w:t>
      </w:r>
    </w:p>
    <w:p>
      <w:r>
        <w:t>A trained urologist will be available for the trial list. Patient selection, clinical suitability, consent and scheduling must be agreed in advance between the participating clinical teams.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D6"/>
          </w:tcPr>
          <w:p>
            <w:pPr>
              <w:spacing w:after="0" w:line="269" w:lineRule="auto"/>
            </w:pPr>
            <w:r>
              <w:rPr>
                <w:b/>
                <w:color w:val="147D82"/>
              </w:rPr>
              <w:t xml:space="preserve">IMPORTANT CLARIFICATION  </w:t>
            </w:r>
            <w:r>
              <w:t>The source instruction states that the first three cases will be provided without charge. The parties should confirm in writing whether this waiver includes transport, all consumables and any hospital/facility charges before the trial date.</w:t>
            </w:r>
          </w:p>
        </w:tc>
      </w:tr>
    </w:tbl>
    <w:p>
      <w:r>
        <w:br w:type="page"/>
      </w:r>
    </w:p>
    <w:p>
      <w:pPr>
        <w:pStyle w:val="Heading1"/>
      </w:pPr>
      <w:r>
        <w:t>3. Flexible Cystoscopy List</w:t>
      </w:r>
    </w:p>
    <w:p>
      <w:r>
        <w:t>A standard list is expected to accommodate approximately 8–12 patients within 3.5 hours, subject to case complexity, theatre efficiency, patient readiness and clinical requirements.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2250"/>
        <w:gridCol w:w="3060"/>
      </w:tblGrid>
      <w:tr>
        <w:trPr>
          <w:tblHeader w:val="true"/>
          <w:cantSplit/>
        </w:trPr>
        <w:tc>
          <w:tcPr>
            <w:tcW w:type="dxa" w:w="4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Charge item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Rate</w:t>
            </w:r>
          </w:p>
        </w:tc>
        <w:tc>
          <w:tcPr>
            <w:tcW w:type="dxa" w:w="3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Basis / note</w:t>
            </w:r>
          </w:p>
        </w:tc>
      </w:tr>
      <w:tr>
        <w:trPr>
          <w:cantSplit/>
          <w:cantSplit/>
        </w:trPr>
        <w:tc>
          <w:tcPr>
            <w:tcW w:type="dxa" w:w="4050"/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Transport charges</w:t>
            </w:r>
          </w:p>
        </w:tc>
        <w:tc>
          <w:tcPr>
            <w:tcW w:type="dxa" w:w="2250"/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147D82"/>
                <w:sz w:val="19"/>
              </w:rPr>
              <w:t>PKR 20,000</w:t>
            </w:r>
          </w:p>
        </w:tc>
        <w:tc>
          <w:tcPr>
            <w:tcW w:type="dxa" w:w="3060"/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Per scheduled list</w:t>
            </w:r>
          </w:p>
        </w:tc>
      </w:tr>
      <w:tr>
        <w:trPr>
          <w:cantSplit/>
          <w:cantSplit/>
        </w:trPr>
        <w:tc>
          <w:tcPr>
            <w:tcW w:type="dxa" w:w="4050"/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Flexible scope and consumables</w:t>
            </w:r>
          </w:p>
        </w:tc>
        <w:tc>
          <w:tcPr>
            <w:tcW w:type="dxa" w:w="2250"/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147D82"/>
                <w:sz w:val="19"/>
              </w:rPr>
              <w:t>PKR 8,000</w:t>
            </w:r>
          </w:p>
        </w:tc>
        <w:tc>
          <w:tcPr>
            <w:tcW w:type="dxa" w:w="3060"/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Per patient</w:t>
            </w:r>
          </w:p>
        </w:tc>
      </w:tr>
    </w:tbl>
    <w:p>
      <w:pPr>
        <w:pStyle w:val="Heading2"/>
      </w:pPr>
      <w:r>
        <w:t>Included for Each Scheduled List</w:t>
      </w:r>
    </w:p>
    <w:p>
      <w:pPr>
        <w:pStyle w:val="ListBullet"/>
        <w:spacing w:after="80"/>
      </w:pPr>
      <w:r>
        <w:t>Twelve individually packed sterile instruments and required consumables for the list.</w:t>
      </w:r>
    </w:p>
    <w:p>
      <w:pPr>
        <w:pStyle w:val="ListBullet"/>
        <w:spacing w:after="80"/>
      </w:pPr>
      <w:r>
        <w:t>Flexible cystoscopy equipment and logistical transport, as agreed.</w:t>
      </w:r>
    </w:p>
    <w:p>
      <w:pPr>
        <w:pStyle w:val="ListBullet"/>
        <w:spacing w:after="80"/>
      </w:pPr>
      <w:r>
        <w:t>A trained urologist for the proposed service period, subject to confirmed scheduling.</w:t>
      </w:r>
    </w:p>
    <w:p>
      <w:pPr>
        <w:pStyle w:val="Heading2"/>
      </w:pPr>
      <w:r>
        <w:t>Minimum Booking</w:t>
      </w:r>
    </w:p>
    <w:p>
      <w:r>
        <w:t>A minimum of three booked patients is required for a list to be operationally sustainable. Final confirmation should be completed before equipment and personnel are dispatched.</w:t>
      </w:r>
    </w:p>
    <w:p>
      <w:pPr>
        <w:pStyle w:val="Heading1"/>
      </w:pPr>
      <w:r>
        <w:t>4. Laser Flexible Ureteroscopy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2250"/>
        <w:gridCol w:w="3060"/>
      </w:tblGrid>
      <w:tr>
        <w:trPr>
          <w:tblHeader w:val="true"/>
          <w:cantSplit/>
        </w:trPr>
        <w:tc>
          <w:tcPr>
            <w:tcW w:type="dxa" w:w="4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Charge item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Rate</w:t>
            </w:r>
          </w:p>
        </w:tc>
        <w:tc>
          <w:tcPr>
            <w:tcW w:type="dxa" w:w="3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Basis / note</w:t>
            </w:r>
          </w:p>
        </w:tc>
      </w:tr>
      <w:tr>
        <w:trPr>
          <w:cantSplit/>
          <w:cantSplit/>
        </w:trPr>
        <w:tc>
          <w:tcPr>
            <w:tcW w:type="dxa" w:w="40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Transport charges</w:t>
            </w:r>
          </w:p>
        </w:tc>
        <w:tc>
          <w:tcPr>
            <w:tcW w:type="dxa" w:w="22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147D82"/>
                <w:sz w:val="19"/>
              </w:rPr>
              <w:t>PKR 20,000</w:t>
            </w:r>
          </w:p>
        </w:tc>
        <w:tc>
          <w:tcPr>
            <w:tcW w:type="dxa" w:w="306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Per scheduled list / visit</w:t>
            </w:r>
          </w:p>
        </w:tc>
      </w:tr>
      <w:tr>
        <w:trPr>
          <w:cantSplit/>
          <w:cantSplit/>
        </w:trPr>
        <w:tc>
          <w:tcPr>
            <w:tcW w:type="dxa" w:w="40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Laser and flexible ureteroscope rental</w:t>
            </w:r>
          </w:p>
        </w:tc>
        <w:tc>
          <w:tcPr>
            <w:tcW w:type="dxa" w:w="22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147D82"/>
                <w:sz w:val="19"/>
              </w:rPr>
              <w:t>PKR 50,000</w:t>
            </w:r>
          </w:p>
        </w:tc>
        <w:tc>
          <w:tcPr>
            <w:tcW w:type="dxa" w:w="306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Per procedure</w:t>
            </w:r>
          </w:p>
        </w:tc>
      </w:tr>
    </w:tbl>
    <w:p>
      <w:pPr>
        <w:pStyle w:val="Heading1"/>
      </w:pPr>
      <w:r>
        <w:t>5. Men’s Health Shockwave Therapy</w:t>
      </w:r>
    </w:p>
    <w:p>
      <w:r>
        <w:t>MediRent can provide a shockwave therapy machine for rental and can also arrange treatment sessions for men’s health services, subject to clinical assessment and suitability.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2250"/>
        <w:gridCol w:w="3060"/>
      </w:tblGrid>
      <w:tr>
        <w:trPr>
          <w:tblHeader w:val="true"/>
          <w:cantSplit/>
        </w:trPr>
        <w:tc>
          <w:tcPr>
            <w:tcW w:type="dxa" w:w="4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Rate</w:t>
            </w:r>
          </w:p>
        </w:tc>
        <w:tc>
          <w:tcPr>
            <w:tcW w:type="dxa" w:w="3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24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Basis / note</w:t>
            </w:r>
          </w:p>
        </w:tc>
      </w:tr>
      <w:tr>
        <w:trPr>
          <w:cantSplit/>
          <w:cantSplit/>
        </w:trPr>
        <w:tc>
          <w:tcPr>
            <w:tcW w:type="dxa" w:w="40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Shockwave therapy procedure</w:t>
            </w:r>
          </w:p>
        </w:tc>
        <w:tc>
          <w:tcPr>
            <w:tcW w:type="dxa" w:w="22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147D82"/>
                <w:sz w:val="19"/>
              </w:rPr>
              <w:t>PKR 15,000</w:t>
            </w:r>
          </w:p>
        </w:tc>
        <w:tc>
          <w:tcPr>
            <w:tcW w:type="dxa" w:w="306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Per treatment session</w:t>
            </w:r>
          </w:p>
        </w:tc>
      </w:tr>
      <w:tr>
        <w:trPr>
          <w:cantSplit/>
          <w:cantSplit/>
        </w:trPr>
        <w:tc>
          <w:tcPr>
            <w:tcW w:type="dxa" w:w="405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Shockwave therapy machine rental</w:t>
            </w:r>
          </w:p>
        </w:tc>
        <w:tc>
          <w:tcPr>
            <w:tcW w:type="dxa" w:w="2250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147D82"/>
                <w:sz w:val="19"/>
              </w:rPr>
              <w:t>On quotation</w:t>
            </w:r>
          </w:p>
        </w:tc>
        <w:tc>
          <w:tcPr>
            <w:tcW w:type="dxa" w:w="3060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Based on rental duration and location</w:t>
            </w:r>
          </w:p>
        </w:tc>
      </w:tr>
    </w:tbl>
    <w:p>
      <w:r>
        <w:t>Treatment plans, the number of sessions and patient eligibility will be determined by an appropriately qualified clinician. Pricing for machine-only rental will be provided after confirming the rental period, location, transport and support requirements.</w:t>
      </w:r>
    </w:p>
    <w:p>
      <w:pPr>
        <w:pStyle w:val="Heading1"/>
      </w:pPr>
      <w:r>
        <w:t>6. Responsibilities</w:t>
      </w:r>
    </w:p>
    <w:p>
      <w:pPr>
        <w:pStyle w:val="Heading2"/>
      </w:pPr>
      <w:r>
        <w:t>MediRent / Visiting Team</w:t>
      </w:r>
    </w:p>
    <w:p>
      <w:pPr>
        <w:pStyle w:val="ListBullet"/>
        <w:spacing w:after="80"/>
      </w:pPr>
      <w:r>
        <w:t>Provide the agreed scope, equipment, sterile instruments and consumables.</w:t>
      </w:r>
    </w:p>
    <w:p>
      <w:pPr>
        <w:pStyle w:val="ListBullet"/>
        <w:spacing w:after="80"/>
      </w:pPr>
      <w:r>
        <w:t>Arrange transport and deliver the equipment for the confirmed list.</w:t>
      </w:r>
    </w:p>
    <w:p>
      <w:pPr>
        <w:pStyle w:val="ListBullet"/>
        <w:spacing w:after="80"/>
      </w:pPr>
      <w:r>
        <w:t>Provide appropriately trained urology support as agreed for the trial and subsequent lists.</w:t>
      </w:r>
    </w:p>
    <w:p>
      <w:pPr>
        <w:pStyle w:val="ListBullet"/>
        <w:spacing w:after="80"/>
      </w:pPr>
      <w:r>
        <w:t>Coordinate equipment setup, handling and post-list reconciliation.</w:t>
      </w:r>
    </w:p>
    <w:p>
      <w:pPr>
        <w:pStyle w:val="Heading2"/>
      </w:pPr>
      <w:r>
        <w:t>Recipient Hospital / Clinic</w:t>
      </w:r>
    </w:p>
    <w:p>
      <w:pPr>
        <w:pStyle w:val="ListBullet"/>
        <w:spacing w:after="80"/>
      </w:pPr>
      <w:r>
        <w:t>Identify, assess and schedule clinically suitable patients.</w:t>
      </w:r>
    </w:p>
    <w:p>
      <w:pPr>
        <w:pStyle w:val="ListBullet"/>
        <w:spacing w:after="80"/>
      </w:pPr>
      <w:r>
        <w:t>Provide a credentialed doctor/urologist and appropriate clinical staff for future lists.</w:t>
      </w:r>
    </w:p>
    <w:p>
      <w:pPr>
        <w:pStyle w:val="ListBullet"/>
        <w:spacing w:after="80"/>
      </w:pPr>
      <w:r>
        <w:t>Provide the clinical area, standard monitoring, medicines, emergency readiness, sterilization support and waste disposal required by hospital policy.</w:t>
      </w:r>
    </w:p>
    <w:p>
      <w:pPr>
        <w:pStyle w:val="ListBullet"/>
        <w:spacing w:after="80"/>
      </w:pPr>
      <w:r>
        <w:t>Manage patient records, informed consent, investigations, clinical governance and follow-up care.</w:t>
      </w:r>
    </w:p>
    <w:p>
      <w:pPr>
        <w:pStyle w:val="ListBullet"/>
        <w:spacing w:after="80"/>
      </w:pPr>
      <w:r>
        <w:t>Confirm the final list and patient count before dispatch of personnel and equipment.</w:t>
      </w:r>
    </w:p>
    <w:p>
      <w:pPr>
        <w:pStyle w:val="Heading1"/>
      </w:pPr>
      <w:r>
        <w:t>7. Proposed Implementation</w:t>
      </w:r>
    </w:p>
    <w:p>
      <w:pPr>
        <w:spacing w:after="120"/>
        <w:ind w:left="115"/>
      </w:pPr>
      <w:r>
        <w:rPr>
          <w:b/>
          <w:color w:val="147D82"/>
        </w:rPr>
        <w:t xml:space="preserve">1. Clinical alignment: </w:t>
      </w:r>
      <w:r>
        <w:t>Confirm eligible procedures, responsible clinicians, facility requirements and governance approvals.</w:t>
      </w:r>
    </w:p>
    <w:p>
      <w:pPr>
        <w:spacing w:after="120"/>
        <w:ind w:left="115"/>
      </w:pPr>
      <w:r>
        <w:rPr>
          <w:b/>
          <w:color w:val="147D82"/>
        </w:rPr>
        <w:t xml:space="preserve">2. Trial list: </w:t>
      </w:r>
      <w:r>
        <w:t>Schedule up to three suitable patients and conduct the complimentary demonstration list.</w:t>
      </w:r>
    </w:p>
    <w:p>
      <w:pPr>
        <w:spacing w:after="120"/>
        <w:ind w:left="115"/>
      </w:pPr>
      <w:r>
        <w:rPr>
          <w:b/>
          <w:color w:val="147D82"/>
        </w:rPr>
        <w:t xml:space="preserve">3. Review: </w:t>
      </w:r>
      <w:r>
        <w:t>Evaluate workflow, safety, patient throughput, equipment performance and staff requirements.</w:t>
      </w:r>
    </w:p>
    <w:p>
      <w:pPr>
        <w:spacing w:after="120"/>
        <w:ind w:left="115"/>
      </w:pPr>
      <w:r>
        <w:rPr>
          <w:b/>
          <w:color w:val="147D82"/>
        </w:rPr>
        <w:t xml:space="preserve">4. Routine scheduling: </w:t>
      </w:r>
      <w:r>
        <w:t>Agree list frequency, booking cut-off, payment process and cancellation terms.</w:t>
      </w:r>
    </w:p>
    <w:p>
      <w:pPr>
        <w:pStyle w:val="Heading1"/>
      </w:pPr>
      <w:r>
        <w:t>8. Commercial and Clinical Conditions</w:t>
      </w:r>
    </w:p>
    <w:p>
      <w:pPr>
        <w:pStyle w:val="ListBullet"/>
        <w:spacing w:after="80"/>
      </w:pPr>
      <w:r>
        <w:t>All amounts are stated in Pakistani rupees (PKR) and should be confirmed before signing.</w:t>
      </w:r>
    </w:p>
    <w:p>
      <w:pPr>
        <w:pStyle w:val="ListBullet"/>
        <w:spacing w:after="80"/>
      </w:pPr>
      <w:r>
        <w:t>The final quotation will depend on confirmed procedure type, patient count and any additional consumables or facility requirements.</w:t>
      </w:r>
    </w:p>
    <w:p>
      <w:pPr>
        <w:pStyle w:val="ListBullet"/>
        <w:spacing w:after="80"/>
      </w:pPr>
      <w:r>
        <w:t>Patient selection and all clinical decisions remain the responsibility of appropriately credentialed clinicians.</w:t>
      </w:r>
    </w:p>
    <w:p>
      <w:pPr>
        <w:pStyle w:val="ListBullet"/>
        <w:spacing w:after="80"/>
      </w:pPr>
      <w:r>
        <w:t>The parties should document payment timing, taxes, cancellation/rescheduling terms, equipment damage or loss, infection-control responsibilities and indemnity before routine service begins.</w:t>
      </w:r>
    </w:p>
    <w:p>
      <w:pPr>
        <w:pStyle w:val="ListBullet"/>
        <w:spacing w:after="80"/>
      </w:pPr>
      <w:r>
        <w:t>This proposal is a commercial service outline and does not replace a clinical protocol, credentialing process or formal service agreement.</w:t>
      </w:r>
    </w:p>
    <w:p>
      <w:pPr>
        <w:pStyle w:val="Heading1"/>
      </w:pPr>
      <w:r>
        <w:t>9. Acceptance in Principle</w:t>
      </w:r>
    </w:p>
    <w:p>
      <w:r>
        <w:t>If the above framework is acceptable, the parties may proceed to confirm the trial date, patient list, participating clinicians and facility readiness. Final commercial and clinical terms should be recorded in a signed service agreement or approved purchase order.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4F4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9"/>
              </w:rPr>
              <w:t>For the Recipient Hospital / Clinic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4F4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17324D"/>
                <w:sz w:val="19"/>
              </w:rPr>
              <w:t>For MediRent / Service Provider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Name: __________________________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Name: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Designation: ____________________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Designation: 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Signature &amp; Date: ________________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20262C"/>
                <w:sz w:val="19"/>
              </w:rPr>
              <w:t>Signature &amp; Date: 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773"/>
        <w:sz w:val="16"/>
      </w:rPr>
      <w:t>Confidential proposal  •  Prepared for review and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773"/>
        <w:sz w:val="16"/>
      </w:rPr>
      <w:t>MEDIRENT  |  CLINICAL SERVICE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ptos" w:hAnsi="Aptos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A67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Flexible Endoscopy, Laser Urology and Men’s Health Services</dc:title>
  <dc:subject>Clinical service and equipment rental proposal</dc:subject>
  <dc:creator>MediRent</dc:creator>
  <cp:keywords>MediRent, flexible cystoscopy, flexible ureteroscopy, laser urology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