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269" w:lineRule="auto"/>
        <w:jc w:val="left"/>
      </w:pPr>
      <w:r>
        <w:rPr>
          <w:rFonts w:ascii="Aptos" w:hAnsi="Aptos"/>
          <w:b/>
          <w:i w:val="0"/>
          <w:caps/>
          <w:color w:val="269889"/>
          <w:sz w:val="17"/>
        </w:rPr>
        <w:t>A SMARTER OPERATING SYSTEM FOR RESIDENCY SCHEDULING</w:t>
      </w:r>
    </w:p>
    <w:p>
      <w:pPr>
        <w:keepNext/>
        <w:spacing w:before="0" w:after="60" w:line="269" w:lineRule="auto"/>
      </w:pPr>
      <w:r>
        <w:rPr>
          <w:rFonts w:ascii="Aptos" w:hAnsi="Aptos"/>
          <w:b/>
          <w:i w:val="0"/>
          <w:color w:val="26243A"/>
          <w:sz w:val="62"/>
        </w:rPr>
        <w:t>Clarity Schedule</w:t>
      </w:r>
    </w:p>
    <w:p>
      <w:pPr>
        <w:keepNext w:val="0"/>
        <w:spacing w:before="0" w:after="240" w:line="269" w:lineRule="auto"/>
      </w:pPr>
      <w:r>
        <w:rPr>
          <w:rFonts w:ascii="Aptos" w:hAnsi="Aptos"/>
          <w:b w:val="0"/>
          <w:i w:val="0"/>
          <w:color w:val="50459B"/>
          <w:sz w:val="30"/>
        </w:rPr>
        <w:t>From resident requests to a fair, editable, publish-ready schedule</w:t>
      </w:r>
    </w:p>
    <w:p>
      <w:pPr>
        <w:keepNext w:val="0"/>
        <w:spacing w:before="0" w:after="280" w:line="300" w:lineRule="auto"/>
      </w:pPr>
      <w:r>
        <w:rPr>
          <w:rFonts w:ascii="Aptos" w:hAnsi="Aptos"/>
          <w:b w:val="0"/>
          <w:i w:val="0"/>
          <w:color w:val="222536"/>
          <w:sz w:val="23"/>
        </w:rPr>
        <w:t>A program-wide platform that replaces disconnected forms, spreadsheets, PDFs, and manual cross-checking with one coordinated workflow for residents, chiefs, and departments.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FECFB"/>
            <w:tcBorders>
              <w:top w:val="single" w:sz="8" w:color="DDD8F5"/>
              <w:left w:val="single" w:sz="8" w:color="DDD8F5"/>
              <w:bottom w:val="single" w:sz="8" w:color="DDD8F5"/>
              <w:right w:val="single" w:sz="8" w:color="DDD8F5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ptos" w:hAnsi="Aptos"/>
                <w:b/>
                <w:i w:val="0"/>
                <w:color w:val="50459B"/>
                <w:sz w:val="28"/>
              </w:rPr>
              <w:t>2</w:t>
            </w:r>
          </w:p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i w:val="0"/>
                <w:color w:val="676D80"/>
                <w:sz w:val="15"/>
              </w:rPr>
              <w:t>connected portals</w:t>
            </w:r>
          </w:p>
        </w:tc>
        <w:tc>
          <w:tcPr>
            <w:tcW w:type="dxa" w:w="3120"/>
            <w:shd w:fill="EFECFB"/>
            <w:tcBorders>
              <w:top w:val="single" w:sz="8" w:color="DDD8F5"/>
              <w:left w:val="single" w:sz="8" w:color="DDD8F5"/>
              <w:bottom w:val="single" w:sz="8" w:color="DDD8F5"/>
              <w:right w:val="single" w:sz="8" w:color="DDD8F5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ptos" w:hAnsi="Aptos"/>
                <w:b/>
                <w:i w:val="0"/>
                <w:color w:val="50459B"/>
                <w:sz w:val="28"/>
              </w:rPr>
              <w:t>13 or 26</w:t>
            </w:r>
          </w:p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i w:val="0"/>
                <w:color w:val="676D80"/>
                <w:sz w:val="15"/>
              </w:rPr>
              <w:t>configurable blocks</w:t>
            </w:r>
          </w:p>
        </w:tc>
        <w:tc>
          <w:tcPr>
            <w:tcW w:type="dxa" w:w="3120"/>
            <w:shd w:fill="EFECFB"/>
            <w:tcBorders>
              <w:top w:val="single" w:sz="8" w:color="DDD8F5"/>
              <w:left w:val="single" w:sz="8" w:color="DDD8F5"/>
              <w:bottom w:val="single" w:sz="8" w:color="DDD8F5"/>
              <w:right w:val="single" w:sz="8" w:color="DDD8F5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ptos" w:hAnsi="Aptos"/>
                <w:b/>
                <w:i w:val="0"/>
                <w:color w:val="50459B"/>
                <w:sz w:val="28"/>
              </w:rPr>
              <w:t>1</w:t>
            </w:r>
          </w:p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i w:val="0"/>
                <w:color w:val="676D80"/>
                <w:sz w:val="15"/>
              </w:rPr>
              <w:t>source of scheduling truth</w:t>
            </w:r>
          </w:p>
        </w:tc>
      </w:tr>
    </w:tbl>
    <w:p>
      <w:pPr>
        <w:keepNext/>
        <w:spacing w:before="80"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052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ent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52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9" w:lineRule="auto"/>
        <w:jc w:val="center"/>
      </w:pPr>
      <w:r>
        <w:rPr>
          <w:rFonts w:ascii="Aptos" w:hAnsi="Aptos"/>
          <w:b w:val="0"/>
          <w:i/>
          <w:color w:val="676D80"/>
          <w:sz w:val="15"/>
        </w:rPr>
        <w:t>Resident experience: personal assignments, calls, protected time, requests, and schedule statistics in one place.</w:t>
      </w:r>
    </w:p>
    <w:p>
      <w:pPr>
        <w:keepNext w:val="0"/>
        <w:spacing w:before="0" w:after="0" w:line="269" w:lineRule="auto"/>
        <w:jc w:val="center"/>
      </w:pPr>
      <w:r>
        <w:rPr>
          <w:rFonts w:ascii="Aptos" w:hAnsi="Aptos"/>
          <w:b w:val="0"/>
          <w:i/>
          <w:color w:val="676D80"/>
          <w:sz w:val="19"/>
        </w:rPr>
        <w:t>Designed for the complexity of graduate medical education - flexible enough for Pediatrics, Internal Medicine, Emergency Medicine, and other training programs.</w:t>
      </w:r>
    </w:p>
    <w:p>
      <w:r>
        <w:br w:type="page"/>
      </w:r>
    </w:p>
    <w:p>
      <w:pPr>
        <w:keepNext/>
        <w:spacing w:before="0" w:after="80" w:line="269" w:lineRule="auto"/>
        <w:jc w:val="left"/>
      </w:pPr>
      <w:r>
        <w:rPr>
          <w:rFonts w:ascii="Aptos" w:hAnsi="Aptos"/>
          <w:b/>
          <w:i w:val="0"/>
          <w:caps/>
          <w:color w:val="269889"/>
          <w:sz w:val="17"/>
        </w:rPr>
        <w:t>THE OPERATIONAL PROBLEM</w:t>
      </w:r>
    </w:p>
    <w:p>
      <w:pPr>
        <w:pStyle w:val="Heading1"/>
        <w:keepNext/>
        <w:spacing w:before="160" w:after="160" w:line="252" w:lineRule="auto"/>
      </w:pPr>
      <w:r>
        <w:rPr>
          <w:rFonts w:ascii="Aptos" w:hAnsi="Aptos"/>
          <w:b/>
          <w:i w:val="0"/>
          <w:color w:val="26243A"/>
          <w:sz w:val="40"/>
        </w:rPr>
        <w:t>Scheduling is not one spreadsheet</w:t>
      </w:r>
    </w:p>
    <w:p>
      <w:pPr>
        <w:keepNext w:val="0"/>
        <w:spacing w:before="0" w:after="200" w:line="288" w:lineRule="auto"/>
      </w:pPr>
      <w:r>
        <w:rPr>
          <w:rFonts w:ascii="Aptos" w:hAnsi="Aptos"/>
          <w:b w:val="0"/>
          <w:i w:val="0"/>
          <w:color w:val="222536"/>
          <w:sz w:val="21"/>
        </w:rPr>
        <w:t>Every block combines annual rotations, monthly service schedules, protected educational time, individual preferences, leave, coverage requirements, work-hour limits, and last-minute changes. Today, these inputs often live in separate places and must be reconciled manually.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FDECEF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D75A64"/>
                <w:sz w:val="21"/>
              </w:rPr>
              <w:t>Fragmented inputs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Google Forms, emails, PDFs, institutional clinic rules, and annual master schedules are reviewed separately.</w:t>
            </w:r>
          </w:p>
        </w:tc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FFF4DF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D79A32"/>
                <w:sz w:val="21"/>
              </w:rPr>
              <w:t>Repeated manual work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Chiefs rebuild the same logic each block and repeatedly check who is eligible, available, or over-assigned.</w:t>
            </w:r>
          </w:p>
        </w:tc>
      </w:tr>
      <w:tr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FDECEF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D75A64"/>
                <w:sz w:val="21"/>
              </w:rPr>
              <w:t>Hidden conflicts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Clinic, didactics, post-call needs, adjacent calls, leave, and next-block assignments are easy to miss.</w:t>
            </w:r>
          </w:p>
        </w:tc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FFF4DF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D79A32"/>
                <w:sz w:val="21"/>
              </w:rPr>
              <w:t>Limited visibility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Residents struggle to understand assignments and fairness; leadership lacks a real-time readiness view.</w:t>
            </w:r>
          </w:p>
        </w:tc>
      </w:tr>
    </w:tbl>
    <w:p>
      <w:pPr>
        <w:pStyle w:val="Heading2"/>
        <w:keepNext/>
        <w:spacing w:before="160" w:after="100" w:line="252" w:lineRule="auto"/>
      </w:pPr>
      <w:r>
        <w:rPr>
          <w:rFonts w:ascii="Aptos" w:hAnsi="Aptos"/>
          <w:b/>
          <w:i w:val="0"/>
          <w:color w:val="50459B"/>
          <w:sz w:val="28"/>
        </w:rPr>
        <w:t>One connected workflow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6F3"/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Aptos" w:hAnsi="Aptos"/>
                <w:b/>
                <w:i w:val="0"/>
                <w:color w:val="269889"/>
                <w:sz w:val="30"/>
              </w:rPr>
              <w:t>1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Aptos" w:hAnsi="Aptos"/>
                <w:b/>
                <w:i w:val="0"/>
                <w:color w:val="26243A"/>
                <w:sz w:val="19"/>
              </w:rPr>
              <w:t>Collect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/>
                <w:b w:val="0"/>
                <w:i w:val="0"/>
                <w:color w:val="676D80"/>
                <w:sz w:val="14"/>
              </w:rPr>
              <w:t>Residents submit preferences, leave, weekends, and master-schedule rankings.</w:t>
            </w:r>
          </w:p>
        </w:tc>
        <w:tc>
          <w:tcPr>
            <w:tcW w:type="dxa" w:w="2340"/>
            <w:shd w:fill="EFECFB"/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Aptos" w:hAnsi="Aptos"/>
                <w:b/>
                <w:i w:val="0"/>
                <w:color w:val="50459B"/>
                <w:sz w:val="30"/>
              </w:rPr>
              <w:t>2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Aptos" w:hAnsi="Aptos"/>
                <w:b/>
                <w:i w:val="0"/>
                <w:color w:val="26243A"/>
                <w:sz w:val="19"/>
              </w:rPr>
              <w:t>Configure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/>
                <w:b w:val="0"/>
                <w:i w:val="0"/>
                <w:color w:val="676D80"/>
                <w:sz w:val="14"/>
              </w:rPr>
              <w:t>Chiefs define institution patterns, services, coverage roles, and working hours.</w:t>
            </w:r>
          </w:p>
        </w:tc>
        <w:tc>
          <w:tcPr>
            <w:tcW w:type="dxa" w:w="2340"/>
            <w:shd w:fill="EFECFB"/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Aptos" w:hAnsi="Aptos"/>
                <w:b/>
                <w:i w:val="0"/>
                <w:color w:val="50459B"/>
                <w:sz w:val="30"/>
              </w:rPr>
              <w:t>3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Aptos" w:hAnsi="Aptos"/>
                <w:b/>
                <w:i w:val="0"/>
                <w:color w:val="26243A"/>
                <w:sz w:val="19"/>
              </w:rPr>
              <w:t>Generate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/>
                <w:b w:val="0"/>
                <w:i w:val="0"/>
                <w:color w:val="676D80"/>
                <w:sz w:val="14"/>
              </w:rPr>
              <w:t>The system pulls eligible residents from the master schedule and builds editable drafts.</w:t>
            </w:r>
          </w:p>
        </w:tc>
        <w:tc>
          <w:tcPr>
            <w:tcW w:type="dxa" w:w="2340"/>
            <w:shd w:fill="E7F6F3"/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spacing w:before="0" w:after="60" w:line="269" w:lineRule="auto"/>
            </w:pPr>
            <w:r>
              <w:rPr>
                <w:rFonts w:ascii="Aptos" w:hAnsi="Aptos"/>
                <w:b/>
                <w:i w:val="0"/>
                <w:color w:val="269889"/>
                <w:sz w:val="30"/>
              </w:rPr>
              <w:t>4</w:t>
            </w:r>
          </w:p>
          <w:p>
            <w:pPr>
              <w:keepNext w:val="0"/>
              <w:spacing w:before="0" w:after="60" w:line="269" w:lineRule="auto"/>
            </w:pPr>
            <w:r>
              <w:rPr>
                <w:rFonts w:ascii="Aptos" w:hAnsi="Aptos"/>
                <w:b/>
                <w:i w:val="0"/>
                <w:color w:val="26243A"/>
                <w:sz w:val="19"/>
              </w:rPr>
              <w:t>Validate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/>
                <w:b w:val="0"/>
                <w:i w:val="0"/>
                <w:color w:val="676D80"/>
                <w:sz w:val="14"/>
              </w:rPr>
              <w:t>Coverage gaps, clinic conflicts, hours, nights, and fairness are flagged before publishing.</w:t>
            </w:r>
          </w:p>
        </w:tc>
      </w:tr>
    </w:tbl>
    <w:p>
      <w:pPr>
        <w:keepNext/>
        <w:spacing w:before="80"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105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ef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0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9" w:lineRule="auto"/>
        <w:jc w:val="center"/>
      </w:pPr>
      <w:r>
        <w:rPr>
          <w:rFonts w:ascii="Aptos" w:hAnsi="Aptos"/>
          <w:b w:val="0"/>
          <w:i/>
          <w:color w:val="676D80"/>
          <w:sz w:val="15"/>
        </w:rPr>
        <w:t>Chief overview: each block shows configured services, readiness, coverage status, and items requiring attention.</w:t>
      </w:r>
    </w:p>
    <w:p>
      <w:r>
        <w:br w:type="page"/>
      </w:r>
    </w:p>
    <w:p>
      <w:pPr>
        <w:keepNext/>
        <w:spacing w:before="0" w:after="80" w:line="269" w:lineRule="auto"/>
        <w:jc w:val="left"/>
      </w:pPr>
      <w:r>
        <w:rPr>
          <w:rFonts w:ascii="Aptos" w:hAnsi="Aptos"/>
          <w:b/>
          <w:i w:val="0"/>
          <w:caps/>
          <w:color w:val="269889"/>
          <w:sz w:val="17"/>
        </w:rPr>
        <w:t>BUILT FOR CHIEFS</w:t>
      </w:r>
    </w:p>
    <w:p>
      <w:pPr>
        <w:pStyle w:val="Heading1"/>
        <w:keepNext/>
        <w:spacing w:before="160" w:after="160" w:line="252" w:lineRule="auto"/>
      </w:pPr>
      <w:r>
        <w:rPr>
          <w:rFonts w:ascii="Aptos" w:hAnsi="Aptos"/>
          <w:b/>
          <w:i w:val="0"/>
          <w:color w:val="26243A"/>
          <w:sz w:val="40"/>
        </w:rPr>
        <w:t>Generate faster. Edit freely. Publish with confidence.</w:t>
      </w:r>
    </w:p>
    <w:p>
      <w:pPr>
        <w:keepNext w:val="0"/>
        <w:spacing w:before="0" w:after="180" w:line="288" w:lineRule="auto"/>
      </w:pPr>
      <w:r>
        <w:rPr>
          <w:rFonts w:ascii="Aptos" w:hAnsi="Aptos"/>
          <w:b w:val="0"/>
          <w:i w:val="0"/>
          <w:color w:val="222536"/>
          <w:sz w:val="21"/>
        </w:rPr>
        <w:t>Clarity does not lock chiefs into a rigid algorithm. It prepares a rules-aware draft, explains conflicts, and preserves human judgment through an Excel-like editing experience.</w:t>
      </w:r>
    </w:p>
    <w:p>
      <w:pPr>
        <w:keepNext/>
        <w:spacing w:before="80"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4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buil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9" w:lineRule="auto"/>
        <w:jc w:val="center"/>
      </w:pPr>
      <w:r>
        <w:rPr>
          <w:rFonts w:ascii="Aptos" w:hAnsi="Aptos"/>
          <w:b w:val="0"/>
          <w:i/>
          <w:color w:val="676D80"/>
          <w:sz w:val="15"/>
        </w:rPr>
        <w:t>Configurable service builder: add any service, define teams or units, staffing roles, eligible PGY levels, and working-hour templates.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EFECFB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50459B"/>
                <w:sz w:val="21"/>
              </w:rPr>
              <w:t>Program configuration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Choose the academic year, number of blocks, block model, request deadlines, holidays, and protected events.</w:t>
            </w:r>
          </w:p>
        </w:tc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E7F6F3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269889"/>
                <w:sz w:val="21"/>
              </w:rPr>
              <w:t>Service-level rules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Create NICU, PICU, floor teams, consult services, jeopardy, night coverage, or any custom service.</w:t>
            </w:r>
          </w:p>
        </w:tc>
      </w:tr>
      <w:tr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EFECFB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50459B"/>
                <w:sz w:val="21"/>
              </w:rPr>
              <w:t>Master-linked rosters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Automatically pull residents assigned to a service in that block, while allowing call-pool or manual additions.</w:t>
            </w:r>
          </w:p>
        </w:tc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E7F6F3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269889"/>
                <w:sz w:val="21"/>
              </w:rPr>
              <w:t>Editable schedule workspace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Drag, move, copy, and revise assignments while coverage, hours, nights, and fairness recalculate.</w:t>
            </w:r>
          </w:p>
        </w:tc>
      </w:tr>
      <w:tr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FFF4DF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D79A32"/>
                <w:sz w:val="21"/>
              </w:rPr>
              <w:t>Conflict intelligence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Flag clinic overlap, didactics, leave, back-to-back calls, staffing gaps, and end-of-block night conflicts.</w:t>
            </w:r>
          </w:p>
        </w:tc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FFF4DF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D79A32"/>
                <w:sz w:val="21"/>
              </w:rPr>
              <w:t>Readiness and analytics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Track schedules as pending, draft, ready, or published and compare calls, weekends, nights, and work hours.</w:t>
            </w:r>
          </w:p>
        </w:tc>
      </w:tr>
    </w:tbl>
    <w:p>
      <w:r>
        <w:br w:type="page"/>
      </w:r>
    </w:p>
    <w:p>
      <w:pPr>
        <w:keepNext/>
        <w:spacing w:before="0" w:after="80" w:line="269" w:lineRule="auto"/>
        <w:jc w:val="left"/>
      </w:pPr>
      <w:r>
        <w:rPr>
          <w:rFonts w:ascii="Aptos" w:hAnsi="Aptos"/>
          <w:b/>
          <w:i w:val="0"/>
          <w:caps/>
          <w:color w:val="269889"/>
          <w:sz w:val="17"/>
        </w:rPr>
        <w:t>BUILT FOR RESIDENTS</w:t>
      </w:r>
    </w:p>
    <w:p>
      <w:pPr>
        <w:pStyle w:val="Heading1"/>
        <w:keepNext/>
        <w:spacing w:before="160" w:after="160" w:line="252" w:lineRule="auto"/>
      </w:pPr>
      <w:r>
        <w:rPr>
          <w:rFonts w:ascii="Aptos" w:hAnsi="Aptos"/>
          <w:b/>
          <w:i w:val="0"/>
          <w:color w:val="26243A"/>
          <w:sz w:val="40"/>
        </w:rPr>
        <w:t>A clear schedule and a simpler way to request changes</w:t>
      </w:r>
    </w:p>
    <w:p>
      <w:pPr>
        <w:keepNext w:val="0"/>
        <w:spacing w:before="0" w:after="160" w:line="288" w:lineRule="auto"/>
      </w:pPr>
      <w:r>
        <w:rPr>
          <w:rFonts w:ascii="Aptos" w:hAnsi="Aptos"/>
          <w:b w:val="0"/>
          <w:i w:val="0"/>
          <w:color w:val="222536"/>
          <w:sz w:val="21"/>
        </w:rPr>
        <w:t>Residents see only their private annual master schedule, while published service rosters remain visible program-wide. Requests become structured data instead of messages that must be interpreted later.</w:t>
      </w:r>
    </w:p>
    <w:p>
      <w:pPr>
        <w:keepNext/>
        <w:spacing w:before="80"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8326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ent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9" w:lineRule="auto"/>
        <w:jc w:val="center"/>
      </w:pPr>
      <w:r>
        <w:rPr>
          <w:rFonts w:ascii="Aptos" w:hAnsi="Aptos"/>
          <w:b w:val="0"/>
          <w:i/>
          <w:color w:val="676D80"/>
          <w:sz w:val="15"/>
        </w:rPr>
        <w:t>One resident dashboard combines the monthly schedule, calls, golden weekends, clinics, didactics, leave, and expected hours.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EFECFB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50459B"/>
                <w:sz w:val="21"/>
              </w:rPr>
              <w:t>Submit requests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Vacation, PTO, sick leave, weekends, days off, special needs, fellowship timing, and master-schedule preferences.</w:t>
            </w:r>
          </w:p>
        </w:tc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E7F6F3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269889"/>
                <w:sz w:val="21"/>
              </w:rPr>
              <w:t>Understand assignments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See daily work hours, service coverage, call type, post-call time, clinic, didactics, conferences, and exams.</w:t>
            </w:r>
          </w:p>
        </w:tc>
      </w:tr>
      <w:tr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EFECFB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50459B"/>
                <w:sz w:val="21"/>
              </w:rPr>
              <w:t>Call-switch marketplace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Offer an assigned call, list acceptable alternatives, and volunteer for calls offered by peers.</w:t>
            </w:r>
          </w:p>
        </w:tc>
        <w:tc>
          <w:tcPr>
            <w:tcW w:type="dxa" w:w="468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E7F6F3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269889"/>
                <w:sz w:val="21"/>
              </w:rPr>
              <w:t>Instant eligibility checks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The system checks same-day clinic, next-day clinic, duplicate assignments, and back-to-back calls before submission.</w:t>
            </w:r>
          </w:p>
        </w:tc>
      </w:tr>
    </w:tbl>
    <w:p>
      <w:pPr>
        <w:pStyle w:val="Heading2"/>
        <w:keepNext/>
        <w:spacing w:before="160" w:after="100" w:line="252" w:lineRule="auto"/>
      </w:pPr>
      <w:r>
        <w:rPr>
          <w:rFonts w:ascii="Aptos" w:hAnsi="Aptos"/>
          <w:b/>
          <w:i w:val="0"/>
          <w:color w:val="50459B"/>
          <w:sz w:val="28"/>
        </w:rPr>
        <w:t>Three people, one decision trail</w:t>
      </w:r>
    </w:p>
    <w:p>
      <w:pPr>
        <w:keepNext w:val="0"/>
        <w:spacing w:before="0" w:after="100" w:line="269" w:lineRule="auto"/>
      </w:pPr>
      <w:r>
        <w:rPr>
          <w:rFonts w:ascii="Aptos" w:hAnsi="Aptos"/>
          <w:b/>
          <w:i w:val="0"/>
          <w:color w:val="26243A"/>
          <w:sz w:val="20"/>
        </w:rPr>
        <w:t>Offerer -&gt; receiving resident -&gt; chief approval. The chief receives the proposed switch together with the eligibility evidence, so all three parties no longer need to search separate schedules.</w:t>
      </w:r>
    </w:p>
    <w:p>
      <w:pPr>
        <w:keepNext w:val="0"/>
        <w:spacing w:before="0" w:after="0" w:line="269" w:lineRule="auto"/>
      </w:pPr>
      <w:r>
        <w:rPr>
          <w:rFonts w:ascii="Aptos" w:hAnsi="Aptos"/>
          <w:b w:val="0"/>
          <w:i w:val="0"/>
          <w:color w:val="676D80"/>
          <w:sz w:val="19"/>
        </w:rPr>
        <w:t>The original assignment remains unchanged until final approval, protecting schedule integrity and creating a documented review process.</w:t>
      </w:r>
    </w:p>
    <w:p>
      <w:r>
        <w:br w:type="page"/>
      </w:r>
    </w:p>
    <w:p>
      <w:pPr>
        <w:keepNext/>
        <w:spacing w:before="0" w:after="80" w:line="269" w:lineRule="auto"/>
        <w:jc w:val="left"/>
      </w:pPr>
      <w:r>
        <w:rPr>
          <w:rFonts w:ascii="Aptos" w:hAnsi="Aptos"/>
          <w:b/>
          <w:i w:val="0"/>
          <w:caps/>
          <w:color w:val="269889"/>
          <w:sz w:val="17"/>
        </w:rPr>
        <w:t>WHY PROGRAMS CHOOSE THIS APPROACH</w:t>
      </w:r>
    </w:p>
    <w:p>
      <w:pPr>
        <w:pStyle w:val="Heading1"/>
        <w:keepNext/>
        <w:spacing w:before="160" w:after="160" w:line="252" w:lineRule="auto"/>
      </w:pPr>
      <w:r>
        <w:rPr>
          <w:rFonts w:ascii="Aptos" w:hAnsi="Aptos"/>
          <w:b/>
          <w:i w:val="0"/>
          <w:color w:val="26243A"/>
          <w:sz w:val="40"/>
        </w:rPr>
        <w:t>Benefits beyond making the calendar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72"/>
            <w:shd w:fill="50459B"/>
            <w:tcBorders>
              <w:top w:val="single" w:sz="8" w:color="50459B"/>
              <w:left w:val="single" w:sz="8" w:color="50459B"/>
              <w:bottom w:val="single" w:sz="8" w:color="50459B"/>
              <w:right w:val="single" w:sz="8" w:color="5045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Stakeholder</w:t>
            </w:r>
          </w:p>
        </w:tc>
        <w:tc>
          <w:tcPr>
            <w:tcW w:type="dxa" w:w="3744"/>
            <w:shd w:fill="50459B"/>
            <w:tcBorders>
              <w:top w:val="single" w:sz="8" w:color="50459B"/>
              <w:left w:val="single" w:sz="8" w:color="50459B"/>
              <w:bottom w:val="single" w:sz="8" w:color="50459B"/>
              <w:right w:val="single" w:sz="8" w:color="5045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Immediate benefit</w:t>
            </w:r>
          </w:p>
        </w:tc>
        <w:tc>
          <w:tcPr>
            <w:tcW w:type="dxa" w:w="3744"/>
            <w:shd w:fill="50459B"/>
            <w:tcBorders>
              <w:top w:val="single" w:sz="8" w:color="50459B"/>
              <w:left w:val="single" w:sz="8" w:color="50459B"/>
              <w:bottom w:val="single" w:sz="8" w:color="50459B"/>
              <w:right w:val="single" w:sz="8" w:color="5045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Program-level impact</w:t>
            </w:r>
          </w:p>
        </w:tc>
      </w:tr>
      <w:tr>
        <w:tc>
          <w:tcPr>
            <w:tcW w:type="dxa" w:w="1872"/>
            <w:shd w:fill="EFECFB"/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26243A"/>
                <w:sz w:val="16"/>
              </w:rPr>
              <w:t>Chiefs</w:t>
            </w:r>
          </w:p>
        </w:tc>
        <w:tc>
          <w:tcPr>
            <w:tcW w:type="dxa" w:w="3744"/>
            <w:shd w:fill="FAFAFD"/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6"/>
              </w:rPr>
              <w:t>Less manual reconciliation; faster drafting; clear conflicts and fairness summaries.</w:t>
            </w:r>
          </w:p>
        </w:tc>
        <w:tc>
          <w:tcPr>
            <w:tcW w:type="dxa" w:w="3744"/>
            <w:shd w:fill="FAFAFD"/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6"/>
              </w:rPr>
              <w:t>More time for education, resident support, and higher-value leadership work.</w:t>
            </w:r>
          </w:p>
        </w:tc>
      </w:tr>
      <w:tr>
        <w:tc>
          <w:tcPr>
            <w:tcW w:type="dxa" w:w="1872"/>
            <w:shd w:fill="EFECFB"/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26243A"/>
                <w:sz w:val="16"/>
              </w:rPr>
              <w:t>Residents</w:t>
            </w:r>
          </w:p>
        </w:tc>
        <w:tc>
          <w:tcPr>
            <w:tcW w:type="dxa" w:w="3744"/>
            <w:shd w:fill="FAFAFD"/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6"/>
              </w:rPr>
              <w:t>Transparent assignments, easier requests, private master schedules, and safer call switches.</w:t>
            </w:r>
          </w:p>
        </w:tc>
        <w:tc>
          <w:tcPr>
            <w:tcW w:type="dxa" w:w="3744"/>
            <w:shd w:fill="FAFAFD"/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6"/>
              </w:rPr>
              <w:t>Improved trust, predictability, communication, and perceived fairness.</w:t>
            </w:r>
          </w:p>
        </w:tc>
      </w:tr>
      <w:tr>
        <w:tc>
          <w:tcPr>
            <w:tcW w:type="dxa" w:w="1872"/>
            <w:shd w:fill="EFECFB"/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26243A"/>
                <w:sz w:val="16"/>
              </w:rPr>
              <w:t>Department</w:t>
            </w:r>
          </w:p>
        </w:tc>
        <w:tc>
          <w:tcPr>
            <w:tcW w:type="dxa" w:w="3744"/>
            <w:shd w:fill="FAFAFD"/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6"/>
              </w:rPr>
              <w:t>Consistent rules, documented approvals, readiness tracking, and exportable schedules.</w:t>
            </w:r>
          </w:p>
        </w:tc>
        <w:tc>
          <w:tcPr>
            <w:tcW w:type="dxa" w:w="3744"/>
            <w:shd w:fill="FAFAFD"/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6"/>
              </w:rPr>
              <w:t>Better operational resilience, auditability, coverage awareness, and continuity.</w:t>
            </w:r>
          </w:p>
        </w:tc>
      </w:tr>
    </w:tbl>
    <w:p>
      <w:pPr>
        <w:pStyle w:val="Heading2"/>
        <w:keepNext/>
        <w:spacing w:before="160" w:after="100" w:line="252" w:lineRule="auto"/>
      </w:pPr>
      <w:r>
        <w:rPr>
          <w:rFonts w:ascii="Aptos" w:hAnsi="Aptos"/>
          <w:b/>
          <w:i w:val="0"/>
          <w:color w:val="50459B"/>
          <w:sz w:val="28"/>
        </w:rPr>
        <w:t>What makes Clarity different</w:t>
      </w:r>
    </w:p>
    <w:p>
      <w:pPr>
        <w:pStyle w:val="ListBullet"/>
        <w:keepNext w:val="0"/>
        <w:spacing w:before="0" w:after="80" w:line="269" w:lineRule="auto"/>
      </w:pPr>
      <w:r>
        <w:rPr>
          <w:rFonts w:ascii="Aptos" w:hAnsi="Aptos"/>
          <w:b w:val="0"/>
          <w:i w:val="0"/>
          <w:color w:val="222536"/>
          <w:sz w:val="19"/>
        </w:rPr>
        <w:t>Flexible by institution, specialty, service, unit, PGY level, shift type, and block structure.</w:t>
      </w:r>
    </w:p>
    <w:p>
      <w:pPr>
        <w:pStyle w:val="ListBullet"/>
        <w:keepNext w:val="0"/>
        <w:spacing w:before="0" w:after="80" w:line="269" w:lineRule="auto"/>
      </w:pPr>
      <w:r>
        <w:rPr>
          <w:rFonts w:ascii="Aptos" w:hAnsi="Aptos"/>
          <w:b w:val="0"/>
          <w:i w:val="0"/>
          <w:color w:val="222536"/>
          <w:sz w:val="19"/>
        </w:rPr>
        <w:t>Human-in-the-loop: the system recommends and validates; chiefs retain final control.</w:t>
      </w:r>
    </w:p>
    <w:p>
      <w:pPr>
        <w:pStyle w:val="ListBullet"/>
        <w:keepNext w:val="0"/>
        <w:spacing w:before="0" w:after="80" w:line="269" w:lineRule="auto"/>
      </w:pPr>
      <w:r>
        <w:rPr>
          <w:rFonts w:ascii="Aptos" w:hAnsi="Aptos"/>
          <w:b w:val="0"/>
          <w:i w:val="0"/>
          <w:color w:val="222536"/>
          <w:sz w:val="19"/>
        </w:rPr>
        <w:t>Rules are entered once and reused, while block-specific exceptions remain editable.</w:t>
      </w:r>
    </w:p>
    <w:p>
      <w:pPr>
        <w:pStyle w:val="ListBullet"/>
        <w:keepNext w:val="0"/>
        <w:spacing w:before="0" w:after="80" w:line="269" w:lineRule="auto"/>
      </w:pPr>
      <w:r>
        <w:rPr>
          <w:rFonts w:ascii="Aptos" w:hAnsi="Aptos"/>
          <w:b w:val="0"/>
          <w:i w:val="0"/>
          <w:color w:val="222536"/>
          <w:sz w:val="19"/>
        </w:rPr>
        <w:t>Master schedule, monthly service schedules, resident requests, analytics, and approvals stay linked.</w:t>
      </w:r>
    </w:p>
    <w:p>
      <w:pPr>
        <w:pStyle w:val="ListBullet"/>
        <w:keepNext w:val="0"/>
        <w:spacing w:before="0" w:after="80" w:line="269" w:lineRule="auto"/>
      </w:pPr>
      <w:r>
        <w:rPr>
          <w:rFonts w:ascii="Aptos" w:hAnsi="Aptos"/>
          <w:b w:val="0"/>
          <w:i w:val="0"/>
          <w:color w:val="222536"/>
          <w:sz w:val="19"/>
        </w:rPr>
        <w:t>Designed around real residency workflows rather than generic employee shift scheduling.</w:t>
      </w:r>
    </w:p>
    <w:p>
      <w:pPr>
        <w:pStyle w:val="Heading2"/>
        <w:keepNext/>
        <w:spacing w:before="160" w:after="100" w:line="252" w:lineRule="auto"/>
      </w:pPr>
      <w:r>
        <w:rPr>
          <w:rFonts w:ascii="Aptos" w:hAnsi="Aptos"/>
          <w:b/>
          <w:i w:val="0"/>
          <w:color w:val="50459B"/>
          <w:sz w:val="28"/>
        </w:rPr>
        <w:t>A practical pilot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EFECFB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50459B"/>
                <w:sz w:val="21"/>
              </w:rPr>
              <w:t>Phase 1 | Configure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Load one academic year, resident profiles, institution patterns, and two representative services.</w:t>
            </w:r>
          </w:p>
        </w:tc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E7F6F3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269889"/>
                <w:sz w:val="21"/>
              </w:rPr>
              <w:t>Phase 2 | Parallel test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Generate one block beside the current process and compare coverage, conflicts, fairness, and editing time.</w:t>
            </w:r>
          </w:p>
        </w:tc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color="E3E4EA"/>
              <w:left w:val="single" w:sz="8" w:color="E3E4EA"/>
              <w:bottom w:val="single" w:sz="8" w:color="E3E4EA"/>
              <w:right w:val="single" w:sz="8" w:color="E3E4EA"/>
            </w:tcBorders>
            <w:shd w:fill="FFF4DF"/>
          </w:tcPr>
          <w:p>
            <w:pPr>
              <w:keepNext/>
              <w:spacing w:before="0" w:after="80" w:line="269" w:lineRule="auto"/>
            </w:pPr>
            <w:r>
              <w:rPr>
                <w:rFonts w:ascii="Aptos" w:hAnsi="Aptos"/>
                <w:b/>
                <w:i w:val="0"/>
                <w:color w:val="D79A32"/>
                <w:sz w:val="21"/>
              </w:rPr>
              <w:t>Phase 3 | Evaluate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22536"/>
                <w:sz w:val="17"/>
              </w:rPr>
              <w:t>Collect chief and resident feedback, refine rules, then decide whether to expand program-wide.</w:t>
            </w:r>
          </w:p>
        </w:tc>
      </w:tr>
    </w:tbl>
    <w:p>
      <w:pPr>
        <w:keepNext w:val="0"/>
        <w:spacing w:before="300" w:after="80" w:line="288" w:lineRule="auto"/>
        <w:jc w:val="center"/>
      </w:pPr>
      <w:r>
        <w:rPr>
          <w:rFonts w:ascii="Aptos" w:hAnsi="Aptos"/>
          <w:b/>
          <w:i w:val="0"/>
          <w:color w:val="26243A"/>
          <w:sz w:val="26"/>
        </w:rPr>
        <w:t>The goal is simple: transform residency scheduling from a recurring manual project into a transparent, reusable, and safer program workflow.</w:t>
      </w:r>
    </w:p>
    <w:p>
      <w:pPr>
        <w:keepNext w:val="0"/>
        <w:spacing w:before="0" w:after="0" w:line="269" w:lineRule="auto"/>
        <w:jc w:val="center"/>
      </w:pPr>
      <w:r>
        <w:rPr>
          <w:rFonts w:ascii="Aptos" w:hAnsi="Aptos"/>
          <w:b w:val="0"/>
          <w:i w:val="0"/>
          <w:color w:val="676D80"/>
          <w:sz w:val="17"/>
        </w:rPr>
        <w:t>Concept developed by Abdullah Abu Aqoulah  |  Clarity Schedule</w:t>
      </w:r>
    </w:p>
    <w:sectPr w:rsidR="00FC693F" w:rsidRPr="0006063C" w:rsidSect="00034616">
      <w:footerReference w:type="default" r:id="rId9"/>
      <w:pgSz w:w="12240" w:h="15840"/>
      <w:pgMar w:top="1037" w:right="1440" w:bottom="979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9" w:lineRule="auto"/>
      <w:jc w:val="left"/>
    </w:pPr>
    <w:r>
      <w:rPr>
        <w:rFonts w:ascii="Aptos" w:hAnsi="Aptos"/>
        <w:b/>
        <w:i w:val="0"/>
        <w:color w:val="676D80"/>
        <w:sz w:val="15"/>
      </w:rPr>
      <w:t>CLARITY SCHEDULE  |  PROGRAM CONCEPT</w:t>
    </w:r>
  </w:p>
  <w:p>
    <w:pPr>
      <w:jc w:val="right"/>
    </w:pPr>
    <w:r>
      <w:rPr>
        <w:rFonts w:ascii="Aptos" w:hAnsi="Aptos"/>
        <w:b w:val="0"/>
        <w:i w:val="0"/>
        <w:color w:val="676D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5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624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0459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624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Clarity Schedule - Program Director Brochure</dc:title>
  <dc:subject>Residency scheduling platform concept</dc:subject>
  <dc:creator>Abdullah Abu Aqoulah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