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spacing ns0:before="0" ns0:after="120"/>
        <ns0:jc ns0:val="center"/>
      </ns0:pPr>
      <ns0:r>
        <ns0:rPr>
          <ns0:rFonts ns0:ascii="Microsoft YaHei" ns0:hAnsi="Microsoft YaHei" ns0:eastAsia="Microsoft YaHei"/>
          <ns0:b/>
          <ns0:color ns0:val="000000"/>
          <ns0:sz ns0:val="36"/>
        </ns0:rPr>
        <ns0:t>第3周周报</ns0:t>
      </ns0:r>
    </ns0:p>
    <ns0:p>
      <ns0:pPr>
        <ns0:spacing ns0:before="0" ns0:after="240"/>
        <ns0:jc ns0:val="center"/>
      </ns0:pPr>
      <ns0:r>
        <ns0:rPr>
          <ns0:rFonts ns0:ascii="Microsoft YaHei" ns0:hAnsi="Microsoft YaHei" ns0:eastAsia="Microsoft YaHei"/>
          <ns0:b ns0:val="0"/>
          <ns0:color ns0:val="000000"/>
          <ns0:sz ns0:val="20"/>
        </ns0:rPr>
        <ns0:t>学号：2412096    姓名：王麒萱    周次：第3周</ns0:t>
      </ns0:r>
    </ns0:p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一、 本周工作情况</ns0:t>
      </ns0:r>
    </ns0:p>
    <ns0:tbl>
      <ns0:tblPr>
        <ns0:tblStyle ns0:val="TableGrid"/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</ns0:tblPr>
      <ns0:tblGrid>
        <ns0:gridCol ns0:w="3120"/>
        <ns0:gridCol ns0:w="3120"/>
        <ns0:gridCol ns0:w="3120"/>
      </ns0:tblGrid>
      <ns0:tr>
        <ns0:tc>
          <ns0:tcPr>
            <ns0:tcW ns0:type="dxa" ns0:w="295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</ns0:t>
            </ns0:r>
          </ns0:p>
        </ns0:tc>
        <ns0:tc>
          <ns0:tcPr>
            <ns0:tcW ns0:type="dxa" ns0:w="105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完成情况</ns0:t>
            </ns0:r>
          </ns0:p>
        </ns0:tc>
        <ns0:tc>
          <ns0:tcPr>
            <ns0:tcW ns0:type="dxa" ns0:w="53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计划与实际偏差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 1 万类物种分类数据结构和物种资料能力建设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按计划建立 taxa 分类表及分类层级结构，补充同义名、相似物种、开放许可参考图和生态分类信息，便于识别结果关联物种资料。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 iNaturalist 数据下载、准备与分阶段训练脚本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 mini 与完整数据下载脚本、100 类冒烟训练、1000 类验证和 10000 类训练的阶段化流程，降低大规模训练的执行风险。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完成分类模型训练辅助能力和评估流程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补充层级分类头、Top-1 与 Top-5 指标、断点续训、未知类别阈值和模型卡生成入口，使训练结果具备可追溯性。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 ONNX 导出、本地模型加载与融合识别链路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实现检测、裁剪、细粒度分类、候选结果融合和 AI 解释的识别闭环；当本地模型结果不足时可保留回退与补充信息能力。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补充数据集与模型相关校验脚本、测试和部署说明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增加数据集校验、模型资产检查、本地识别验证、双引擎验证等脚本，并在项目状态文档中明确真实模型训练尚需在目标硬件完成。</ns0:t>
            </ns0:r>
          </ns0:p>
        </ns0:tc>
      </ns0:tr>
    </ns0:tbl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二、 工作难度（问题）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大规模物种数据集的下载、清洗和训练需要较长时间及较高算力，无法仅依赖开发环境完成真实 1 万类权重训练。因此将流程拆分为小样本验证、分阶段训练和断点续训，先保证训练链路可执行。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检测模型与细粒度分类模型的输出粒度不同，直接拼接结果容易造成类别名称不一致或置信度判断不稳定。针对该问题，增加分类名称处理、候选结果融合和未知阈值控制。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本地模型、外部模型服务和 AI 解释服务的可用性不一致，需要保证任一能力不可用时页面仍能给出清晰结果或提示。通过配置开关、回退逻辑和错误状态返回减少用户侧的不确定性。</ns0:t>
      </ns0:r>
    </ns0:p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三、 下周工作计划</ns0:t>
      </ns0:r>
    </ns0:p>
    <ns0:tbl>
      <ns0:tblPr>
        <ns0:tblStyle ns0:val="TableGrid"/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</ns0:tblPr>
      <ns0:tblGrid>
        <ns0:gridCol ns0:w="3120"/>
        <ns0:gridCol ns0:w="3120"/>
        <ns0:gridCol ns0:w="3120"/>
      </ns0:tblGrid>
      <ns0:tr>
        <ns0:tc>
          <ns0:tcPr>
            <ns0:tcW ns0:type="dxa" ns0:w="56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</ns0:t>
            </ns0:r>
          </ns0:p>
        </ns0:tc>
        <ns0:tc>
          <ns0:tcPr>
            <ns0:tcW ns0:type="dxa" ns0:w="2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计划时间</ns0:t>
            </ns0:r>
          </ns0:p>
        </ns0:tc>
        <ns0:tc>
          <ns0:tcPr>
            <ns0:tcW ns0:type="dxa" ns0:w="12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工作日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优化本地 BioCLIP 模型加载和图片识别速度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下周一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联调 YOLO 检测结果与细粒度分类结果的页面呈现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下周二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完善物种中文名、学名、分类名称和结果说明展示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下周三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补充演示用观察记录、图鉴和主动学习示例数据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下周四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执行接口测试和识别融合测试，整理问题清单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下周五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</ns0:tbl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四、 预计风险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真实模型训练、模型权重生成和指标计算受本地 GPU、磁盘空间、网络下载和训练时长影响，需预留较长验证周期。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不同模型对类别名称、置信度和输入尺寸的要求不同，融合逻辑在真实数据下可能仍需进行阈值调优。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外部模型或 AI 服务的密钥、网络和额度会影响解释功能的稳定性，需要保留本地结果和失败提示。</ns0:t>
      </ns0:r>
    </ns0:p>
    <ns0:sectPr ns0:rsidR="00FC693F" ns0:rsidRPr="0006063C" ns0:rsidSect="00034616">
      <ns0:pgSz ns0:w="12240" ns0:h="15840"/>
      <ns0:pgMar ns0:top="1152" ns0:right="1440" ns0:bottom="1152" ns0:left="1440" ns0:header="706" ns0:footer="706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rFonts ns0:ascii="Microsoft YaHei" ns0:hAnsi="Microsoft YaHei" ns0:eastAsia="Microsoft YaHei"/>
      <ns0:color ns0:val="000000"/>
      <ns0:sz ns0:val="21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000000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000000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000000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000000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000000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000000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000000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000000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000000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000000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000000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000000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000000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000000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000000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000000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