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jc w:val="center"/>
      </w:pPr>
      <w:r>
        <w:rPr>
          <w:rFonts w:ascii="Aptos" w:hAnsi="Aptos" w:eastAsia="Microsoft YaHei"/>
          <w:b/>
          <w:color w:val="315CFF"/>
          <w:sz w:val="34"/>
        </w:rPr>
        <w:t>个人作业2</w:t>
      </w:r>
    </w:p>
    <w:p>
      <w:pPr>
        <w:spacing w:after="240"/>
        <w:jc w:val="center"/>
      </w:pPr>
      <w:r>
        <w:rPr>
          <w:rFonts w:ascii="Aptos" w:hAnsi="Aptos" w:eastAsia="Microsoft YaHei"/>
          <w:b/>
          <w:color w:val="000000"/>
          <w:sz w:val="60"/>
        </w:rPr>
        <w:t>Axure Web 前端设计</w:t>
      </w:r>
    </w:p>
    <w:p>
      <w:pPr>
        <w:jc w:val="center"/>
      </w:pPr>
      <w:r>
        <w:rPr>
          <w:rFonts w:ascii="Aptos" w:hAnsi="Aptos" w:eastAsia="Microsoft YaHei"/>
          <w:color w:val="1E315B"/>
          <w:sz w:val="28"/>
        </w:rPr>
        <w:t>2026 世界杯赛事中控台 · 高保真交互原型</w:t>
      </w:r>
    </w:p>
    <w:p>
      <w:pPr>
        <w:spacing w:after="36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84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d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 w:eastAsia="Microsoft YaHei"/>
          <w:i/>
          <w:color w:val="526084"/>
          <w:sz w:val="17"/>
        </w:rPr>
        <w:t>原型首页深色状态（与项目主页视觉语言一致）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</w:tcPr>
          <w:p>
            <w:r>
              <w:rPr>
                <w:rFonts w:ascii="Aptos" w:hAnsi="Aptos" w:eastAsia="Microsoft YaHei"/>
                <w:b/>
                <w:sz w:val="20"/>
              </w:rPr>
              <w:t>课程名称</w:t>
            </w:r>
          </w:p>
        </w:tc>
        <w:tc>
          <w:tcPr>
            <w:tcW w:type="dxa" w:w="4933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</w:tcPr>
          <w:p>
            <w:r>
              <w:rPr>
                <w:rFonts w:ascii="Aptos" w:hAnsi="Aptos" w:eastAsia="Microsoft YaHei"/>
                <w:sz w:val="20"/>
              </w:rPr>
              <w:t>互联网数据库</w:t>
            </w:r>
          </w:p>
        </w:tc>
      </w:tr>
      <w:tr>
        <w:tc>
          <w:tcPr>
            <w:tcW w:type="dxa" w:w="4933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</w:tcPr>
          <w:p>
            <w:r>
              <w:rPr>
                <w:rFonts w:ascii="Aptos" w:hAnsi="Aptos" w:eastAsia="Microsoft YaHei"/>
                <w:b/>
                <w:sz w:val="20"/>
              </w:rPr>
              <w:t>设计工具</w:t>
            </w:r>
          </w:p>
        </w:tc>
        <w:tc>
          <w:tcPr>
            <w:tcW w:type="dxa" w:w="4933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</w:tcPr>
          <w:p>
            <w:r>
              <w:rPr>
                <w:rFonts w:ascii="Aptos" w:hAnsi="Aptos" w:eastAsia="Microsoft YaHei"/>
                <w:sz w:val="20"/>
              </w:rPr>
              <w:t>Axure RP 11</w:t>
            </w:r>
          </w:p>
        </w:tc>
      </w:tr>
      <w:tr>
        <w:tc>
          <w:tcPr>
            <w:tcW w:type="dxa" w:w="4933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</w:tcPr>
          <w:p>
            <w:r>
              <w:rPr>
                <w:rFonts w:ascii="Aptos" w:hAnsi="Aptos" w:eastAsia="Microsoft YaHei"/>
                <w:b/>
                <w:sz w:val="20"/>
              </w:rPr>
              <w:t>学号</w:t>
            </w:r>
          </w:p>
        </w:tc>
        <w:tc>
          <w:tcPr>
            <w:tcW w:type="dxa" w:w="4933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</w:tcPr>
          <w:p>
            <w:r>
              <w:rPr>
                <w:rFonts w:ascii="Aptos" w:hAnsi="Aptos" w:eastAsia="Microsoft YaHei"/>
                <w:sz w:val="20"/>
              </w:rPr>
              <w:t>请填写</w:t>
            </w:r>
          </w:p>
        </w:tc>
      </w:tr>
      <w:tr>
        <w:tc>
          <w:tcPr>
            <w:tcW w:type="dxa" w:w="4933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</w:tcPr>
          <w:p>
            <w:r>
              <w:rPr>
                <w:rFonts w:ascii="Aptos" w:hAnsi="Aptos" w:eastAsia="Microsoft YaHei"/>
                <w:b/>
                <w:sz w:val="20"/>
              </w:rPr>
              <w:t>姓名</w:t>
            </w:r>
          </w:p>
        </w:tc>
        <w:tc>
          <w:tcPr>
            <w:tcW w:type="dxa" w:w="4933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</w:tcPr>
          <w:p>
            <w:r>
              <w:rPr>
                <w:rFonts w:ascii="Aptos" w:hAnsi="Aptos" w:eastAsia="Microsoft YaHei"/>
                <w:sz w:val="20"/>
              </w:rPr>
              <w:t>请填写</w:t>
            </w:r>
          </w:p>
        </w:tc>
      </w:tr>
    </w:tbl>
    <w:p>
      <w:pPr>
        <w:spacing w:before="280"/>
        <w:jc w:val="center"/>
      </w:pPr>
      <w:r>
        <w:rPr>
          <w:rFonts w:ascii="Aptos" w:hAnsi="Aptos" w:eastAsia="Microsoft YaHei"/>
          <w:color w:val="526084"/>
          <w:sz w:val="19"/>
        </w:rPr>
        <w:t>提交文件名：作业2(学号_姓名).zip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Aptos" w:hAnsi="Aptos" w:eastAsia="Microsoft YaHei"/>
          <w:color w:val="000000"/>
        </w:rPr>
        <w:t>1  作业要求与完成说明</w:t>
      </w:r>
    </w:p>
    <w:p>
      <w:pPr>
        <w:spacing w:after="100" w:line="324" w:lineRule="auto"/>
        <w:ind w:firstLine="420"/>
      </w:pPr>
      <w:r>
        <w:rPr>
          <w:rFonts w:ascii="Aptos" w:hAnsi="Aptos" w:eastAsia="Microsoft YaHei"/>
          <w:b w:val="0"/>
          <w:sz w:val="21"/>
        </w:rPr>
        <w:t>本作业严格对应教师给出的三项要求：使用 Axure 等软件设计页面；为团队选取一套前台与后台模板；形成独立文档并按指定规则打包提交。课程作业材料与项目业务网站相互独立，不在网站导航或页面中展示。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教师要求</w:t>
            </w:r>
          </w:p>
        </w:tc>
        <w:tc>
          <w:tcPr>
            <w:tcW w:type="dxa" w:w="3289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本次完成内容</w:t>
            </w:r>
          </w:p>
        </w:tc>
        <w:tc>
          <w:tcPr>
            <w:tcW w:type="dxa" w:w="3289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证据位置</w:t>
            </w:r>
          </w:p>
        </w:tc>
      </w:tr>
      <w:tr>
        <w:tc>
          <w:tcPr>
            <w:tcW w:type="dxa" w:w="2381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使用 Axure 设计某个页面</w:t>
            </w:r>
          </w:p>
        </w:tc>
        <w:tc>
          <w:tcPr>
            <w:tcW w:type="dxa" w:w="4649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完成世界杯赛事中控台首页的桌面、平板/窄屏与移动端高保真方案</w:t>
            </w:r>
          </w:p>
        </w:tc>
        <w:tc>
          <w:tcPr>
            <w:tcW w:type="dxa" w:w="2324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第 4—8 节；原型目录</w:t>
            </w:r>
          </w:p>
        </w:tc>
      </w:tr>
      <w:tr>
        <w:tc>
          <w:tcPr>
            <w:tcW w:type="dxa" w:w="2381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选取前台及后台模板</w:t>
            </w:r>
          </w:p>
        </w:tc>
        <w:tc>
          <w:tcPr>
            <w:tcW w:type="dxa" w:w="4649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前台采用项目自有世界杯数据中控台风格；后台采用 Yii2 数据管理控制台</w:t>
            </w:r>
          </w:p>
        </w:tc>
        <w:tc>
          <w:tcPr>
            <w:tcW w:type="dxa" w:w="2324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第 9 节</w:t>
            </w:r>
          </w:p>
        </w:tc>
      </w:tr>
      <w:tr>
        <w:tc>
          <w:tcPr>
            <w:tcW w:type="dxa" w:w="2381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提交文档</w:t>
            </w:r>
          </w:p>
        </w:tc>
        <w:tc>
          <w:tcPr>
            <w:tcW w:type="dxa" w:w="4649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形成设计报告、交互参考原型、组件与交互规格表、压缩包</w:t>
            </w:r>
          </w:p>
        </w:tc>
        <w:tc>
          <w:tcPr>
            <w:tcW w:type="dxa" w:w="2324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第 10 节；提交目录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/>
      </w:pPr>
      <w:r>
        <w:rPr>
          <w:rFonts w:ascii="Aptos" w:hAnsi="Aptos" w:eastAsia="Microsoft YaHei"/>
          <w:color w:val="1E315B"/>
        </w:rPr>
        <w:t>1.1  交付清单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sz w:val="20"/>
        </w:rPr>
        <w:t>作业2(学号_姓名)_Axure前端设计.docx：完整设计过程与验收证据。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sz w:val="20"/>
        </w:rPr>
        <w:t>prototype/index.html：无需服务器即可打开的高保真交互参照，用于对照 Axure 成品。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sz w:val="20"/>
        </w:rPr>
        <w:t>axure-widget-spec.csv：组件命名、类型、尺寸、视觉和交互规格。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sz w:val="20"/>
        </w:rPr>
        <w:t>axure-interaction-spec.csv：事件、条件、动作、动效与预期结果。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sz w:val="20"/>
        </w:rPr>
        <w:t>个人作业2_Axure页面结构与交互说明.md：Axure RP 11 逐步操作手册。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sz w:val="20"/>
        </w:rPr>
        <w:t>个人作业2_前台后台模板选型.md：模板选型和理由。</w:t>
      </w:r>
    </w:p>
    <w:p>
      <w:pPr>
        <w:pStyle w:val="Heading2"/>
        <w:keepNext/>
        <w:spacing w:before="100" w:after="100"/>
      </w:pPr>
      <w:r>
        <w:rPr>
          <w:rFonts w:ascii="Aptos" w:hAnsi="Aptos" w:eastAsia="Microsoft YaHei"/>
          <w:color w:val="1E315B"/>
        </w:rPr>
        <w:t>1.2  完成边界</w:t>
      </w:r>
    </w:p>
    <w:p>
      <w:pPr>
        <w:spacing w:after="100" w:line="324" w:lineRule="auto"/>
        <w:ind w:firstLine="420"/>
      </w:pPr>
      <w:r>
        <w:rPr>
          <w:rFonts w:ascii="Aptos" w:hAnsi="Aptos" w:eastAsia="Microsoft YaHei"/>
          <w:b w:val="0"/>
          <w:sz w:val="21"/>
        </w:rPr>
        <w:t>本次个人作业只包含设计过程和提交材料，不向生产数据库写入任何数据，也不修改网站业务页面。原型使用与主页一致的数据语义，确保展示时能说明它来自同一个项目。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Aptos" w:hAnsi="Aptos" w:eastAsia="Microsoft YaHei"/>
          <w:color w:val="000000"/>
        </w:rPr>
        <w:t>2  软件环境与创建流程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33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配置</w:t>
            </w:r>
          </w:p>
        </w:tc>
      </w:tr>
      <w:tr>
        <w:tc>
          <w:tcPr>
            <w:tcW w:type="dxa" w:w="2268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设计软件</w:t>
            </w:r>
          </w:p>
        </w:tc>
        <w:tc>
          <w:tcPr>
            <w:tcW w:type="dxa" w:w="7087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Axure RP 11（Windows）</w:t>
            </w:r>
          </w:p>
        </w:tc>
      </w:tr>
      <w:tr>
        <w:tc>
          <w:tcPr>
            <w:tcW w:type="dxa" w:w="2268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参考页面</w:t>
            </w:r>
          </w:p>
        </w:tc>
        <w:tc>
          <w:tcPr>
            <w:tcW w:type="dxa" w:w="7087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本地项目主页 http://127.0.0.1:8080/</w:t>
            </w:r>
          </w:p>
        </w:tc>
      </w:tr>
      <w:tr>
        <w:tc>
          <w:tcPr>
            <w:tcW w:type="dxa" w:w="2268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画布宽度</w:t>
            </w:r>
          </w:p>
        </w:tc>
        <w:tc>
          <w:tcPr>
            <w:tcW w:type="dxa" w:w="7087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Desktop 1440；Tablet 1024；Mobile 390</w:t>
            </w:r>
          </w:p>
        </w:tc>
      </w:tr>
      <w:tr>
        <w:tc>
          <w:tcPr>
            <w:tcW w:type="dxa" w:w="2268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字体</w:t>
            </w:r>
          </w:p>
        </w:tc>
        <w:tc>
          <w:tcPr>
            <w:tcW w:type="dxa" w:w="7087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Microsoft YaHei / PingFang SC；英文 Aptos</w:t>
            </w:r>
          </w:p>
        </w:tc>
      </w:tr>
      <w:tr>
        <w:tc>
          <w:tcPr>
            <w:tcW w:type="dxa" w:w="2268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输出方式</w:t>
            </w:r>
          </w:p>
        </w:tc>
        <w:tc>
          <w:tcPr>
            <w:tcW w:type="dxa" w:w="7087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Axure Preview + Publish → Generate HTML Files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/>
      </w:pPr>
      <w:r>
        <w:rPr>
          <w:rFonts w:ascii="Aptos" w:hAnsi="Aptos" w:eastAsia="Microsoft YaHei"/>
          <w:color w:val="1E315B"/>
        </w:rPr>
        <w:t>2.1  新建 Axure 文件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1.  打开 Axure RP 11，选择 New File，新建空白项目。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2.  在 Pages 面板建立 00_DesignSystem、01_Home_Desktop、02_Home_Tablet、03_Home_Mobile、90_Interactions 五个页面。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3.  将 01_Home_Desktop 的页面尺寸设为 1440 × 2200，关闭默认网格吸附后重新启用 8 px 网格。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4.  在 Adaptive Views 新建 Tablet（1024）与 Mobile（390），设置向下继承并逐级调整布局。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5.  保存为“作业2_世界杯赛事中控台.rp”，后续每完成一个模块即保存一次版本。</w:t>
      </w:r>
    </w:p>
    <w:p>
      <w:pPr>
        <w:pStyle w:val="Heading2"/>
        <w:keepNext/>
        <w:spacing w:before="100" w:after="100"/>
      </w:pPr>
      <w:r>
        <w:rPr>
          <w:rFonts w:ascii="Aptos" w:hAnsi="Aptos" w:eastAsia="Microsoft YaHei"/>
          <w:color w:val="1E315B"/>
        </w:rPr>
        <w:t>2.2  推荐文件结构</w:t>
      </w:r>
    </w:p>
    <w:p>
      <w:pPr>
        <w:spacing w:after="20"/>
        <w:ind w:left="397"/>
      </w:pPr>
      <w:r>
        <w:rPr>
          <w:rFonts w:ascii="Consolas" w:hAnsi="Consolas"/>
          <w:color w:val="1E315B"/>
          <w:sz w:val="18"/>
        </w:rPr>
        <w:t>作业2(学号_姓名)/</w:t>
      </w:r>
    </w:p>
    <w:p>
      <w:pPr>
        <w:spacing w:after="20"/>
        <w:ind w:left="397"/>
      </w:pPr>
      <w:r>
        <w:rPr>
          <w:rFonts w:ascii="Consolas" w:hAnsi="Consolas"/>
          <w:color w:val="1E315B"/>
          <w:sz w:val="18"/>
        </w:rPr>
        <w:t>├─ 作业2_世界杯赛事中控台.rp</w:t>
      </w:r>
    </w:p>
    <w:p>
      <w:pPr>
        <w:spacing w:after="20"/>
        <w:ind w:left="397"/>
      </w:pPr>
      <w:r>
        <w:rPr>
          <w:rFonts w:ascii="Consolas" w:hAnsi="Consolas"/>
          <w:color w:val="1E315B"/>
          <w:sz w:val="18"/>
        </w:rPr>
        <w:t>├─ 作业2(学号_姓名)_Axure前端设计.docx</w:t>
      </w:r>
    </w:p>
    <w:p>
      <w:pPr>
        <w:spacing w:after="20"/>
        <w:ind w:left="397"/>
      </w:pPr>
      <w:r>
        <w:rPr>
          <w:rFonts w:ascii="Consolas" w:hAnsi="Consolas"/>
          <w:color w:val="1E315B"/>
          <w:sz w:val="18"/>
        </w:rPr>
        <w:t>├─ prototype/</w:t>
      </w:r>
    </w:p>
    <w:p>
      <w:pPr>
        <w:spacing w:after="20"/>
        <w:ind w:left="397"/>
      </w:pPr>
      <w:r>
        <w:rPr>
          <w:rFonts w:ascii="Consolas" w:hAnsi="Consolas"/>
          <w:color w:val="1E315B"/>
          <w:sz w:val="18"/>
        </w:rPr>
        <w:t>├─ axure-widget-spec.csv</w:t>
      </w:r>
    </w:p>
    <w:p>
      <w:pPr>
        <w:spacing w:after="20"/>
        <w:ind w:left="397"/>
      </w:pPr>
      <w:r>
        <w:rPr>
          <w:rFonts w:ascii="Consolas" w:hAnsi="Consolas"/>
          <w:color w:val="1E315B"/>
          <w:sz w:val="18"/>
        </w:rPr>
        <w:t>└─ axure-interaction-spec.csv</w:t>
      </w:r>
    </w:p>
    <w:p>
      <w:pPr>
        <w:spacing w:after="100" w:line="324" w:lineRule="auto"/>
      </w:pPr>
      <w:r>
        <w:rPr>
          <w:rFonts w:ascii="Aptos" w:hAnsi="Aptos" w:eastAsia="Microsoft YaHei"/>
          <w:b/>
          <w:color w:val="1E315B"/>
          <w:sz w:val="21"/>
        </w:rPr>
        <w:t>提交前，把目录和文件名中的占位文字替换为自己的学号与姓名，再压缩为 ZIP。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Aptos" w:hAnsi="Aptos" w:eastAsia="Microsoft YaHei"/>
          <w:color w:val="000000"/>
        </w:rPr>
        <w:t>3  设计目标与主页风格对齐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4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-refer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 w:eastAsia="Microsoft YaHei"/>
          <w:i/>
          <w:color w:val="526084"/>
          <w:sz w:val="17"/>
        </w:rPr>
        <w:t>项目主页参考：导航、英雄区、晋级关系和数据面板</w:t>
      </w:r>
    </w:p>
    <w:p>
      <w:pPr>
        <w:spacing w:after="100" w:line="324" w:lineRule="auto"/>
        <w:ind w:firstLine="420"/>
      </w:pPr>
      <w:r>
        <w:rPr>
          <w:rFonts w:ascii="Aptos" w:hAnsi="Aptos" w:eastAsia="Microsoft YaHei"/>
          <w:b w:val="0"/>
          <w:sz w:val="21"/>
        </w:rPr>
        <w:t>原型不另起一套视觉风格，而是提炼项目主页现有设计语言：深蓝比赛夜背景、金色赛事强调、蓝青色交互高光、半透明数据面板、圆角卡片和轻量运动动效。这样既满足个人作业独立提交，又能证明设计与团队项目一致。</w:t>
      </w:r>
    </w:p>
    <w:p>
      <w:pPr>
        <w:pStyle w:val="Heading2"/>
        <w:keepNext/>
        <w:spacing w:before="100" w:after="100"/>
      </w:pPr>
      <w:r>
        <w:rPr>
          <w:rFonts w:ascii="Aptos" w:hAnsi="Aptos" w:eastAsia="Microsoft YaHei"/>
          <w:color w:val="1E315B"/>
        </w:rPr>
        <w:t>3.1  设计原则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sz w:val="20"/>
        </w:rPr>
        <w:t>数据优先：首屏直接呈现球队、球员、赛程、新闻四个核心规模指标。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sz w:val="20"/>
        </w:rPr>
        <w:t>比赛优先：晋级关系和近期赛程占据首屏主要视觉区域。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sz w:val="20"/>
        </w:rPr>
        <w:t>一致性：颜色、圆角、按钮、边框、间距均复用主页规范。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sz w:val="20"/>
        </w:rPr>
        <w:t>可操作：每个可点击对象都有悬停、按下或弹层反馈。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sz w:val="20"/>
        </w:rPr>
        <w:t>可适配：桌面、窄屏和手机三种画布均能保持信息层级。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Aptos" w:hAnsi="Aptos" w:eastAsia="Microsoft YaHei"/>
          <w:color w:val="000000"/>
        </w:rPr>
        <w:t>4  信息架构与页面分区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289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3289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用户任务</w:t>
            </w:r>
          </w:p>
        </w:tc>
      </w:tr>
      <w:tr>
        <w:tc>
          <w:tcPr>
            <w:tcW w:type="dxa" w:w="1757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全局导航</w:t>
            </w:r>
          </w:p>
        </w:tc>
        <w:tc>
          <w:tcPr>
            <w:tcW w:type="dxa" w:w="4195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首页、赛程、球队、球员、新闻、国家探索</w:t>
            </w:r>
          </w:p>
        </w:tc>
        <w:tc>
          <w:tcPr>
            <w:tcW w:type="dxa" w:w="2891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快速切换数据模块</w:t>
            </w:r>
          </w:p>
        </w:tc>
      </w:tr>
      <w:tr>
        <w:tc>
          <w:tcPr>
            <w:tcW w:type="dxa" w:w="1757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Hero 英雄区</w:t>
            </w:r>
          </w:p>
        </w:tc>
        <w:tc>
          <w:tcPr>
            <w:tcW w:type="dxa" w:w="4195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项目标题、数据摘要、主操作按钮</w:t>
            </w:r>
          </w:p>
        </w:tc>
        <w:tc>
          <w:tcPr>
            <w:tcW w:type="dxa" w:w="2891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理解项目定位并进入赛程</w:t>
            </w:r>
          </w:p>
        </w:tc>
      </w:tr>
      <w:tr>
        <w:tc>
          <w:tcPr>
            <w:tcW w:type="dxa" w:w="1757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晋级关系</w:t>
            </w:r>
          </w:p>
        </w:tc>
        <w:tc>
          <w:tcPr>
            <w:tcW w:type="dxa" w:w="4195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四组对阵比分、实时数据标签</w:t>
            </w:r>
          </w:p>
        </w:tc>
        <w:tc>
          <w:tcPr>
            <w:tcW w:type="dxa" w:w="2891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快速掌握淘汰赛进展</w:t>
            </w:r>
          </w:p>
        </w:tc>
      </w:tr>
      <w:tr>
        <w:tc>
          <w:tcPr>
            <w:tcW w:type="dxa" w:w="1757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动态快讯</w:t>
            </w:r>
          </w:p>
        </w:tc>
        <w:tc>
          <w:tcPr>
            <w:tcW w:type="dxa" w:w="4195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冠军、统计、旅游文化专题</w:t>
            </w:r>
          </w:p>
        </w:tc>
        <w:tc>
          <w:tcPr>
            <w:tcW w:type="dxa" w:w="2891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浏览最新动态</w:t>
            </w:r>
          </w:p>
        </w:tc>
      </w:tr>
      <w:tr>
        <w:tc>
          <w:tcPr>
            <w:tcW w:type="dxa" w:w="1757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近期赛程</w:t>
            </w:r>
          </w:p>
        </w:tc>
        <w:tc>
          <w:tcPr>
            <w:tcW w:type="dxa" w:w="4195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时间、双方、比分、阶段</w:t>
            </w:r>
          </w:p>
        </w:tc>
        <w:tc>
          <w:tcPr>
            <w:tcW w:type="dxa" w:w="2891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点击查看比赛详情</w:t>
            </w:r>
          </w:p>
        </w:tc>
      </w:tr>
      <w:tr>
        <w:tc>
          <w:tcPr>
            <w:tcW w:type="dxa" w:w="1757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积分趋势</w:t>
            </w:r>
          </w:p>
        </w:tc>
        <w:tc>
          <w:tcPr>
            <w:tcW w:type="dxa" w:w="4195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小组积分横向柱图</w:t>
            </w:r>
          </w:p>
        </w:tc>
        <w:tc>
          <w:tcPr>
            <w:tcW w:type="dxa" w:w="2891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比较球队积分</w:t>
            </w:r>
          </w:p>
        </w:tc>
      </w:tr>
      <w:tr>
        <w:tc>
          <w:tcPr>
            <w:tcW w:type="dxa" w:w="1757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功能入口</w:t>
            </w:r>
          </w:p>
        </w:tc>
        <w:tc>
          <w:tcPr>
            <w:tcW w:type="dxa" w:w="4195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数据中心、国家文化、新闻、智能解说</w:t>
            </w:r>
          </w:p>
        </w:tc>
        <w:tc>
          <w:tcPr>
            <w:tcW w:type="dxa" w:w="2891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进入深层内容</w:t>
            </w:r>
          </w:p>
        </w:tc>
      </w:tr>
      <w:tr>
        <w:tc>
          <w:tcPr>
            <w:tcW w:type="dxa" w:w="1757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国家卡片</w:t>
            </w:r>
          </w:p>
        </w:tc>
        <w:tc>
          <w:tcPr>
            <w:tcW w:type="dxa" w:w="4195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国旗、国家、分组、球队状态</w:t>
            </w:r>
          </w:p>
        </w:tc>
        <w:tc>
          <w:tcPr>
            <w:tcW w:type="dxa" w:w="2891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查看球队国家信息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/>
      </w:pPr>
      <w:r>
        <w:rPr>
          <w:rFonts w:ascii="Aptos" w:hAnsi="Aptos" w:eastAsia="Microsoft YaHei"/>
          <w:color w:val="1E315B"/>
        </w:rPr>
        <w:t>4.1  组件层级</w:t>
      </w:r>
    </w:p>
    <w:p>
      <w:pPr>
        <w:spacing w:after="20"/>
        <w:ind w:left="397"/>
      </w:pPr>
      <w:r>
        <w:rPr>
          <w:rFonts w:ascii="Consolas" w:hAnsi="Consolas"/>
          <w:color w:val="1E315B"/>
          <w:sz w:val="18"/>
        </w:rPr>
        <w:t>Home_Page</w:t>
      </w:r>
    </w:p>
    <w:p>
      <w:pPr>
        <w:spacing w:after="20"/>
        <w:ind w:left="397"/>
      </w:pPr>
      <w:r>
        <w:rPr>
          <w:rFonts w:ascii="Consolas" w:hAnsi="Consolas"/>
          <w:color w:val="1E315B"/>
          <w:sz w:val="18"/>
        </w:rPr>
        <w:t>├─ Header_Master</w:t>
      </w:r>
    </w:p>
    <w:p>
      <w:pPr>
        <w:spacing w:after="20"/>
        <w:ind w:left="397"/>
      </w:pPr>
      <w:r>
        <w:rPr>
          <w:rFonts w:ascii="Consolas" w:hAnsi="Consolas"/>
          <w:color w:val="1E315B"/>
          <w:sz w:val="18"/>
        </w:rPr>
        <w:t>├─ Hero_Group</w:t>
      </w:r>
    </w:p>
    <w:p>
      <w:pPr>
        <w:spacing w:after="20"/>
        <w:ind w:left="397"/>
      </w:pPr>
      <w:r>
        <w:rPr>
          <w:rFonts w:ascii="Consolas" w:hAnsi="Consolas"/>
          <w:color w:val="1E315B"/>
          <w:sz w:val="18"/>
        </w:rPr>
        <w:t>│  ├─ Hero_Copy</w:t>
      </w:r>
    </w:p>
    <w:p>
      <w:pPr>
        <w:spacing w:after="20"/>
        <w:ind w:left="397"/>
      </w:pPr>
      <w:r>
        <w:rPr>
          <w:rFonts w:ascii="Consolas" w:hAnsi="Consolas"/>
          <w:color w:val="1E315B"/>
          <w:sz w:val="18"/>
        </w:rPr>
        <w:t>│  ├─ KPI_Repeater</w:t>
      </w:r>
    </w:p>
    <w:p>
      <w:pPr>
        <w:spacing w:after="20"/>
        <w:ind w:left="397"/>
      </w:pPr>
      <w:r>
        <w:rPr>
          <w:rFonts w:ascii="Consolas" w:hAnsi="Consolas"/>
          <w:color w:val="1E315B"/>
          <w:sz w:val="18"/>
        </w:rPr>
        <w:t>│  └─ CTA_Group</w:t>
      </w:r>
    </w:p>
    <w:p>
      <w:pPr>
        <w:spacing w:after="20"/>
        <w:ind w:left="397"/>
      </w:pPr>
      <w:r>
        <w:rPr>
          <w:rFonts w:ascii="Consolas" w:hAnsi="Consolas"/>
          <w:color w:val="1E315B"/>
          <w:sz w:val="18"/>
        </w:rPr>
        <w:t>├─ Knockout_Panel</w:t>
      </w:r>
    </w:p>
    <w:p>
      <w:pPr>
        <w:spacing w:after="20"/>
        <w:ind w:left="397"/>
      </w:pPr>
      <w:r>
        <w:rPr>
          <w:rFonts w:ascii="Consolas" w:hAnsi="Consolas"/>
          <w:color w:val="1E315B"/>
          <w:sz w:val="18"/>
        </w:rPr>
        <w:t>├─ News_Ticker</w:t>
      </w:r>
    </w:p>
    <w:p>
      <w:pPr>
        <w:spacing w:after="20"/>
        <w:ind w:left="397"/>
      </w:pPr>
      <w:r>
        <w:rPr>
          <w:rFonts w:ascii="Consolas" w:hAnsi="Consolas"/>
          <w:color w:val="1E315B"/>
          <w:sz w:val="18"/>
        </w:rPr>
        <w:t>├─ Schedule_Repeater</w:t>
      </w:r>
    </w:p>
    <w:p>
      <w:pPr>
        <w:spacing w:after="20"/>
        <w:ind w:left="397"/>
      </w:pPr>
      <w:r>
        <w:rPr>
          <w:rFonts w:ascii="Consolas" w:hAnsi="Consolas"/>
          <w:color w:val="1E315B"/>
          <w:sz w:val="18"/>
        </w:rPr>
        <w:t>├─ Points_Chart</w:t>
      </w:r>
    </w:p>
    <w:p>
      <w:pPr>
        <w:spacing w:after="20"/>
        <w:ind w:left="397"/>
      </w:pPr>
      <w:r>
        <w:rPr>
          <w:rFonts w:ascii="Consolas" w:hAnsi="Consolas"/>
          <w:color w:val="1E315B"/>
          <w:sz w:val="18"/>
        </w:rPr>
        <w:t>├─ Module_Grid</w:t>
      </w:r>
    </w:p>
    <w:p>
      <w:pPr>
        <w:spacing w:after="20"/>
        <w:ind w:left="397"/>
      </w:pPr>
      <w:r>
        <w:rPr>
          <w:rFonts w:ascii="Consolas" w:hAnsi="Consolas"/>
          <w:color w:val="1E315B"/>
          <w:sz w:val="18"/>
        </w:rPr>
        <w:t>├─ Country_Repeater</w:t>
      </w:r>
    </w:p>
    <w:p>
      <w:pPr>
        <w:spacing w:after="20"/>
        <w:ind w:left="397"/>
      </w:pPr>
      <w:r>
        <w:rPr>
          <w:rFonts w:ascii="Consolas" w:hAnsi="Consolas"/>
          <w:color w:val="1E315B"/>
          <w:sz w:val="18"/>
        </w:rPr>
        <w:t>├─ DP_Match_Detail</w:t>
      </w:r>
    </w:p>
    <w:p>
      <w:pPr>
        <w:spacing w:after="20"/>
        <w:ind w:left="397"/>
      </w:pPr>
      <w:r>
        <w:rPr>
          <w:rFonts w:ascii="Consolas" w:hAnsi="Consolas"/>
          <w:color w:val="1E315B"/>
          <w:sz w:val="18"/>
        </w:rPr>
        <w:t>└─ DP_Toast</w:t>
      </w:r>
    </w:p>
    <w:p>
      <w:pPr>
        <w:pStyle w:val="Heading2"/>
        <w:keepNext/>
        <w:spacing w:before="100" w:after="100"/>
      </w:pPr>
      <w:r>
        <w:rPr>
          <w:rFonts w:ascii="Aptos" w:hAnsi="Aptos" w:eastAsia="Microsoft YaHei"/>
          <w:color w:val="1E315B"/>
        </w:rPr>
        <w:t>4.2  命名规则</w:t>
      </w:r>
    </w:p>
    <w:p>
      <w:pPr>
        <w:spacing w:after="100" w:line="324" w:lineRule="auto"/>
        <w:ind w:firstLine="420"/>
      </w:pPr>
      <w:r>
        <w:rPr>
          <w:rFonts w:ascii="Aptos" w:hAnsi="Aptos" w:eastAsia="Microsoft YaHei"/>
          <w:b w:val="0"/>
          <w:sz w:val="21"/>
        </w:rPr>
        <w:t>组件统一使用“类型_模块_语义”的英文命名，例如 BTN_Hero_Schedule、RPT_Schedule、DP_Match_Detail、TXT_Hero_Title。命名既方便查找，也便于在交互面板中识别目标对象。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Aptos" w:hAnsi="Aptos" w:eastAsia="Microsoft YaHei"/>
          <w:color w:val="000000"/>
        </w:rPr>
        <w:t>5  视觉系统与组件规范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2466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深色值</w:t>
            </w:r>
          </w:p>
        </w:tc>
        <w:tc>
          <w:tcPr>
            <w:tcW w:type="dxa" w:w="2466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浅色值</w:t>
            </w:r>
          </w:p>
        </w:tc>
        <w:tc>
          <w:tcPr>
            <w:tcW w:type="dxa" w:w="2466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928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BG/Primary</w:t>
            </w:r>
          </w:p>
        </w:tc>
        <w:tc>
          <w:tcPr>
            <w:tcW w:type="dxa" w:w="1984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#090D23</w:t>
            </w:r>
          </w:p>
        </w:tc>
        <w:tc>
          <w:tcPr>
            <w:tcW w:type="dxa" w:w="1984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#F5F7FF</w:t>
            </w:r>
          </w:p>
        </w:tc>
        <w:tc>
          <w:tcPr>
            <w:tcW w:type="dxa" w:w="2835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页面主背景</w:t>
            </w:r>
          </w:p>
        </w:tc>
      </w:tr>
      <w:tr>
        <w:tc>
          <w:tcPr>
            <w:tcW w:type="dxa" w:w="1928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BG/Secondary</w:t>
            </w:r>
          </w:p>
        </w:tc>
        <w:tc>
          <w:tcPr>
            <w:tcW w:type="dxa" w:w="1984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#121936</w:t>
            </w:r>
          </w:p>
        </w:tc>
        <w:tc>
          <w:tcPr>
            <w:tcW w:type="dxa" w:w="1984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#EAF0FF</w:t>
            </w:r>
          </w:p>
        </w:tc>
        <w:tc>
          <w:tcPr>
            <w:tcW w:type="dxa" w:w="2835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渐变背景、区域底色</w:t>
            </w:r>
          </w:p>
        </w:tc>
      </w:tr>
      <w:tr>
        <w:tc>
          <w:tcPr>
            <w:tcW w:type="dxa" w:w="1928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Panel</w:t>
            </w:r>
          </w:p>
        </w:tc>
        <w:tc>
          <w:tcPr>
            <w:tcW w:type="dxa" w:w="1984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#0F1730 / 86%</w:t>
            </w:r>
          </w:p>
        </w:tc>
        <w:tc>
          <w:tcPr>
            <w:tcW w:type="dxa" w:w="1984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#FFFFFF / 92%</w:t>
            </w:r>
          </w:p>
        </w:tc>
        <w:tc>
          <w:tcPr>
            <w:tcW w:type="dxa" w:w="2835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卡片和弹层</w:t>
            </w:r>
          </w:p>
        </w:tc>
      </w:tr>
      <w:tr>
        <w:tc>
          <w:tcPr>
            <w:tcW w:type="dxa" w:w="1928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Text/Primary</w:t>
            </w:r>
          </w:p>
        </w:tc>
        <w:tc>
          <w:tcPr>
            <w:tcW w:type="dxa" w:w="1984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#F5F7FF</w:t>
            </w:r>
          </w:p>
        </w:tc>
        <w:tc>
          <w:tcPr>
            <w:tcW w:type="dxa" w:w="1984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#16203F</w:t>
            </w:r>
          </w:p>
        </w:tc>
        <w:tc>
          <w:tcPr>
            <w:tcW w:type="dxa" w:w="2835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标题和正文</w:t>
            </w:r>
          </w:p>
        </w:tc>
      </w:tr>
      <w:tr>
        <w:tc>
          <w:tcPr>
            <w:tcW w:type="dxa" w:w="1928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Text/Muted</w:t>
            </w:r>
          </w:p>
        </w:tc>
        <w:tc>
          <w:tcPr>
            <w:tcW w:type="dxa" w:w="1984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#AEB8D6</w:t>
            </w:r>
          </w:p>
        </w:tc>
        <w:tc>
          <w:tcPr>
            <w:tcW w:type="dxa" w:w="1984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#607096</w:t>
            </w:r>
          </w:p>
        </w:tc>
        <w:tc>
          <w:tcPr>
            <w:tcW w:type="dxa" w:w="2835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辅助信息</w:t>
            </w:r>
          </w:p>
        </w:tc>
      </w:tr>
      <w:tr>
        <w:tc>
          <w:tcPr>
            <w:tcW w:type="dxa" w:w="1928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Accent/Blue</w:t>
            </w:r>
          </w:p>
        </w:tc>
        <w:tc>
          <w:tcPr>
            <w:tcW w:type="dxa" w:w="1984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#4F7CFF</w:t>
            </w:r>
          </w:p>
        </w:tc>
        <w:tc>
          <w:tcPr>
            <w:tcW w:type="dxa" w:w="1984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#315CFF</w:t>
            </w:r>
          </w:p>
        </w:tc>
        <w:tc>
          <w:tcPr>
            <w:tcW w:type="dxa" w:w="2835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主要操作与图表</w:t>
            </w:r>
          </w:p>
        </w:tc>
      </w:tr>
      <w:tr>
        <w:tc>
          <w:tcPr>
            <w:tcW w:type="dxa" w:w="1928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Accent/Gold</w:t>
            </w:r>
          </w:p>
        </w:tc>
        <w:tc>
          <w:tcPr>
            <w:tcW w:type="dxa" w:w="1984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#FFD166</w:t>
            </w:r>
          </w:p>
        </w:tc>
        <w:tc>
          <w:tcPr>
            <w:tcW w:type="dxa" w:w="1984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#C98508</w:t>
            </w:r>
          </w:p>
        </w:tc>
        <w:tc>
          <w:tcPr>
            <w:tcW w:type="dxa" w:w="2835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世界杯赛事强调</w:t>
            </w:r>
          </w:p>
        </w:tc>
      </w:tr>
      <w:tr>
        <w:tc>
          <w:tcPr>
            <w:tcW w:type="dxa" w:w="1928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Accent/Cyan</w:t>
            </w:r>
          </w:p>
        </w:tc>
        <w:tc>
          <w:tcPr>
            <w:tcW w:type="dxa" w:w="1984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#38BDF8</w:t>
            </w:r>
          </w:p>
        </w:tc>
        <w:tc>
          <w:tcPr>
            <w:tcW w:type="dxa" w:w="1984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#087EA4</w:t>
            </w:r>
          </w:p>
        </w:tc>
        <w:tc>
          <w:tcPr>
            <w:tcW w:type="dxa" w:w="2835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交互高光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/>
      </w:pPr>
      <w:r>
        <w:rPr>
          <w:rFonts w:ascii="Aptos" w:hAnsi="Aptos" w:eastAsia="Microsoft YaHei"/>
          <w:color w:val="1E315B"/>
        </w:rPr>
        <w:t>5.1  栅格和尺寸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33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2268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页面容器</w:t>
            </w:r>
          </w:p>
        </w:tc>
        <w:tc>
          <w:tcPr>
            <w:tcW w:type="dxa" w:w="7030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最大宽度 1220 px，桌面左右安全边距 32 px</w:t>
            </w:r>
          </w:p>
        </w:tc>
      </w:tr>
      <w:tr>
        <w:tc>
          <w:tcPr>
            <w:tcW w:type="dxa" w:w="2268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基础间距</w:t>
            </w:r>
          </w:p>
        </w:tc>
        <w:tc>
          <w:tcPr>
            <w:tcW w:type="dxa" w:w="7030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8 px；常用 16 / 24 / 32 px</w:t>
            </w:r>
          </w:p>
        </w:tc>
      </w:tr>
      <w:tr>
        <w:tc>
          <w:tcPr>
            <w:tcW w:type="dxa" w:w="2268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卡片圆角</w:t>
            </w:r>
          </w:p>
        </w:tc>
        <w:tc>
          <w:tcPr>
            <w:tcW w:type="dxa" w:w="7030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大面板 24 px；普通卡片 14—18 px；按钮 9 px</w:t>
            </w:r>
          </w:p>
        </w:tc>
      </w:tr>
      <w:tr>
        <w:tc>
          <w:tcPr>
            <w:tcW w:type="dxa" w:w="2268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主标题</w:t>
            </w:r>
          </w:p>
        </w:tc>
        <w:tc>
          <w:tcPr>
            <w:tcW w:type="dxa" w:w="7030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Desktop 76 px；Mobile 48 px；行高 0.98</w:t>
            </w:r>
          </w:p>
        </w:tc>
      </w:tr>
      <w:tr>
        <w:tc>
          <w:tcPr>
            <w:tcW w:type="dxa" w:w="2268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正文</w:t>
            </w:r>
          </w:p>
        </w:tc>
        <w:tc>
          <w:tcPr>
            <w:tcW w:type="dxa" w:w="7030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16 px；行高 1.6；说明文字使用弱化色</w:t>
            </w:r>
          </w:p>
        </w:tc>
      </w:tr>
      <w:tr>
        <w:tc>
          <w:tcPr>
            <w:tcW w:type="dxa" w:w="2268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描边</w:t>
            </w:r>
          </w:p>
        </w:tc>
        <w:tc>
          <w:tcPr>
            <w:tcW w:type="dxa" w:w="7030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1 px；深色 rgba(226,232,255,.16)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/>
      </w:pPr>
      <w:r>
        <w:rPr>
          <w:rFonts w:ascii="Aptos" w:hAnsi="Aptos" w:eastAsia="Microsoft YaHei"/>
          <w:color w:val="1E315B"/>
        </w:rPr>
        <w:t>5.2  Axure 样式建立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1.  在 00_DesignSystem 页面建立颜色、文字、按钮、卡片、标签五类样式样本。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2.  选中组件后通过 Style → Create Widget Style 保存为 WC/Title/H1、WC/Card/Primary 等全局样式。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3.  将深色与浅色组件放入两状态动态面板 DP_ThemeRoot，后续交互仅切换状态。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4.  创建 Header_Master 并放入 Masters 面板，其他自适应页面复用同一导航。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Aptos" w:hAnsi="Aptos" w:eastAsia="Microsoft YaHei"/>
          <w:color w:val="000000"/>
        </w:rPr>
        <w:t>6  桌面端高保真制作流程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4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d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 w:eastAsia="Microsoft YaHei"/>
          <w:i/>
          <w:color w:val="526084"/>
          <w:sz w:val="17"/>
        </w:rPr>
        <w:t>桌面端深色完成状态</w:t>
      </w:r>
    </w:p>
    <w:p>
      <w:pPr>
        <w:pStyle w:val="Heading2"/>
        <w:keepNext/>
        <w:spacing w:before="100" w:after="100"/>
      </w:pPr>
      <w:r>
        <w:rPr>
          <w:rFonts w:ascii="Aptos" w:hAnsi="Aptos" w:eastAsia="Microsoft YaHei"/>
          <w:color w:val="1E315B"/>
        </w:rPr>
        <w:t>6.1  Header 与 Hero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1.  绘制 1440 × 74 顶部导航，背景 #090D23，底边 1 px，设为 Pin to Browser 的顶部固定区域。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2.  左侧放置奖杯图标与项目名，中间放置六个导航按钮，右侧放主题、登录和注册按钮。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3.  Hero 使用两列布局：左列约 632 px，右列约 570 px，列间距 16 px。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4.  左列加入英文 Kicker、两行大标题、简介、四个 KPI 与两个 CTA；右列加入晋级关系。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5.  主按钮使用金—青—蓝渐变；所有按钮悬停时上移 2 px，动画 200 ms。</w:t>
      </w:r>
    </w:p>
    <w:p>
      <w:pPr>
        <w:pStyle w:val="Heading2"/>
        <w:keepNext/>
        <w:spacing w:before="100" w:after="100"/>
      </w:pPr>
      <w:r>
        <w:rPr>
          <w:rFonts w:ascii="Aptos" w:hAnsi="Aptos" w:eastAsia="Microsoft YaHei"/>
          <w:color w:val="1E315B"/>
        </w:rPr>
        <w:t>6.2  赛程、图表与国家入口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1.  创建 RPT_Schedule 中继器，列包括 time、team_a、score、team_b、stage；单击行时打开比赛详情动态面板。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2.  积分趋势使用四条矩形条，载入时从 0 宽度增长到数据宽度，动画 600 ms Ease Out。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3.  功能入口采用四列卡片，在 MouseEnter 时上移 5 px并高亮描边，MouseOut 时恢复。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4.  国家卡片使用中继器，桌面为四列；点击后显示“国家详情已载入”的轻提示。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Aptos" w:hAnsi="Aptos" w:eastAsia="Microsoft YaHei"/>
          <w:color w:val="000000"/>
        </w:rPr>
        <w:t>7  交互设计与状态说明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触发对象</w:t>
            </w:r>
          </w:p>
        </w:tc>
        <w:tc>
          <w:tcPr>
            <w:tcW w:type="dxa" w:w="2466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2466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Axure 动作</w:t>
            </w:r>
          </w:p>
        </w:tc>
        <w:tc>
          <w:tcPr>
            <w:tcW w:type="dxa" w:w="2466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预期结果</w:t>
            </w:r>
          </w:p>
        </w:tc>
      </w:tr>
      <w:tr>
        <w:tc>
          <w:tcPr>
            <w:tcW w:type="dxa" w:w="1757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主题按钮</w:t>
            </w:r>
          </w:p>
        </w:tc>
        <w:tc>
          <w:tcPr>
            <w:tcW w:type="dxa" w:w="1701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OnClick</w:t>
            </w:r>
          </w:p>
        </w:tc>
        <w:tc>
          <w:tcPr>
            <w:tcW w:type="dxa" w:w="3402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Set Panel State → DP_ThemeRoot；Fade 200 ms</w:t>
            </w:r>
          </w:p>
        </w:tc>
        <w:tc>
          <w:tcPr>
            <w:tcW w:type="dxa" w:w="2268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深色/浅色切换</w:t>
            </w:r>
          </w:p>
        </w:tc>
      </w:tr>
      <w:tr>
        <w:tc>
          <w:tcPr>
            <w:tcW w:type="dxa" w:w="1757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看赛程按钮</w:t>
            </w:r>
          </w:p>
        </w:tc>
        <w:tc>
          <w:tcPr>
            <w:tcW w:type="dxa" w:w="1701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OnClick</w:t>
            </w:r>
          </w:p>
        </w:tc>
        <w:tc>
          <w:tcPr>
            <w:tcW w:type="dxa" w:w="3402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Scroll to Widget → RPT_Schedule；500 ms</w:t>
            </w:r>
          </w:p>
        </w:tc>
        <w:tc>
          <w:tcPr>
            <w:tcW w:type="dxa" w:w="2268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平滑滚动到赛程</w:t>
            </w:r>
          </w:p>
        </w:tc>
      </w:tr>
      <w:tr>
        <w:tc>
          <w:tcPr>
            <w:tcW w:type="dxa" w:w="1757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赛程行</w:t>
            </w:r>
          </w:p>
        </w:tc>
        <w:tc>
          <w:tcPr>
            <w:tcW w:type="dxa" w:w="1701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OnClick</w:t>
            </w:r>
          </w:p>
        </w:tc>
        <w:tc>
          <w:tcPr>
            <w:tcW w:type="dxa" w:w="3402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Set Text + Show DP_Match_Detail；Fade 180 ms</w:t>
            </w:r>
          </w:p>
        </w:tc>
        <w:tc>
          <w:tcPr>
            <w:tcW w:type="dxa" w:w="2268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打开比赛详情</w:t>
            </w:r>
          </w:p>
        </w:tc>
      </w:tr>
      <w:tr>
        <w:tc>
          <w:tcPr>
            <w:tcW w:type="dxa" w:w="1757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弹层关闭</w:t>
            </w:r>
          </w:p>
        </w:tc>
        <w:tc>
          <w:tcPr>
            <w:tcW w:type="dxa" w:w="1701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OnClick</w:t>
            </w:r>
          </w:p>
        </w:tc>
        <w:tc>
          <w:tcPr>
            <w:tcW w:type="dxa" w:w="3402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Hide DP_Match_Detail；Fade 160 ms</w:t>
            </w:r>
          </w:p>
        </w:tc>
        <w:tc>
          <w:tcPr>
            <w:tcW w:type="dxa" w:w="2268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回到主页</w:t>
            </w:r>
          </w:p>
        </w:tc>
      </w:tr>
      <w:tr>
        <w:tc>
          <w:tcPr>
            <w:tcW w:type="dxa" w:w="1757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快讯条</w:t>
            </w:r>
          </w:p>
        </w:tc>
        <w:tc>
          <w:tcPr>
            <w:tcW w:type="dxa" w:w="1701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OnLoad</w:t>
            </w:r>
          </w:p>
        </w:tc>
        <w:tc>
          <w:tcPr>
            <w:tcW w:type="dxa" w:w="3402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Move X -420；Linear；18000 ms；Repeat</w:t>
            </w:r>
          </w:p>
        </w:tc>
        <w:tc>
          <w:tcPr>
            <w:tcW w:type="dxa" w:w="2268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连续滚动</w:t>
            </w:r>
          </w:p>
        </w:tc>
      </w:tr>
      <w:tr>
        <w:tc>
          <w:tcPr>
            <w:tcW w:type="dxa" w:w="1757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积分条</w:t>
            </w:r>
          </w:p>
        </w:tc>
        <w:tc>
          <w:tcPr>
            <w:tcW w:type="dxa" w:w="1701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OnLoad</w:t>
            </w:r>
          </w:p>
        </w:tc>
        <w:tc>
          <w:tcPr>
            <w:tcW w:type="dxa" w:w="3402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Set Size from 0 to target；600 ms</w:t>
            </w:r>
          </w:p>
        </w:tc>
        <w:tc>
          <w:tcPr>
            <w:tcW w:type="dxa" w:w="2268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数据增长动效</w:t>
            </w:r>
          </w:p>
        </w:tc>
      </w:tr>
      <w:tr>
        <w:tc>
          <w:tcPr>
            <w:tcW w:type="dxa" w:w="1757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卡片</w:t>
            </w:r>
          </w:p>
        </w:tc>
        <w:tc>
          <w:tcPr>
            <w:tcW w:type="dxa" w:w="1701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MouseEnter/Out</w:t>
            </w:r>
          </w:p>
        </w:tc>
        <w:tc>
          <w:tcPr>
            <w:tcW w:type="dxa" w:w="3402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Move Y -4/+4；Set Style</w:t>
            </w:r>
          </w:p>
        </w:tc>
        <w:tc>
          <w:tcPr>
            <w:tcW w:type="dxa" w:w="2268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悬停反馈</w:t>
            </w:r>
          </w:p>
        </w:tc>
      </w:tr>
      <w:tr>
        <w:tc>
          <w:tcPr>
            <w:tcW w:type="dxa" w:w="1757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国家卡片</w:t>
            </w:r>
          </w:p>
        </w:tc>
        <w:tc>
          <w:tcPr>
            <w:tcW w:type="dxa" w:w="1701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OnClick</w:t>
            </w:r>
          </w:p>
        </w:tc>
        <w:tc>
          <w:tcPr>
            <w:tcW w:type="dxa" w:w="3402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Set Text + Show DP_Toast</w:t>
            </w:r>
          </w:p>
        </w:tc>
        <w:tc>
          <w:tcPr>
            <w:tcW w:type="dxa" w:w="2268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提示国家入口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/>
      </w:pPr>
      <w:r>
        <w:rPr>
          <w:rFonts w:ascii="Aptos" w:hAnsi="Aptos" w:eastAsia="Microsoft YaHei"/>
          <w:color w:val="1E315B"/>
        </w:rPr>
        <w:t>7.1  比赛详情动态面板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sz w:val="20"/>
        </w:rPr>
        <w:t>默认 Hidden，固定覆盖整个浏览器窗口，背景黑色 74% 并开启模糊感。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sz w:val="20"/>
        </w:rPr>
        <w:t>内部卡片宽 500 px，显示双方、比分、比赛状态、场馆和关闭按钮。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sz w:val="20"/>
        </w:rPr>
        <w:t>OnShow 使用 Fade 180 ms；关闭与点击遮罩均执行 Hide。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sz w:val="20"/>
        </w:rPr>
        <w:t>面板层级置顶，避免被固定导航或图表遮挡。</w:t>
      </w:r>
    </w:p>
    <w:p>
      <w:pPr>
        <w:pStyle w:val="Heading2"/>
        <w:keepNext/>
        <w:spacing w:before="100" w:after="100"/>
      </w:pPr>
      <w:r>
        <w:rPr>
          <w:rFonts w:ascii="Aptos" w:hAnsi="Aptos" w:eastAsia="Microsoft YaHei"/>
          <w:color w:val="1E315B"/>
        </w:rPr>
        <w:t>7.2  交互验收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sz w:val="20"/>
        </w:rPr>
        <w:t>每一个可点击控件都有 Hover/Pressed 状态。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sz w:val="20"/>
        </w:rPr>
        <w:t>主题切换后文字对比度保持清晰，按钮强调色不丢失。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sz w:val="20"/>
        </w:rPr>
        <w:t>重复点击赛程行不会叠加多个弹层。</w:t>
      </w:r>
    </w:p>
    <w:p>
      <w:pPr>
        <w:pStyle w:val="ListBullet"/>
        <w:spacing w:after="60" w:line="300" w:lineRule="auto"/>
      </w:pPr>
      <w:r>
        <w:rPr>
          <w:rFonts w:ascii="Aptos" w:hAnsi="Aptos" w:eastAsia="Microsoft YaHei"/>
          <w:sz w:val="20"/>
        </w:rPr>
        <w:t>所有动效均可在 0.2—0.7 秒内完成，不阻塞阅读；只有快讯循环播放。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Aptos" w:hAnsi="Aptos" w:eastAsia="Microsoft YaHei"/>
          <w:color w:val="000000"/>
        </w:rPr>
        <w:t>8  浅色模式与响应式适配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41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l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4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 w:eastAsia="Microsoft YaHei"/>
          <w:i/>
          <w:color w:val="526084"/>
          <w:sz w:val="17"/>
        </w:rPr>
        <w:t>浅色模式：保留金色赛事强调与蓝色交互色</w:t>
      </w:r>
    </w:p>
    <w:p>
      <w:pPr>
        <w:pStyle w:val="Heading2"/>
        <w:keepNext/>
        <w:spacing w:before="100" w:after="100"/>
      </w:pPr>
      <w:r>
        <w:rPr>
          <w:rFonts w:ascii="Aptos" w:hAnsi="Aptos" w:eastAsia="Microsoft YaHei"/>
          <w:color w:val="1E315B"/>
        </w:rPr>
        <w:t>8.1  浅色模式</w:t>
      </w:r>
    </w:p>
    <w:p>
      <w:pPr>
        <w:spacing w:after="100" w:line="324" w:lineRule="auto"/>
        <w:ind w:firstLine="420"/>
      </w:pPr>
      <w:r>
        <w:rPr>
          <w:rFonts w:ascii="Aptos" w:hAnsi="Aptos" w:eastAsia="Microsoft YaHei"/>
          <w:b w:val="0"/>
          <w:sz w:val="21"/>
        </w:rPr>
        <w:t>浅色模式不是简单反色。页面背景改为淡蓝灰，卡片使用白色，正文改为深海军蓝；金色由 #FFD166 调整为更稳重的 #C98508，以保证白底对比度。蓝青渐变保留在主按钮和数据条中，使两种主题仍属于同一个视觉系统。</w:t>
      </w:r>
    </w:p>
    <w:p>
      <w:pPr>
        <w:pStyle w:val="Heading2"/>
        <w:keepNext/>
        <w:spacing w:before="100" w:after="100"/>
      </w:pPr>
      <w:r>
        <w:rPr>
          <w:rFonts w:ascii="Aptos" w:hAnsi="Aptos" w:eastAsia="Microsoft YaHei"/>
          <w:color w:val="1E315B"/>
        </w:rPr>
        <w:t>8.2  自适应视图规则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视图</w:t>
            </w:r>
          </w:p>
        </w:tc>
        <w:tc>
          <w:tcPr>
            <w:tcW w:type="dxa" w:w="4933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关键调整</w:t>
            </w:r>
          </w:p>
        </w:tc>
      </w:tr>
      <w:tr>
        <w:tc>
          <w:tcPr>
            <w:tcW w:type="dxa" w:w="2268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Desktop 1440</w:t>
            </w:r>
          </w:p>
        </w:tc>
        <w:tc>
          <w:tcPr>
            <w:tcW w:type="dxa" w:w="7030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Hero、赛程与图表均为双列；模块和国家卡片为四列</w:t>
            </w:r>
          </w:p>
        </w:tc>
      </w:tr>
      <w:tr>
        <w:tc>
          <w:tcPr>
            <w:tcW w:type="dxa" w:w="2268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Tablet 1024</w:t>
            </w:r>
          </w:p>
        </w:tc>
        <w:tc>
          <w:tcPr>
            <w:tcW w:type="dxa" w:w="7030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导航允许横向滚动；Hero 和仪表板改为单列；卡片两列</w:t>
            </w:r>
          </w:p>
        </w:tc>
      </w:tr>
      <w:tr>
        <w:tc>
          <w:tcPr>
            <w:tcW w:type="dxa" w:w="2268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Mobile 390</w:t>
            </w:r>
          </w:p>
        </w:tc>
        <w:tc>
          <w:tcPr>
            <w:tcW w:type="dxa" w:w="7030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隐藏登录/注册；统计卡两列；功能与国家卡单列；赛程信息分行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Aptos" w:hAnsi="Aptos" w:eastAsia="Microsoft YaHei"/>
          <w:color w:val="000000"/>
        </w:rPr>
        <w:t>8.3  移动端完成状态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62326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mob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 w:eastAsia="Microsoft YaHei"/>
          <w:i/>
          <w:color w:val="526084"/>
          <w:sz w:val="17"/>
        </w:rPr>
        <w:t>390 px 移动端：导航可横滑，首屏内容保持清晰层级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1.  切换到 Mobile 自适应视图，将 Hero 两列改为纵向排列。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2.  主标题设置 48 px，左右边距 16 px，统计卡保持两列以节省首屏高度。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3.  导航设置水平滚动，不压缩按钮文字；隐藏登录与注册，只保留主题切换。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4.  赛程行的时间和阶段标签跨两列显示，避免双方名称被挤压。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5.  Preview 后分别使用 390 × 844 和 1024 × 768 视窗检查溢出。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Aptos" w:hAnsi="Aptos" w:eastAsia="Microsoft YaHei"/>
          <w:color w:val="000000"/>
        </w:rPr>
        <w:t>9  前台与后台模板选型</w:t>
      </w:r>
    </w:p>
    <w:p>
      <w:pPr>
        <w:pStyle w:val="Heading2"/>
        <w:keepNext/>
        <w:spacing w:before="100" w:after="100"/>
      </w:pPr>
      <w:r>
        <w:rPr>
          <w:rFonts w:ascii="Aptos" w:hAnsi="Aptos" w:eastAsia="Microsoft YaHei"/>
          <w:color w:val="1E315B"/>
        </w:rPr>
        <w:t>9.1  前台模板：世界杯数据中控台</w:t>
      </w:r>
    </w:p>
    <w:p>
      <w:pPr>
        <w:spacing w:after="100" w:line="324" w:lineRule="auto"/>
        <w:ind w:firstLine="420"/>
      </w:pPr>
      <w:r>
        <w:rPr>
          <w:rFonts w:ascii="Aptos" w:hAnsi="Aptos" w:eastAsia="Microsoft YaHei"/>
          <w:b w:val="0"/>
          <w:sz w:val="21"/>
        </w:rPr>
        <w:t>前台不套用与项目无关的通用商城或博客模板，而是选择项目已有的世界杯数据中控台作为设计模板。它由固定导航、比赛 Hero、数据面板、赛程列表、图表和国家探索卡片构成，适合体育数据密集型网站。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选择依据</w:t>
            </w:r>
          </w:p>
        </w:tc>
        <w:tc>
          <w:tcPr>
            <w:tcW w:type="dxa" w:w="4933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主题匹配</w:t>
            </w:r>
          </w:p>
        </w:tc>
        <w:tc>
          <w:tcPr>
            <w:tcW w:type="dxa" w:w="7030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赛事、球队、球员、新闻和国家文化都能进入同一信息架构</w:t>
            </w:r>
          </w:p>
        </w:tc>
      </w:tr>
      <w:tr>
        <w:tc>
          <w:tcPr>
            <w:tcW w:type="dxa" w:w="2268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视觉识别</w:t>
            </w:r>
          </w:p>
        </w:tc>
        <w:tc>
          <w:tcPr>
            <w:tcW w:type="dxa" w:w="7030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深蓝比赛夜 + 金色奖杯强调，具有明确世界杯氛围</w:t>
            </w:r>
          </w:p>
        </w:tc>
      </w:tr>
      <w:tr>
        <w:tc>
          <w:tcPr>
            <w:tcW w:type="dxa" w:w="2268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数据扩展</w:t>
            </w:r>
          </w:p>
        </w:tc>
        <w:tc>
          <w:tcPr>
            <w:tcW w:type="dxa" w:w="7030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卡片、中继器和图表可直接承载 MySQL 查询结果</w:t>
            </w:r>
          </w:p>
        </w:tc>
      </w:tr>
      <w:tr>
        <w:tc>
          <w:tcPr>
            <w:tcW w:type="dxa" w:w="2268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响应式</w:t>
            </w:r>
          </w:p>
        </w:tc>
        <w:tc>
          <w:tcPr>
            <w:tcW w:type="dxa" w:w="7030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同一组件可适配桌面、平板与手机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/>
      </w:pPr>
      <w:r>
        <w:rPr>
          <w:rFonts w:ascii="Aptos" w:hAnsi="Aptos" w:eastAsia="Microsoft YaHei"/>
          <w:color w:val="1E315B"/>
        </w:rPr>
        <w:t>9.2  后台模板：Yii2 数据管理控制台</w:t>
      </w:r>
    </w:p>
    <w:p>
      <w:pPr>
        <w:spacing w:after="100" w:line="324" w:lineRule="auto"/>
        <w:ind w:firstLine="420"/>
      </w:pPr>
      <w:r>
        <w:rPr>
          <w:rFonts w:ascii="Aptos" w:hAnsi="Aptos" w:eastAsia="Microsoft YaHei"/>
          <w:b w:val="0"/>
          <w:sz w:val="21"/>
        </w:rPr>
        <w:t>后台选择 Yii2 风格的数据管理控制台，技术体系为 PHP + Yii2 + MySQL。页面采用左侧模块导航、顶部状态栏、筛选表单、GridView 表格、分页和 CRUD 表单，覆盖球队、球员、比赛、新闻、国家、城市、场馆、用户与留言等数据维护。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后台模块</w:t>
            </w:r>
          </w:p>
        </w:tc>
        <w:tc>
          <w:tcPr>
            <w:tcW w:type="dxa" w:w="4933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主要操作</w:t>
            </w:r>
          </w:p>
        </w:tc>
      </w:tr>
      <w:tr>
        <w:tc>
          <w:tcPr>
            <w:tcW w:type="dxa" w:w="2494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球队/球员</w:t>
            </w:r>
          </w:p>
        </w:tc>
        <w:tc>
          <w:tcPr>
            <w:tcW w:type="dxa" w:w="6803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查询、新增、编辑、删除、批量导入</w:t>
            </w:r>
          </w:p>
        </w:tc>
      </w:tr>
      <w:tr>
        <w:tc>
          <w:tcPr>
            <w:tcW w:type="dxa" w:w="2494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赛程/比赛事件</w:t>
            </w:r>
          </w:p>
        </w:tc>
        <w:tc>
          <w:tcPr>
            <w:tcW w:type="dxa" w:w="6803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按阶段筛选、编辑比分、管理比赛详情</w:t>
            </w:r>
          </w:p>
        </w:tc>
      </w:tr>
      <w:tr>
        <w:tc>
          <w:tcPr>
            <w:tcW w:type="dxa" w:w="2494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新闻/分类</w:t>
            </w:r>
          </w:p>
        </w:tc>
        <w:tc>
          <w:tcPr>
            <w:tcW w:type="dxa" w:w="6803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发布、翻译状态、多个分类关联、来源校验</w:t>
            </w:r>
          </w:p>
        </w:tc>
      </w:tr>
      <w:tr>
        <w:tc>
          <w:tcPr>
            <w:tcW w:type="dxa" w:w="2494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国家/城市/旅游</w:t>
            </w:r>
          </w:p>
        </w:tc>
        <w:tc>
          <w:tcPr>
            <w:tcW w:type="dxa" w:w="6803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维护国家资料、坐标、城市和文化旅游内容</w:t>
            </w:r>
          </w:p>
        </w:tc>
      </w:tr>
      <w:tr>
        <w:tc>
          <w:tcPr>
            <w:tcW w:type="dxa" w:w="2494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用户/留言</w:t>
            </w:r>
          </w:p>
        </w:tc>
        <w:tc>
          <w:tcPr>
            <w:tcW w:type="dxa" w:w="6803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账号状态、角色、留言审核与回复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/>
      </w:pPr>
      <w:r>
        <w:rPr>
          <w:rFonts w:ascii="Aptos" w:hAnsi="Aptos" w:eastAsia="Microsoft YaHei"/>
          <w:color w:val="1E315B"/>
        </w:rPr>
        <w:t>9.3  前后端一致性</w:t>
      </w:r>
    </w:p>
    <w:p>
      <w:pPr>
        <w:spacing w:after="100" w:line="324" w:lineRule="auto"/>
        <w:ind w:firstLine="420"/>
      </w:pPr>
      <w:r>
        <w:rPr>
          <w:rFonts w:ascii="Aptos" w:hAnsi="Aptos" w:eastAsia="Microsoft YaHei"/>
          <w:b w:val="0"/>
          <w:sz w:val="21"/>
        </w:rPr>
        <w:t>前台负责展示真实数据，后台负责维护 MySQL 数据。两者共用球队、球员、比赛、新闻和国家等实体，但不共用同一页面模板：前台强调沉浸与可视化，后台强调效率与可追溯性。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Aptos" w:hAnsi="Aptos" w:eastAsia="Microsoft YaHei"/>
          <w:color w:val="000000"/>
        </w:rPr>
        <w:t>10  预览、测试、导出与提交</w:t>
      </w:r>
    </w:p>
    <w:p>
      <w:pPr>
        <w:pStyle w:val="Heading2"/>
        <w:keepNext/>
        <w:spacing w:before="100" w:after="100"/>
      </w:pPr>
      <w:r>
        <w:rPr>
          <w:rFonts w:ascii="Aptos" w:hAnsi="Aptos" w:eastAsia="Microsoft YaHei"/>
          <w:color w:val="1E315B"/>
        </w:rPr>
        <w:t>10.1  Axure 预览检查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1.  按 F5 或点击 Preview，确认桌面端首页能够完整显示。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2.  点击主题按钮，检查深色与浅色状态切换。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3.  点击“看赛程”，确认页面平滑滚动到赛程区域。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4.  点击任一比赛，确认详情弹层打开并能关闭。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5.  将浏览器宽度切换到 1024 和 390，检查导航、卡片和文字是否溢出。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6.  通过 Publish → Generate HTML Files 导出至 axure-html 文件夹，并再次离线打开 index.html。</w:t>
      </w:r>
    </w:p>
    <w:p>
      <w:pPr>
        <w:pStyle w:val="Heading2"/>
        <w:keepNext/>
        <w:spacing w:before="100" w:after="100"/>
      </w:pPr>
      <w:r>
        <w:rPr>
          <w:rFonts w:ascii="Aptos" w:hAnsi="Aptos" w:eastAsia="Microsoft YaHei"/>
          <w:color w:val="1E315B"/>
        </w:rPr>
        <w:t>10.2  验收清单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289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标准</w:t>
            </w:r>
          </w:p>
        </w:tc>
        <w:tc>
          <w:tcPr>
            <w:tcW w:type="dxa" w:w="3289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268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主页风格</w:t>
            </w:r>
          </w:p>
        </w:tc>
        <w:tc>
          <w:tcPr>
            <w:tcW w:type="dxa" w:w="5329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配色、字体、卡片、按钮与项目主页一致</w:t>
            </w:r>
          </w:p>
        </w:tc>
        <w:tc>
          <w:tcPr>
            <w:tcW w:type="dxa" w:w="1587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通过</w:t>
            </w:r>
          </w:p>
        </w:tc>
      </w:tr>
      <w:tr>
        <w:tc>
          <w:tcPr>
            <w:tcW w:type="dxa" w:w="2268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交互</w:t>
            </w:r>
          </w:p>
        </w:tc>
        <w:tc>
          <w:tcPr>
            <w:tcW w:type="dxa" w:w="5329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主题、滚动、弹层、卡片反馈均可操作</w:t>
            </w:r>
          </w:p>
        </w:tc>
        <w:tc>
          <w:tcPr>
            <w:tcW w:type="dxa" w:w="1587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通过</w:t>
            </w:r>
          </w:p>
        </w:tc>
      </w:tr>
      <w:tr>
        <w:tc>
          <w:tcPr>
            <w:tcW w:type="dxa" w:w="2268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响应式</w:t>
            </w:r>
          </w:p>
        </w:tc>
        <w:tc>
          <w:tcPr>
            <w:tcW w:type="dxa" w:w="5329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1440 / 1024 / 390 无横向内容溢出</w:t>
            </w:r>
          </w:p>
        </w:tc>
        <w:tc>
          <w:tcPr>
            <w:tcW w:type="dxa" w:w="1587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通过</w:t>
            </w:r>
          </w:p>
        </w:tc>
      </w:tr>
      <w:tr>
        <w:tc>
          <w:tcPr>
            <w:tcW w:type="dxa" w:w="2268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前后台模板</w:t>
            </w:r>
          </w:p>
        </w:tc>
        <w:tc>
          <w:tcPr>
            <w:tcW w:type="dxa" w:w="5329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已说明选择及与 Yii2/MySQL 的对应关系</w:t>
            </w:r>
          </w:p>
        </w:tc>
        <w:tc>
          <w:tcPr>
            <w:tcW w:type="dxa" w:w="1587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通过</w:t>
            </w:r>
          </w:p>
        </w:tc>
      </w:tr>
      <w:tr>
        <w:tc>
          <w:tcPr>
            <w:tcW w:type="dxa" w:w="2268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材料独立</w:t>
            </w:r>
          </w:p>
        </w:tc>
        <w:tc>
          <w:tcPr>
            <w:tcW w:type="dxa" w:w="5329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未加入网站业务页面和导航</w:t>
            </w:r>
          </w:p>
        </w:tc>
        <w:tc>
          <w:tcPr>
            <w:tcW w:type="dxa" w:w="1587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通过</w:t>
            </w:r>
          </w:p>
        </w:tc>
      </w:tr>
      <w:tr>
        <w:tc>
          <w:tcPr>
            <w:tcW w:type="dxa" w:w="2268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提交结构</w:t>
            </w:r>
          </w:p>
        </w:tc>
        <w:tc>
          <w:tcPr>
            <w:tcW w:type="dxa" w:w="5329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报告、原型、规格表和说明齐全</w:t>
            </w:r>
          </w:p>
        </w:tc>
        <w:tc>
          <w:tcPr>
            <w:tcW w:type="dxa" w:w="1587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通过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100"/>
      </w:pPr>
      <w:r>
        <w:rPr>
          <w:rFonts w:ascii="Aptos" w:hAnsi="Aptos" w:eastAsia="Microsoft YaHei"/>
          <w:color w:val="1E315B"/>
        </w:rPr>
        <w:t>10.3  最终提交步骤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1.  在本报告封面填写学号和姓名。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2.  将“作业2_世界杯赛事中控台.rp”放入提交目录；如课堂只要求文档，可保留生成 HTML 作为预览证据。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3.  把目录名和 Word 文件名中的“学号_姓名”替换为本人信息。</w:t>
      </w:r>
    </w:p>
    <w:p>
      <w:pPr>
        <w:spacing w:after="80" w:line="300" w:lineRule="auto"/>
        <w:ind w:left="170" w:hanging="170"/>
      </w:pPr>
      <w:r>
        <w:rPr>
          <w:rFonts w:ascii="Aptos" w:hAnsi="Aptos" w:eastAsia="Microsoft YaHei"/>
          <w:sz w:val="20"/>
        </w:rPr>
        <w:t>4.  压缩为“作业2(学号_姓名).zip”，打开压缩包复查文件是否能正常解压和预览。</w:t>
      </w:r>
    </w:p>
    <w:p>
      <w:r>
        <w:br w:type="page"/>
      </w:r>
    </w:p>
    <w:p>
      <w:pPr>
        <w:pStyle w:val="Heading1"/>
        <w:keepNext/>
        <w:spacing w:before="160" w:after="100"/>
      </w:pPr>
      <w:r>
        <w:rPr>
          <w:rFonts w:ascii="Aptos" w:hAnsi="Aptos" w:eastAsia="Microsoft YaHei"/>
          <w:color w:val="000000"/>
        </w:rPr>
        <w:t>附录 A  关键组件规格摘要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Axure 名称</w:t>
            </w:r>
          </w:p>
        </w:tc>
        <w:tc>
          <w:tcPr>
            <w:tcW w:type="dxa" w:w="2466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466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尺寸/位置</w:t>
            </w:r>
          </w:p>
        </w:tc>
        <w:tc>
          <w:tcPr>
            <w:tcW w:type="dxa" w:w="2466"/>
            <w:shd w:fill="111936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主要样式与动作</w:t>
            </w:r>
          </w:p>
        </w:tc>
      </w:tr>
      <w:tr>
        <w:tc>
          <w:tcPr>
            <w:tcW w:type="dxa" w:w="2438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Header_Master</w:t>
            </w:r>
          </w:p>
        </w:tc>
        <w:tc>
          <w:tcPr>
            <w:tcW w:type="dxa" w:w="1814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Master</w:t>
            </w:r>
          </w:p>
        </w:tc>
        <w:tc>
          <w:tcPr>
            <w:tcW w:type="dxa" w:w="2494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1440 × 74 / Top</w:t>
            </w:r>
          </w:p>
        </w:tc>
        <w:tc>
          <w:tcPr>
            <w:tcW w:type="dxa" w:w="2891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固定顶部；背景 #090D23</w:t>
            </w:r>
          </w:p>
        </w:tc>
      </w:tr>
      <w:tr>
        <w:tc>
          <w:tcPr>
            <w:tcW w:type="dxa" w:w="2438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Hero_Group</w:t>
            </w:r>
          </w:p>
        </w:tc>
        <w:tc>
          <w:tcPr>
            <w:tcW w:type="dxa" w:w="1814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Group</w:t>
            </w:r>
          </w:p>
        </w:tc>
        <w:tc>
          <w:tcPr>
            <w:tcW w:type="dxa" w:w="2494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x110 y108 w632 h604</w:t>
            </w:r>
          </w:p>
        </w:tc>
        <w:tc>
          <w:tcPr>
            <w:tcW w:type="dxa" w:w="2891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24 px 圆角；渐变面板</w:t>
            </w:r>
          </w:p>
        </w:tc>
      </w:tr>
      <w:tr>
        <w:tc>
          <w:tcPr>
            <w:tcW w:type="dxa" w:w="2438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KPI_Repeater</w:t>
            </w:r>
          </w:p>
        </w:tc>
        <w:tc>
          <w:tcPr>
            <w:tcW w:type="dxa" w:w="1814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Repeater</w:t>
            </w:r>
          </w:p>
        </w:tc>
        <w:tc>
          <w:tcPr>
            <w:tcW w:type="dxa" w:w="2494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4 × 1</w:t>
            </w:r>
          </w:p>
        </w:tc>
        <w:tc>
          <w:tcPr>
            <w:tcW w:type="dxa" w:w="2891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球队/球员/赛程/新闻</w:t>
            </w:r>
          </w:p>
        </w:tc>
      </w:tr>
      <w:tr>
        <w:tc>
          <w:tcPr>
            <w:tcW w:type="dxa" w:w="2438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Knockout_Panel</w:t>
            </w:r>
          </w:p>
        </w:tc>
        <w:tc>
          <w:tcPr>
            <w:tcW w:type="dxa" w:w="1814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Dynamic Panel</w:t>
            </w:r>
          </w:p>
        </w:tc>
        <w:tc>
          <w:tcPr>
            <w:tcW w:type="dxa" w:w="2494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x758 y108 w572 h604</w:t>
            </w:r>
          </w:p>
        </w:tc>
        <w:tc>
          <w:tcPr>
            <w:tcW w:type="dxa" w:w="2891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对阵卡片；实时数据标签</w:t>
            </w:r>
          </w:p>
        </w:tc>
      </w:tr>
      <w:tr>
        <w:tc>
          <w:tcPr>
            <w:tcW w:type="dxa" w:w="2438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RPT_Schedule</w:t>
            </w:r>
          </w:p>
        </w:tc>
        <w:tc>
          <w:tcPr>
            <w:tcW w:type="dxa" w:w="1814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Repeater</w:t>
            </w:r>
          </w:p>
        </w:tc>
        <w:tc>
          <w:tcPr>
            <w:tcW w:type="dxa" w:w="2494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两列区域左侧</w:t>
            </w:r>
          </w:p>
        </w:tc>
        <w:tc>
          <w:tcPr>
            <w:tcW w:type="dxa" w:w="2891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点击打开详情</w:t>
            </w:r>
          </w:p>
        </w:tc>
      </w:tr>
      <w:tr>
        <w:tc>
          <w:tcPr>
            <w:tcW w:type="dxa" w:w="2438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DP_Match_Detail</w:t>
            </w:r>
          </w:p>
        </w:tc>
        <w:tc>
          <w:tcPr>
            <w:tcW w:type="dxa" w:w="1814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Dynamic Panel</w:t>
            </w:r>
          </w:p>
        </w:tc>
        <w:tc>
          <w:tcPr>
            <w:tcW w:type="dxa" w:w="2494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Fixed / Browser</w:t>
            </w:r>
          </w:p>
        </w:tc>
        <w:tc>
          <w:tcPr>
            <w:tcW w:type="dxa" w:w="2891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默认隐藏；Fade 180 ms</w:t>
            </w:r>
          </w:p>
        </w:tc>
      </w:tr>
      <w:tr>
        <w:tc>
          <w:tcPr>
            <w:tcW w:type="dxa" w:w="2438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DP_ThemeRoot</w:t>
            </w:r>
          </w:p>
        </w:tc>
        <w:tc>
          <w:tcPr>
            <w:tcW w:type="dxa" w:w="1814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Dynamic Panel</w:t>
            </w:r>
          </w:p>
        </w:tc>
        <w:tc>
          <w:tcPr>
            <w:tcW w:type="dxa" w:w="2494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Dark / Light</w:t>
            </w:r>
          </w:p>
        </w:tc>
        <w:tc>
          <w:tcPr>
            <w:tcW w:type="dxa" w:w="2891"/>
            <w:shd w:fill="EEF3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切换全页主题状态</w:t>
            </w:r>
          </w:p>
        </w:tc>
      </w:tr>
      <w:tr>
        <w:tc>
          <w:tcPr>
            <w:tcW w:type="dxa" w:w="2438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DP_Toast</w:t>
            </w:r>
          </w:p>
        </w:tc>
        <w:tc>
          <w:tcPr>
            <w:tcW w:type="dxa" w:w="1814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Dynamic Panel</w:t>
            </w:r>
          </w:p>
        </w:tc>
        <w:tc>
          <w:tcPr>
            <w:tcW w:type="dxa" w:w="2494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Right Bottom</w:t>
            </w:r>
          </w:p>
        </w:tc>
        <w:tc>
          <w:tcPr>
            <w:tcW w:type="dxa" w:w="2891"/>
            <w:shd w:fill="F7F9FF"/>
            <w:tcBorders>
              <w:top w:val="single" w:sz="6" w:color="C9D2E8"/>
              <w:left w:val="single" w:sz="6" w:color="C9D2E8"/>
              <w:bottom w:val="single" w:sz="6" w:color="C9D2E8"/>
              <w:right w:val="single" w:sz="6" w:color="C9D2E8"/>
              <w:insideH w:val="single" w:sz="6" w:color="C9D2E8"/>
              <w:insideV w:val="single" w:sz="6" w:color="C9D2E8"/>
            </w:tcBorders>
            <w:vAlign w:val="center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sz w:val="17"/>
              </w:rPr>
              <w:t>提示 2200 ms 后隐藏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100"/>
      </w:pPr>
      <w:r>
        <w:rPr>
          <w:rFonts w:ascii="Aptos" w:hAnsi="Aptos" w:eastAsia="Microsoft YaHei"/>
          <w:color w:val="000000"/>
        </w:rPr>
        <w:t>附录 B  结论</w:t>
      </w:r>
    </w:p>
    <w:p>
      <w:pPr>
        <w:spacing w:after="100" w:line="324" w:lineRule="auto"/>
        <w:ind w:firstLine="420"/>
      </w:pPr>
      <w:r>
        <w:rPr>
          <w:rFonts w:ascii="Aptos" w:hAnsi="Aptos" w:eastAsia="Microsoft YaHei"/>
          <w:b w:val="0"/>
          <w:sz w:val="21"/>
        </w:rPr>
        <w:t>本次设计完成了从需求拆解、风格提炼、信息架构、Axure 组件搭建、交互状态、响应式适配到导出验收的完整流程。最终原型与世界杯项目主页保持统一，同时具备独立作业所需的过程证据、模板选型说明和可提交材料。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color w:val="526084"/>
        <w:sz w:val="17"/>
      </w:rPr>
      <w:t>互联网数据库课程 · 个人作业2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color w:val="141D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E315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E31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个人作业2：Axure Web 前端设计</dc:title>
  <dc:subject>2026 世界杯赛事中控台高保真原型</dc:subject>
  <dc:creator>学号_姓名</dc:creator>
  <cp:keywords>Axure RP 11, Web前端设计, 世界杯, Yii2, MySQL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