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FFE3E" w14:textId="77777777" w:rsidR="00C93ED1" w:rsidRDefault="00AE0C06">
      <w:pPr>
        <w:pStyle w:val="Title"/>
      </w:pPr>
      <w:r>
        <w:t>Models-SI</w:t>
      </w:r>
    </w:p>
    <w:p w14:paraId="180FFE40" w14:textId="25A55B8B" w:rsidR="00C93ED1" w:rsidRDefault="00AE0C06" w:rsidP="00AE0C06">
      <w:pPr>
        <w:pStyle w:val="Author"/>
      </w:pPr>
      <w:r>
        <w:t>Jeff Wesner</w:t>
      </w:r>
    </w:p>
    <w:p w14:paraId="180FFE41" w14:textId="77777777" w:rsidR="00C93ED1" w:rsidRDefault="00AE0C06">
      <w:pPr>
        <w:pStyle w:val="Heading2"/>
      </w:pPr>
      <w:bookmarkStart w:id="0" w:name="modelling"/>
      <w:r>
        <w:t>M</w:t>
      </w:r>
      <w:r>
        <w:t>odelling</w:t>
      </w:r>
    </w:p>
    <w:p w14:paraId="180FFE42" w14:textId="77777777" w:rsidR="00C93ED1" w:rsidRDefault="00AE0C06">
      <w:pPr>
        <w:pStyle w:val="FirstParagraph"/>
      </w:pPr>
      <w:r>
        <w:rPr>
          <w:i/>
          <w:iCs/>
        </w:rPr>
        <w:t>Biomass flux of aquatic insects</w:t>
      </w:r>
    </w:p>
    <w:p w14:paraId="180FFE43" w14:textId="77777777" w:rsidR="00C93ED1" w:rsidRDefault="00AE0C06">
      <w:pPr>
        <w:pStyle w:val="BodyText"/>
      </w:pPr>
      <w:r>
        <w:t xml:space="preserve">The goal for biomass modelling was to generate predictions of annual </w:t>
      </w:r>
      <w:r>
        <w:t>insect emergence dry mass from rivers in each of 1,034,083 HydroBasins. Annual global emergence was then estimated by summing emergence across HydroBasins. To do this, we first converted literature-derived measures of annual benthic macroinvertebrate secondary production (</w:t>
      </w:r>
      <m:oMath>
        <m:sSub>
          <m:sSubPr>
            <m:ctrlPr>
              <w:rPr>
                <w:rFonts w:ascii="Cambria Math" w:hAnsi="Cambria Math"/>
              </w:rPr>
            </m:ctrlPr>
          </m:sSubPr>
          <m:e>
            <m:r>
              <w:rPr>
                <w:rFonts w:ascii="Cambria Math" w:hAnsi="Cambria Math"/>
              </w:rPr>
              <m:t>P</m:t>
            </m:r>
          </m:e>
          <m:sub>
            <m:r>
              <w:rPr>
                <w:rFonts w:ascii="Cambria Math" w:hAnsi="Cambria Math"/>
              </w:rPr>
              <m:t>b</m:t>
            </m:r>
          </m:sub>
        </m:sSub>
      </m:oMath>
      <w:r>
        <w:t>) to annual insect emergence production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in units of </w:t>
      </w:r>
      <m:oMath>
        <m:r>
          <m:rPr>
            <m:nor/>
          </m:rPr>
          <m:t>mg</m:t>
        </m:r>
        <m:r>
          <m:rPr>
            <m:sty m:val="p"/>
          </m:rPr>
          <w:rPr>
            <w:rFonts w:ascii="Cambria Math" w:hAnsi="Cambria Math"/>
          </w:rPr>
          <m:t>⋅</m:t>
        </m:r>
        <m:r>
          <m:rPr>
            <m:nor/>
          </m:rPr>
          <m:t>DM</m:t>
        </m:r>
        <m:r>
          <m:rPr>
            <m:sty m:val="p"/>
          </m:rPr>
          <w:rPr>
            <w:rFonts w:ascii="Cambria Math" w:hAnsi="Cambria Math"/>
          </w:rPr>
          <m:t>⋅</m:t>
        </m:r>
        <m:sSup>
          <m:sSupPr>
            <m:ctrlPr>
              <w:rPr>
                <w:rFonts w:ascii="Cambria Math" w:hAnsi="Cambria Math"/>
              </w:rPr>
            </m:ctrlPr>
          </m:sSupPr>
          <m:e>
            <m:r>
              <m:rPr>
                <m:nor/>
              </m:rPr>
              <m:t>m</m:t>
            </m:r>
          </m:e>
          <m:sup>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m:rPr>
                <m:nor/>
              </m:rPr>
              <m:t>y</m:t>
            </m:r>
          </m:e>
          <m:sup>
            <m:r>
              <m:rPr>
                <m:sty m:val="p"/>
              </m:rPr>
              <w:rPr>
                <w:rFonts w:ascii="Cambria Math" w:hAnsi="Cambria Math"/>
              </w:rPr>
              <m:t>-</m:t>
            </m:r>
            <m:r>
              <w:rPr>
                <w:rFonts w:ascii="Cambria Math" w:hAnsi="Cambria Math"/>
              </w:rPr>
              <m:t>1</m:t>
            </m:r>
          </m:sup>
        </m:sSup>
      </m:oMath>
      <w:r>
        <w:t xml:space="preserve">. We then estimated the non-linear relationships of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with environmental predictors and used the parameters from those models to predict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basin</m:t>
            </m:r>
          </m:sub>
        </m:sSub>
      </m:oMath>
      <w:r>
        <w:t xml:space="preserve"> in each HydroBasin based on the environmental conditions of that basin. Finally, we multiplied the predicted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basin</m:t>
            </m:r>
          </m:sub>
        </m:sSub>
      </m:oMath>
      <w:r>
        <w:t xml:space="preserve"> by the amount of river water in each HydroBasin to yield the total emergence production per basin. Finally, summing across all basins </w:t>
      </w:r>
      <m:oMath>
        <m:nary>
          <m:naryPr>
            <m:chr m:val="∑"/>
            <m:limLoc m:val="undOvr"/>
            <m:ctrlPr>
              <w:rPr>
                <w:rFonts w:ascii="Cambria Math" w:hAnsi="Cambria Math"/>
              </w:rPr>
            </m:ctrlPr>
          </m:naryPr>
          <m:sub>
            <m:r>
              <w:rPr>
                <w:rFonts w:ascii="Cambria Math" w:hAnsi="Cambria Math"/>
              </w:rPr>
              <m:t>basin</m:t>
            </m:r>
            <m:r>
              <m:rPr>
                <m:sty m:val="p"/>
              </m:rPr>
              <w:rPr>
                <w:rFonts w:ascii="Cambria Math" w:hAnsi="Cambria Math"/>
              </w:rPr>
              <m:t>=</m:t>
            </m:r>
            <m:r>
              <w:rPr>
                <w:rFonts w:ascii="Cambria Math" w:hAnsi="Cambria Math"/>
              </w:rPr>
              <m:t>1</m:t>
            </m:r>
          </m:sub>
          <m:sup>
            <m:r>
              <w:rPr>
                <w:rFonts w:ascii="Cambria Math" w:hAnsi="Cambria Math"/>
              </w:rPr>
              <m:t>1</m:t>
            </m:r>
            <m:r>
              <m:rPr>
                <m:sty m:val="p"/>
              </m:rPr>
              <w:rPr>
                <w:rFonts w:ascii="Cambria Math" w:hAnsi="Cambria Math"/>
              </w:rPr>
              <m:t>,</m:t>
            </m:r>
            <m:r>
              <w:rPr>
                <w:rFonts w:ascii="Cambria Math" w:hAnsi="Cambria Math"/>
              </w:rPr>
              <m:t>034</m:t>
            </m:r>
            <m:r>
              <m:rPr>
                <m:sty m:val="p"/>
              </m:rPr>
              <w:rPr>
                <w:rFonts w:ascii="Cambria Math" w:hAnsi="Cambria Math"/>
              </w:rPr>
              <m:t>,</m:t>
            </m:r>
            <m:r>
              <w:rPr>
                <w:rFonts w:ascii="Cambria Math" w:hAnsi="Cambria Math"/>
              </w:rPr>
              <m:t>083</m:t>
            </m:r>
          </m:sup>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basin</m:t>
                </m:r>
              </m:sub>
            </m:sSub>
          </m:e>
        </m:nary>
      </m:oMath>
      <w:r>
        <w:t xml:space="preserve"> yielded the total annual emergence biomass globally in units of kilograms or metric tons per year. Below we describe each of these steps in sequence. To the extent possible, we have followed the notation of Gratton and Vander Zanden (2009).</w:t>
      </w:r>
    </w:p>
    <w:p w14:paraId="180FFE44" w14:textId="77777777" w:rsidR="00C93ED1" w:rsidRDefault="00AE0C06">
      <w:pPr>
        <w:pStyle w:val="BodyText"/>
      </w:pPr>
      <w:r>
        <w:rPr>
          <w:i/>
          <w:iCs/>
        </w:rPr>
        <w:t>Annual Insect Emergence Production</w:t>
      </w:r>
    </w:p>
    <w:p w14:paraId="180FFE45" w14:textId="77777777" w:rsidR="00C93ED1" w:rsidRDefault="00AE0C06">
      <w:pPr>
        <w:pStyle w:val="BodyText"/>
      </w:pPr>
      <w:r>
        <w:t xml:space="preserve">To convert benthic secondary production to insect emergence, we first calculated the raw fraction of community production composed of insects </w:t>
      </w:r>
      <m:oMath>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e>
        </m:d>
      </m:oMath>
      <w:r>
        <w:t xml:space="preserve"> from the 113 studies that reported both community-level and insect-only production. To estimate uncertainty in those proportions, we fit an intercept only model with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as the response variable as follows:</w:t>
      </w:r>
    </w:p>
    <w:p w14:paraId="180FFE46" w14:textId="77777777" w:rsidR="00C93ED1" w:rsidRDefault="00AE0C06">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∼Beta</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ϕ</m:t>
              </m:r>
            </m:e>
          </m:d>
        </m:oMath>
      </m:oMathPara>
    </w:p>
    <w:p w14:paraId="180FFE47" w14:textId="77777777" w:rsidR="00C93ED1" w:rsidRDefault="00AE0C06">
      <w:pPr>
        <w:pStyle w:val="FirstParagraph"/>
      </w:pPr>
      <m:oMathPara>
        <m:oMathParaPr>
          <m:jc m:val="center"/>
        </m:oMathParaPr>
        <m:oMath>
          <m:r>
            <m:rPr>
              <m:sty m:val="p"/>
            </m:rP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f</m:t>
                      </m:r>
                    </m:e>
                    <m:sub>
                      <m:r>
                        <w:rPr>
                          <w:rFonts w:ascii="Cambria Math" w:hAnsi="Cambria Math"/>
                        </w:rPr>
                        <m:t>i</m:t>
                      </m:r>
                    </m:sub>
                  </m:sSub>
                </m:sub>
              </m:sSub>
            </m:e>
          </m:d>
          <m:r>
            <m:rPr>
              <m:sty m:val="p"/>
            </m:rPr>
            <w:rPr>
              <w:rFonts w:ascii="Cambria Math" w:hAnsi="Cambria Math"/>
            </w:rPr>
            <m:t>∼Normal</m:t>
          </m:r>
          <m:d>
            <m:dPr>
              <m:ctrlPr>
                <w:rPr>
                  <w:rFonts w:ascii="Cambria Math" w:hAnsi="Cambria Math"/>
                </w:rPr>
              </m:ctrlPr>
            </m:dPr>
            <m:e>
              <m:r>
                <w:rPr>
                  <w:rFonts w:ascii="Cambria Math" w:hAnsi="Cambria Math"/>
                </w:rPr>
                <m:t>0.66</m:t>
              </m:r>
              <m:r>
                <m:rPr>
                  <m:sty m:val="p"/>
                </m:rPr>
                <w:rPr>
                  <w:rFonts w:ascii="Cambria Math" w:hAnsi="Cambria Math"/>
                </w:rPr>
                <m:t>,</m:t>
              </m:r>
              <m:r>
                <w:rPr>
                  <w:rFonts w:ascii="Cambria Math" w:hAnsi="Cambria Math"/>
                </w:rPr>
                <m:t>0.07</m:t>
              </m:r>
            </m:e>
          </m:d>
        </m:oMath>
      </m:oMathPara>
    </w:p>
    <w:p w14:paraId="180FFE48" w14:textId="77777777" w:rsidR="00C93ED1" w:rsidRDefault="00AE0C06">
      <w:pPr>
        <w:pStyle w:val="FirstParagraph"/>
      </w:pPr>
      <m:oMathPara>
        <m:oMathParaPr>
          <m:jc m:val="center"/>
        </m:oMathParaPr>
        <m:oMath>
          <m:r>
            <w:rPr>
              <w:rFonts w:ascii="Cambria Math" w:hAnsi="Cambria Math"/>
            </w:rPr>
            <m:t>ϕ</m:t>
          </m:r>
          <m:r>
            <m:rPr>
              <m:sty m:val="p"/>
            </m:rPr>
            <w:rPr>
              <w:rFonts w:ascii="Cambria Math" w:hAnsi="Cambria Math"/>
            </w:rPr>
            <m:t>∼Gamma</m:t>
          </m:r>
          <m:d>
            <m:dPr>
              <m:ctrlPr>
                <w:rPr>
                  <w:rFonts w:ascii="Cambria Math" w:hAnsi="Cambria Math"/>
                </w:rPr>
              </m:ctrlPr>
            </m:dPr>
            <m:e>
              <m:r>
                <w:rPr>
                  <w:rFonts w:ascii="Cambria Math" w:hAnsi="Cambria Math"/>
                </w:rPr>
                <m:t>0.01</m:t>
              </m:r>
              <m:r>
                <m:rPr>
                  <m:sty m:val="p"/>
                </m:rPr>
                <w:rPr>
                  <w:rFonts w:ascii="Cambria Math" w:hAnsi="Cambria Math"/>
                </w:rPr>
                <m:t>,</m:t>
              </m:r>
              <m:r>
                <w:rPr>
                  <w:rFonts w:ascii="Cambria Math" w:hAnsi="Cambria Math"/>
                </w:rPr>
                <m:t>0.01</m:t>
              </m:r>
            </m:e>
          </m:d>
        </m:oMath>
      </m:oMathPara>
    </w:p>
    <w:p w14:paraId="180FFE49" w14:textId="77777777" w:rsidR="00C93ED1" w:rsidRDefault="00AE0C06">
      <w:pPr>
        <w:pStyle w:val="FirstParagraph"/>
      </w:pPr>
      <w:r>
        <w:t xml:space="preserve">The likelihood was Beta and the prior for the intercept was the </w:t>
      </w:r>
      <m:oMath>
        <m:r>
          <w:rPr>
            <w:rFonts w:ascii="Cambria Math" w:hAnsi="Cambria Math"/>
          </w:rPr>
          <m:t>N</m:t>
        </m:r>
        <m:d>
          <m:dPr>
            <m:ctrlPr>
              <w:rPr>
                <w:rFonts w:ascii="Cambria Math" w:hAnsi="Cambria Math"/>
              </w:rPr>
            </m:ctrlPr>
          </m:dPr>
          <m:e>
            <m:r>
              <w:rPr>
                <w:rFonts w:ascii="Cambria Math" w:hAnsi="Cambria Math"/>
              </w:rPr>
              <m:t>0.66</m:t>
            </m:r>
            <m:r>
              <m:rPr>
                <m:sty m:val="p"/>
              </m:rPr>
              <w:rPr>
                <w:rFonts w:ascii="Cambria Math" w:hAnsi="Cambria Math"/>
              </w:rPr>
              <m:t>,</m:t>
            </m:r>
            <m:r>
              <w:rPr>
                <w:rFonts w:ascii="Cambria Math" w:hAnsi="Cambria Math"/>
              </w:rPr>
              <m:t>0.07</m:t>
            </m:r>
          </m:e>
        </m:d>
      </m:oMath>
      <w:r>
        <w:t xml:space="preserve">, corresponding to a prior mean fraction of ~66%, consistent with prior estimates by Gratton et al. (2009). This produced a posterior distribution of the average fraction of secondary production that are insects </w:t>
      </w:r>
      <m:oMath>
        <m:r>
          <w:rPr>
            <w:rFonts w:ascii="Cambria Math" w:hAnsi="Cambria Math"/>
          </w:rPr>
          <m:t>μ</m:t>
        </m:r>
      </m:oMath>
      <w:r>
        <w:t xml:space="preserve">. We took 1000 </w:t>
      </w:r>
      <w:r>
        <w:rPr>
          <w:i/>
          <w:iCs/>
        </w:rPr>
        <w:t>k</w:t>
      </w:r>
      <w:r>
        <w:t xml:space="preserve"> draws from that distribution and multiplied each draw by a corresponding benthic secondary production estimate </w:t>
      </w:r>
      <m:oMath>
        <m:sSub>
          <m:sSubPr>
            <m:ctrlPr>
              <w:rPr>
                <w:rFonts w:ascii="Cambria Math" w:hAnsi="Cambria Math"/>
              </w:rPr>
            </m:ctrlPr>
          </m:sSubPr>
          <m:e>
            <m:r>
              <w:rPr>
                <w:rFonts w:ascii="Cambria Math" w:hAnsi="Cambria Math"/>
              </w:rPr>
              <m:t>P</m:t>
            </m:r>
          </m:e>
          <m:sub>
            <m:r>
              <w:rPr>
                <w:rFonts w:ascii="Cambria Math" w:hAnsi="Cambria Math"/>
              </w:rPr>
              <m:t>b</m:t>
            </m:r>
          </m:sub>
        </m:sSub>
      </m:oMath>
      <w:r>
        <w:t xml:space="preserve"> to yield a distribution of insect-only benthic secondary production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k</m:t>
            </m:r>
          </m:sup>
        </m:sSubSup>
      </m:oMath>
      <w:r>
        <w:t xml:space="preserve">, such that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k</m:t>
            </m:r>
          </m:sup>
        </m:sSup>
      </m:oMath>
      <w:r>
        <w:t xml:space="preserve">. Averaging over the </w:t>
      </w:r>
      <m:oMath>
        <m:r>
          <w:rPr>
            <w:rFonts w:ascii="Cambria Math" w:hAnsi="Cambria Math"/>
          </w:rPr>
          <m:t>k</m:t>
        </m:r>
      </m:oMath>
      <w:r>
        <w:t xml:space="preserve"> </w:t>
      </w:r>
      <w:r>
        <w:t xml:space="preserve">draws yielded a mean value of aquatic insect benthic production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for each corresponding measure of total secondary production.</w:t>
      </w:r>
    </w:p>
    <w:p w14:paraId="180FFE4A" w14:textId="77777777" w:rsidR="00C93ED1" w:rsidRDefault="00AE0C06">
      <w:pPr>
        <w:pStyle w:val="BodyText"/>
      </w:pPr>
      <w:r>
        <w:lastRenderedPageBreak/>
        <w:t xml:space="preserve">To convert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to emergence production </w:t>
      </w:r>
      <m:oMath>
        <m:sSub>
          <m:sSubPr>
            <m:ctrlPr>
              <w:rPr>
                <w:rFonts w:ascii="Cambria Math" w:hAnsi="Cambria Math"/>
              </w:rPr>
            </m:ctrlPr>
          </m:sSubPr>
          <m:e>
            <m:r>
              <w:rPr>
                <w:rFonts w:ascii="Cambria Math" w:hAnsi="Cambria Math"/>
              </w:rPr>
              <m:t>E</m:t>
            </m:r>
          </m:e>
          <m:sub>
            <m:r>
              <w:rPr>
                <w:rFonts w:ascii="Cambria Math" w:hAnsi="Cambria Math"/>
              </w:rPr>
              <m:t>i</m:t>
            </m:r>
          </m:sub>
        </m:sSub>
      </m:oMath>
      <w:r>
        <w:t>, we first estimated the posterior distribution of emergence-to-production ratios E:P using data from Gratton et al. (2009) and Raitif et al. (2018). We used a Beta likelihood and an intercept only model with varying intercepts for study and taxon:</w:t>
      </w:r>
    </w:p>
    <w:p w14:paraId="180FFE4B" w14:textId="77777777" w:rsidR="00C93ED1" w:rsidRDefault="00AE0C06">
      <w:pPr>
        <w:pStyle w:val="BodyText"/>
      </w:pPr>
      <m:oMathPara>
        <m:oMathParaPr>
          <m:jc m:val="center"/>
        </m:oMathParaPr>
        <m:oMath>
          <m:r>
            <m:rPr>
              <m:nor/>
            </m:rPr>
            <m:t>E:P</m:t>
          </m:r>
          <m:r>
            <m:rPr>
              <m:sty m:val="p"/>
            </m:rPr>
            <w:rPr>
              <w:rFonts w:ascii="Cambria Math" w:hAnsi="Cambria Math"/>
            </w:rPr>
            <m:t>∼Beta</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ϕ</m:t>
              </m:r>
            </m:e>
          </m:d>
        </m:oMath>
      </m:oMathPara>
    </w:p>
    <w:p w14:paraId="180FFE4C" w14:textId="77777777" w:rsidR="00C93ED1" w:rsidRDefault="00AE0C06">
      <w:pPr>
        <w:pStyle w:val="FirstParagraph"/>
      </w:pPr>
      <m:oMathPara>
        <m:oMathParaPr>
          <m:jc m:val="center"/>
        </m:oMathParaPr>
        <m:oMath>
          <m:r>
            <m:rPr>
              <m:sty m:val="p"/>
            </m:rP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E</m:t>
                  </m:r>
                  <m:r>
                    <m:rPr>
                      <m:sty m:val="p"/>
                    </m:rPr>
                    <w:rPr>
                      <w:rFonts w:ascii="Cambria Math" w:hAnsi="Cambria Math"/>
                    </w:rPr>
                    <m:t>:</m:t>
                  </m:r>
                  <m:r>
                    <w:rPr>
                      <w:rFonts w:ascii="Cambria Math" w:hAnsi="Cambria Math"/>
                    </w:rPr>
                    <m:t>P</m:t>
                  </m:r>
                </m:sub>
              </m:sSub>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study</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taxon</m:t>
              </m:r>
            </m:sub>
          </m:sSub>
        </m:oMath>
      </m:oMathPara>
    </w:p>
    <w:p w14:paraId="180FFE4D" w14:textId="77777777" w:rsidR="00C93ED1" w:rsidRDefault="00AE0C06">
      <w:pPr>
        <w:pStyle w:val="FirstParagraph"/>
      </w:pPr>
      <m:oMathPara>
        <m:oMathParaPr>
          <m:jc m:val="center"/>
        </m:oMathParaPr>
        <m:oMath>
          <m:r>
            <w:rPr>
              <w:rFonts w:ascii="Cambria Math" w:hAnsi="Cambria Math"/>
            </w:rPr>
            <m:t>α</m:t>
          </m:r>
          <m:r>
            <m:rPr>
              <m:sty m:val="p"/>
            </m:rPr>
            <w:rPr>
              <w:rFonts w:ascii="Cambria Math" w:hAnsi="Cambria Math"/>
            </w:rPr>
            <m:t>∼Normal</m:t>
          </m:r>
          <m:d>
            <m:dPr>
              <m:ctrlPr>
                <w:rPr>
                  <w:rFonts w:ascii="Cambria Math" w:hAnsi="Cambria Math"/>
                </w:rPr>
              </m:ctrlPr>
            </m:dPr>
            <m:e>
              <m:r>
                <w:rPr>
                  <w:rFonts w:ascii="Cambria Math" w:hAnsi="Cambria Math"/>
                </w:rPr>
                <m:t>0.19</m:t>
              </m:r>
              <m:r>
                <m:rPr>
                  <m:sty m:val="p"/>
                </m:rPr>
                <w:rPr>
                  <w:rFonts w:ascii="Cambria Math" w:hAnsi="Cambria Math"/>
                </w:rPr>
                <m:t>,</m:t>
              </m:r>
              <m:r>
                <w:rPr>
                  <w:rFonts w:ascii="Cambria Math" w:hAnsi="Cambria Math"/>
                </w:rPr>
                <m:t>0.05</m:t>
              </m:r>
            </m:e>
          </m:d>
        </m:oMath>
      </m:oMathPara>
    </w:p>
    <w:p w14:paraId="180FFE4E" w14:textId="77777777" w:rsidR="00C93ED1" w:rsidRDefault="00AE0C06">
      <w:pPr>
        <w:pStyle w:val="FirstParagraph"/>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study</m:t>
              </m:r>
            </m:sub>
          </m:sSub>
          <m:r>
            <m:rPr>
              <m:sty m:val="p"/>
            </m:rPr>
            <w:rPr>
              <w:rFonts w:ascii="Cambria Math" w:hAnsi="Cambria Math"/>
            </w: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study</m:t>
                  </m:r>
                </m:sub>
              </m:sSub>
            </m:e>
          </m:d>
        </m:oMath>
      </m:oMathPara>
    </w:p>
    <w:p w14:paraId="180FFE4F" w14:textId="77777777" w:rsidR="00C93ED1" w:rsidRDefault="00AE0C06">
      <w:pPr>
        <w:pStyle w:val="FirstParagraph"/>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taxon</m:t>
              </m:r>
            </m:sub>
          </m:sSub>
          <m:r>
            <m:rPr>
              <m:sty m:val="p"/>
            </m:rPr>
            <w:rPr>
              <w:rFonts w:ascii="Cambria Math" w:hAnsi="Cambria Math"/>
            </w: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taxon</m:t>
                  </m:r>
                </m:sub>
              </m:sSub>
            </m:e>
          </m:d>
        </m:oMath>
      </m:oMathPara>
    </w:p>
    <w:p w14:paraId="180FFE50" w14:textId="77777777" w:rsidR="00C93ED1" w:rsidRDefault="00AE0C06">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study</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taxon</m:t>
              </m:r>
            </m:sub>
          </m:sSub>
          <m:r>
            <m:rPr>
              <m:sty m:val="p"/>
            </m:rPr>
            <w:rPr>
              <w:rFonts w:ascii="Cambria Math" w:hAnsi="Cambria Math"/>
            </w:rPr>
            <m:t>∼Exponential</m:t>
          </m:r>
          <m:d>
            <m:dPr>
              <m:ctrlPr>
                <w:rPr>
                  <w:rFonts w:ascii="Cambria Math" w:hAnsi="Cambria Math"/>
                </w:rPr>
              </m:ctrlPr>
            </m:dPr>
            <m:e>
              <m:r>
                <w:rPr>
                  <w:rFonts w:ascii="Cambria Math" w:hAnsi="Cambria Math"/>
                </w:rPr>
                <m:t>2</m:t>
              </m:r>
            </m:e>
          </m:d>
        </m:oMath>
      </m:oMathPara>
    </w:p>
    <w:p w14:paraId="180FFE51" w14:textId="77777777" w:rsidR="00C93ED1" w:rsidRDefault="00AE0C06">
      <w:pPr>
        <w:pStyle w:val="FirstParagraph"/>
      </w:pPr>
      <m:oMathPara>
        <m:oMathParaPr>
          <m:jc m:val="center"/>
        </m:oMathParaPr>
        <m:oMath>
          <m:r>
            <w:rPr>
              <w:rFonts w:ascii="Cambria Math" w:hAnsi="Cambria Math"/>
            </w:rPr>
            <m:t>ϕ</m:t>
          </m:r>
          <m:r>
            <m:rPr>
              <m:sty m:val="p"/>
            </m:rPr>
            <w:rPr>
              <w:rFonts w:ascii="Cambria Math" w:hAnsi="Cambria Math"/>
            </w:rPr>
            <m:t>∼Gamma</m:t>
          </m:r>
          <m:d>
            <m:dPr>
              <m:ctrlPr>
                <w:rPr>
                  <w:rFonts w:ascii="Cambria Math" w:hAnsi="Cambria Math"/>
                </w:rPr>
              </m:ctrlPr>
            </m:dPr>
            <m:e>
              <m:r>
                <w:rPr>
                  <w:rFonts w:ascii="Cambria Math" w:hAnsi="Cambria Math"/>
                </w:rPr>
                <m:t>0.01</m:t>
              </m:r>
              <m:r>
                <m:rPr>
                  <m:sty m:val="p"/>
                </m:rPr>
                <w:rPr>
                  <w:rFonts w:ascii="Cambria Math" w:hAnsi="Cambria Math"/>
                </w:rPr>
                <m:t>,</m:t>
              </m:r>
              <m:r>
                <w:rPr>
                  <w:rFonts w:ascii="Cambria Math" w:hAnsi="Cambria Math"/>
                </w:rPr>
                <m:t>0.01</m:t>
              </m:r>
            </m:e>
          </m:d>
        </m:oMath>
      </m:oMathPara>
    </w:p>
    <w:p w14:paraId="180FFE52" w14:textId="77777777" w:rsidR="00C93ED1" w:rsidRDefault="00AE0C06">
      <w:pPr>
        <w:pStyle w:val="FirstParagraph"/>
      </w:pPr>
      <w:r>
        <w:t xml:space="preserve">After obtaining this estimate, we Monte Carlo multiplied 1000 </w:t>
      </w:r>
      <m:oMath>
        <m:r>
          <w:rPr>
            <w:rFonts w:ascii="Cambria Math" w:hAnsi="Cambria Math"/>
          </w:rPr>
          <m:t>k</m:t>
        </m:r>
      </m:oMath>
      <w:r>
        <w:t xml:space="preserve"> draws from the posterior distribution of E:P ratios by 1000 </w:t>
      </w:r>
      <m:oMath>
        <m:r>
          <w:rPr>
            <w:rFonts w:ascii="Cambria Math" w:hAnsi="Cambria Math"/>
          </w:rPr>
          <m:t>k</m:t>
        </m:r>
      </m:oMath>
      <w:r>
        <w:t xml:space="preserve"> draws from the posterior distribution of insect production estimates </w:t>
      </w: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E</m:t>
            </m:r>
            <m:r>
              <m:rPr>
                <m:sty m:val="p"/>
              </m:rPr>
              <w:rPr>
                <w:rFonts w:ascii="Cambria Math" w:hAnsi="Cambria Math"/>
              </w:rPr>
              <m:t>:</m:t>
            </m:r>
            <m:r>
              <w:rPr>
                <w:rFonts w:ascii="Cambria Math" w:hAnsi="Cambria Math"/>
              </w:rPr>
              <m:t>P</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sSub>
              <m:sSubPr>
                <m:ctrlPr>
                  <w:rPr>
                    <w:rFonts w:ascii="Cambria Math" w:hAnsi="Cambria Math"/>
                  </w:rPr>
                </m:ctrlPr>
              </m:sSubPr>
              <m:e>
                <m:r>
                  <w:rPr>
                    <w:rFonts w:ascii="Cambria Math" w:hAnsi="Cambria Math"/>
                  </w:rPr>
                  <m:t>f</m:t>
                </m:r>
              </m:e>
              <m:sub>
                <m:r>
                  <w:rPr>
                    <w:rFonts w:ascii="Cambria Math" w:hAnsi="Cambria Math"/>
                  </w:rPr>
                  <m:t>i</m:t>
                </m:r>
              </m:sub>
            </m:sSub>
          </m:sub>
          <m:sup>
            <m:r>
              <w:rPr>
                <w:rFonts w:ascii="Cambria Math" w:hAnsi="Cambria Math"/>
              </w:rPr>
              <m:t>k</m:t>
            </m:r>
          </m:sup>
        </m:sSubSup>
      </m:oMath>
      <w:r>
        <w:t xml:space="preserve">. Averaging over the draws yielded 293 modeled estimates of median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We combined these with 18 empirical estimates resulting in 311 total estimates of annual insect emergence production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t>
      </w:r>
      <m:oMath>
        <m:r>
          <m:rPr>
            <m:nor/>
          </m:rPr>
          <m:t>mg</m:t>
        </m:r>
        <m:r>
          <m:rPr>
            <m:sty m:val="p"/>
          </m:rPr>
          <w:rPr>
            <w:rFonts w:ascii="Cambria Math" w:hAnsi="Cambria Math"/>
          </w:rPr>
          <m:t>⋅</m:t>
        </m:r>
        <m:r>
          <m:rPr>
            <m:nor/>
          </m:rPr>
          <m:t>DM</m:t>
        </m:r>
        <m:r>
          <m:rPr>
            <m:sty m:val="p"/>
          </m:rPr>
          <w:rPr>
            <w:rFonts w:ascii="Cambria Math" w:hAnsi="Cambria Math"/>
          </w:rPr>
          <m:t>⋅</m:t>
        </m:r>
        <m:sSup>
          <m:sSupPr>
            <m:ctrlPr>
              <w:rPr>
                <w:rFonts w:ascii="Cambria Math" w:hAnsi="Cambria Math"/>
              </w:rPr>
            </m:ctrlPr>
          </m:sSupPr>
          <m:e>
            <m:r>
              <m:rPr>
                <m:nor/>
              </m:rPr>
              <m:t>m</m:t>
            </m:r>
          </m:e>
          <m:sup>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m:rPr>
                <m:nor/>
              </m:rPr>
              <m:t>y</m:t>
            </m:r>
          </m:e>
          <m:sup>
            <m:r>
              <m:rPr>
                <m:sty m:val="p"/>
              </m:rPr>
              <w:rPr>
                <w:rFonts w:ascii="Cambria Math" w:hAnsi="Cambria Math"/>
              </w:rPr>
              <m:t>-</m:t>
            </m:r>
            <m:r>
              <w:rPr>
                <w:rFonts w:ascii="Cambria Math" w:hAnsi="Cambria Math"/>
              </w:rPr>
              <m:t>1</m:t>
            </m:r>
          </m:sup>
        </m:sSup>
      </m:oMath>
      <w:r>
        <w:t>).</w:t>
      </w:r>
    </w:p>
    <w:p w14:paraId="180FFE53" w14:textId="77777777" w:rsidR="00C93ED1" w:rsidRDefault="00AE0C06">
      <w:pPr>
        <w:pStyle w:val="BodyText"/>
      </w:pPr>
      <w:r>
        <w:rPr>
          <w:i/>
          <w:iCs/>
        </w:rPr>
        <w:t>Relationships of emergence and environmental variables</w:t>
      </w:r>
    </w:p>
    <w:p w14:paraId="180FFE54" w14:textId="77777777" w:rsidR="00C93ED1" w:rsidRDefault="00AE0C06">
      <w:pPr>
        <w:pStyle w:val="BodyText"/>
      </w:pPr>
      <w:r>
        <w:t xml:space="preserve">To determine which environmental variables best predicted emergence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we used generalized additive models (GAM) with median emergence estimates from the above procedures (n = 311) as the response variable and a set of environmental variables as predictors (Supplementary Table Predictors). The likelihood was Gamma with a log-link. Prior values were determined with prior predictive simulation (Wesner and Pomeranz 2021). We fit 15 models (Supplementary Table Models) with predictors including combinations of mean annual water temperature, mean annual precipitation, and 8 other </w:t>
      </w:r>
      <w:r>
        <w:t>geospatial predictors. All models had varying intercepts of author and HydroBasin, both of which were included to allow posterior prediction to new locations. Values for the fixed predictors were determined using the lat/lon location of each emergence sample and the corresponding environmental variables available through HydroAtlas (level 12). The general model structure was:</w:t>
      </w:r>
    </w:p>
    <w:p w14:paraId="180FFE55" w14:textId="77777777" w:rsidR="00C93ED1" w:rsidRDefault="00AE0C06">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num>
            <m:den>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d>
            </m:den>
          </m:f>
          <m:r>
            <m:rPr>
              <m:sty m:val="p"/>
            </m:rPr>
            <w:rPr>
              <w:rFonts w:ascii="Cambria Math" w:hAnsi="Cambria Math"/>
            </w:rPr>
            <m:t>∼Gamma</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ϕ</m:t>
              </m:r>
            </m:e>
          </m:d>
        </m:oMath>
      </m:oMathPara>
    </w:p>
    <w:p w14:paraId="180FFE56" w14:textId="77777777" w:rsidR="00C93ED1" w:rsidRDefault="00AE0C06">
      <w:pPr>
        <w:pStyle w:val="FirstParagraph"/>
      </w:pPr>
      <m:oMathPara>
        <m:oMathParaPr>
          <m:jc m:val="center"/>
        </m:oMathParaPr>
        <m:oMath>
          <m:r>
            <m:rPr>
              <m:sty m:val="p"/>
            </m:rPr>
            <w:rPr>
              <w:rFonts w:ascii="Cambria Math" w:hAnsi="Cambria Math"/>
            </w:rPr>
            <m:t>log</m:t>
          </m:r>
          <m:d>
            <m:dPr>
              <m:ctrlPr>
                <w:rPr>
                  <w:rFonts w:ascii="Cambria Math" w:hAnsi="Cambria Math"/>
                </w:rPr>
              </m:ctrlPr>
            </m:dPr>
            <m:e>
              <m:r>
                <w:rPr>
                  <w:rFonts w:ascii="Cambria Math" w:hAnsi="Cambria Math"/>
                </w:rPr>
                <m:t>μ</m:t>
              </m:r>
            </m:e>
          </m:d>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f</m:t>
          </m:r>
          <m:d>
            <m:dPr>
              <m:ctrlPr>
                <w:rPr>
                  <w:rFonts w:ascii="Cambria Math" w:hAnsi="Cambria Math"/>
                </w:rPr>
              </m:ctrlPr>
            </m:dPr>
            <m:e>
              <m:r>
                <m:rPr>
                  <m:nor/>
                </m:rPr>
                <m:t>X</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study</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basin</m:t>
              </m:r>
            </m:sub>
          </m:sSub>
        </m:oMath>
      </m:oMathPara>
    </w:p>
    <w:p w14:paraId="180FFE57" w14:textId="77777777" w:rsidR="00C93ED1" w:rsidRDefault="00AE0C06">
      <w:pPr>
        <w:pStyle w:val="FirstParagraph"/>
      </w:pPr>
      <m:oMathPara>
        <m:oMathParaPr>
          <m:jc m:val="center"/>
        </m:oMathParaPr>
        <m:oMath>
          <m:r>
            <w:rPr>
              <w:rFonts w:ascii="Cambria Math" w:hAnsi="Cambria Math"/>
            </w:rPr>
            <m:t>α</m:t>
          </m:r>
          <m:r>
            <m:rPr>
              <m:sty m:val="p"/>
            </m:rPr>
            <w:rPr>
              <w:rFonts w:ascii="Cambria Math" w:hAnsi="Cambria Math"/>
            </w:rPr>
            <m:t>∼Normal</m:t>
          </m:r>
          <m:d>
            <m:dPr>
              <m:ctrlPr>
                <w:rPr>
                  <w:rFonts w:ascii="Cambria Math" w:hAnsi="Cambria Math"/>
                </w:rPr>
              </m:ctrlPr>
            </m:dPr>
            <m:e>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oMath>
      </m:oMathPara>
    </w:p>
    <w:p w14:paraId="180FFE58" w14:textId="77777777" w:rsidR="00C93ED1" w:rsidRDefault="00AE0C06">
      <w:pPr>
        <w:pStyle w:val="FirstParagraph"/>
      </w:pPr>
      <m:oMathPara>
        <m:oMathParaPr>
          <m:jc m:val="center"/>
        </m:oMathParaPr>
        <m:oMath>
          <m:r>
            <w:rPr>
              <w:rFonts w:ascii="Cambria Math" w:hAnsi="Cambria Math"/>
            </w:rPr>
            <w:lastRenderedPageBreak/>
            <m:t>f</m:t>
          </m:r>
          <m:d>
            <m:dPr>
              <m:ctrlPr>
                <w:rPr>
                  <w:rFonts w:ascii="Cambria Math" w:hAnsi="Cambria Math"/>
                </w:rPr>
              </m:ctrlPr>
            </m:dPr>
            <m:e>
              <m:r>
                <m:rPr>
                  <m:nor/>
                </m: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β</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m:rPr>
                  <m:nor/>
                </m:rPr>
                <m:t>X</m:t>
              </m:r>
            </m:e>
          </m:d>
        </m:oMath>
      </m:oMathPara>
    </w:p>
    <w:p w14:paraId="180FFE59" w14:textId="77777777" w:rsidR="00C93ED1" w:rsidRDefault="00AE0C06">
      <w:pPr>
        <w:pStyle w:val="FirstParagraph"/>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f</m:t>
                  </m:r>
                </m:sub>
              </m:sSub>
            </m:e>
          </m:d>
        </m:oMath>
      </m:oMathPara>
    </w:p>
    <w:p w14:paraId="180FFE5A" w14:textId="77777777" w:rsidR="00C93ED1" w:rsidRDefault="00AE0C06">
      <w:pPr>
        <w:pStyle w:val="FirstParagraph"/>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m:oMathPara>
    </w:p>
    <w:p w14:paraId="180FFE5B" w14:textId="77777777" w:rsidR="00C93ED1" w:rsidRDefault="00AE0C06">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∼StudentT</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2.5</m:t>
              </m:r>
            </m:e>
          </m:d>
        </m:oMath>
      </m:oMathPara>
    </w:p>
    <w:p w14:paraId="180FFE5C" w14:textId="77777777" w:rsidR="00C93ED1" w:rsidRDefault="00AE0C06">
      <w:pPr>
        <w:pStyle w:val="FirstParagraph"/>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study</m:t>
              </m:r>
            </m:sub>
          </m:sSub>
          <m:r>
            <m:rPr>
              <m:sty m:val="p"/>
            </m:rPr>
            <w:rPr>
              <w:rFonts w:ascii="Cambria Math" w:hAnsi="Cambria Math"/>
            </w: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study</m:t>
                  </m:r>
                </m:sub>
              </m:sSub>
            </m:e>
          </m:d>
        </m:oMath>
      </m:oMathPara>
    </w:p>
    <w:p w14:paraId="180FFE5D" w14:textId="77777777" w:rsidR="00C93ED1" w:rsidRDefault="00AE0C06">
      <w:pPr>
        <w:pStyle w:val="FirstParagraph"/>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basin</m:t>
              </m:r>
            </m:sub>
          </m:sSub>
          <m:r>
            <m:rPr>
              <m:sty m:val="p"/>
            </m:rPr>
            <w:rPr>
              <w:rFonts w:ascii="Cambria Math" w:hAnsi="Cambria Math"/>
            </w: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basin</m:t>
                  </m:r>
                </m:sub>
              </m:sSub>
            </m:e>
          </m:d>
        </m:oMath>
      </m:oMathPara>
    </w:p>
    <w:p w14:paraId="180FFE5E" w14:textId="77777777" w:rsidR="00C93ED1" w:rsidRDefault="00AE0C06">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study</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basin</m:t>
              </m:r>
            </m:sub>
          </m:sSub>
          <m:r>
            <m:rPr>
              <m:sty m:val="p"/>
            </m:rPr>
            <w:rPr>
              <w:rFonts w:ascii="Cambria Math" w:hAnsi="Cambria Math"/>
            </w:rPr>
            <m:t>∼Exponential</m:t>
          </m:r>
          <m:d>
            <m:dPr>
              <m:ctrlPr>
                <w:rPr>
                  <w:rFonts w:ascii="Cambria Math" w:hAnsi="Cambria Math"/>
                </w:rPr>
              </m:ctrlPr>
            </m:dPr>
            <m:e>
              <m:r>
                <w:rPr>
                  <w:rFonts w:ascii="Cambria Math" w:hAnsi="Cambria Math"/>
                </w:rPr>
                <m:t>4</m:t>
              </m:r>
            </m:e>
          </m:d>
        </m:oMath>
      </m:oMathPara>
    </w:p>
    <w:p w14:paraId="180FFE5F" w14:textId="77777777" w:rsidR="00C93ED1" w:rsidRDefault="00AE0C06">
      <w:pPr>
        <w:pStyle w:val="FirstParagraph"/>
      </w:pPr>
      <m:oMathPara>
        <m:oMathParaPr>
          <m:jc m:val="center"/>
        </m:oMathParaPr>
        <m:oMath>
          <m:r>
            <w:rPr>
              <w:rFonts w:ascii="Cambria Math" w:hAnsi="Cambria Math"/>
            </w:rPr>
            <m:t>ϕ</m:t>
          </m:r>
          <m:r>
            <m:rPr>
              <m:sty m:val="p"/>
            </m:rPr>
            <w:rPr>
              <w:rFonts w:ascii="Cambria Math" w:hAnsi="Cambria Math"/>
            </w:rPr>
            <m:t>∼Exponential</m:t>
          </m:r>
          <m:d>
            <m:dPr>
              <m:ctrlPr>
                <w:rPr>
                  <w:rFonts w:ascii="Cambria Math" w:hAnsi="Cambria Math"/>
                </w:rPr>
              </m:ctrlPr>
            </m:dPr>
            <m:e>
              <m:r>
                <w:rPr>
                  <w:rFonts w:ascii="Cambria Math" w:hAnsi="Cambria Math"/>
                </w:rPr>
                <m:t>0.01</m:t>
              </m:r>
            </m:e>
          </m:d>
          <m:r>
            <m:rPr>
              <m:sty m:val="p"/>
            </m:rPr>
            <w:rPr>
              <w:rFonts w:ascii="Cambria Math" w:hAnsi="Cambria Math"/>
            </w:rPr>
            <m:t>,</m:t>
          </m:r>
        </m:oMath>
      </m:oMathPara>
    </w:p>
    <w:p w14:paraId="180FFE60" w14:textId="77777777" w:rsidR="00C93ED1" w:rsidRDefault="00AE0C06">
      <w:pPr>
        <w:pStyle w:val="FirstParagraph"/>
      </w:pPr>
      <w:r>
        <w:t xml:space="preserve">where the response variable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is annual insect emergence production. To improve model fit and simplify the prior selection,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was standardized to the 0-1 scale by dividing each value by the maximum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prior to fitting. The likelihood is Gamma with an unknown mean </w:t>
      </w:r>
      <m:oMath>
        <m:r>
          <w:rPr>
            <w:rFonts w:ascii="Cambria Math" w:hAnsi="Cambria Math"/>
          </w:rPr>
          <m:t>μ</m:t>
        </m:r>
      </m:oMath>
      <w:r>
        <w:t xml:space="preserve"> and shape </w:t>
      </w:r>
      <m:oMath>
        <m:r>
          <w:rPr>
            <w:rFonts w:ascii="Cambria Math" w:hAnsi="Cambria Math"/>
          </w:rPr>
          <m:t>ϕ</m:t>
        </m:r>
      </m:oMath>
      <w:r>
        <w:t xml:space="preserve">. The mean </w:t>
      </w:r>
      <m:oMath>
        <m:r>
          <w:rPr>
            <w:rFonts w:ascii="Cambria Math" w:hAnsi="Cambria Math"/>
          </w:rPr>
          <m:t>μ</m:t>
        </m:r>
      </m:oMath>
      <w:r>
        <w:t xml:space="preserve"> is described by an intercept </w:t>
      </w:r>
      <m:oMath>
        <m:r>
          <w:rPr>
            <w:rFonts w:ascii="Cambria Math" w:hAnsi="Cambria Math"/>
          </w:rPr>
          <m:t>α</m:t>
        </m:r>
      </m:oMath>
      <w:r>
        <w:t xml:space="preserve"> </w:t>
      </w:r>
      <w:r>
        <w:t xml:space="preserve">and varying intercepts for study </w:t>
      </w:r>
      <m:oMath>
        <m:sSub>
          <m:sSubPr>
            <m:ctrlPr>
              <w:rPr>
                <w:rFonts w:ascii="Cambria Math" w:hAnsi="Cambria Math"/>
              </w:rPr>
            </m:ctrlPr>
          </m:sSubPr>
          <m:e>
            <m:r>
              <w:rPr>
                <w:rFonts w:ascii="Cambria Math" w:hAnsi="Cambria Math"/>
              </w:rPr>
              <m:t>α</m:t>
            </m:r>
          </m:e>
          <m:sub>
            <m:r>
              <w:rPr>
                <w:rFonts w:ascii="Cambria Math" w:hAnsi="Cambria Math"/>
              </w:rPr>
              <m:t>study</m:t>
            </m:r>
          </m:sub>
        </m:sSub>
      </m:oMath>
      <w:r>
        <w:t xml:space="preserve"> and HydroBasin </w:t>
      </w:r>
      <m:oMath>
        <m:sSub>
          <m:sSubPr>
            <m:ctrlPr>
              <w:rPr>
                <w:rFonts w:ascii="Cambria Math" w:hAnsi="Cambria Math"/>
              </w:rPr>
            </m:ctrlPr>
          </m:sSubPr>
          <m:e>
            <m:r>
              <w:rPr>
                <w:rFonts w:ascii="Cambria Math" w:hAnsi="Cambria Math"/>
              </w:rPr>
              <m:t>α</m:t>
            </m:r>
          </m:e>
          <m:sub>
            <m:r>
              <w:rPr>
                <w:rFonts w:ascii="Cambria Math" w:hAnsi="Cambria Math"/>
              </w:rPr>
              <m:t>basin</m:t>
            </m:r>
          </m:sub>
        </m:sSub>
      </m:oMath>
      <w:r>
        <w:t xml:space="preserve">, along with the thin-plate spline smoothing function </w:t>
      </w:r>
      <m:oMath>
        <m:r>
          <w:rPr>
            <w:rFonts w:ascii="Cambria Math" w:hAnsi="Cambria Math"/>
          </w:rPr>
          <m:t>f</m:t>
        </m:r>
        <m:d>
          <m:dPr>
            <m:ctrlPr>
              <w:rPr>
                <w:rFonts w:ascii="Cambria Math" w:hAnsi="Cambria Math"/>
              </w:rPr>
            </m:ctrlPr>
          </m:dPr>
          <m:e>
            <m:r>
              <m:rPr>
                <m:nor/>
              </m:rPr>
              <m:t>X</m:t>
            </m:r>
          </m:e>
        </m:d>
      </m:oMath>
      <w:r>
        <w:t xml:space="preserve"> for </w:t>
      </w:r>
      <m:oMath>
        <m:r>
          <m:rPr>
            <m:nor/>
          </m:rPr>
          <m:t>X</m:t>
        </m:r>
      </m:oMath>
      <w:r>
        <w:t xml:space="preserve"> predictors. The smoothing function is described by </w:t>
      </w:r>
      <m:oMath>
        <m:r>
          <w:rPr>
            <w:rFonts w:ascii="Cambria Math" w:hAnsi="Cambria Math"/>
          </w:rPr>
          <m:t>k</m:t>
        </m:r>
      </m:oMath>
      <w:r>
        <w:t xml:space="preserve"> basis functions </w:t>
      </w:r>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and their corresponding weights </w:t>
      </w:r>
      <m:oMath>
        <m:sSub>
          <m:sSubPr>
            <m:ctrlPr>
              <w:rPr>
                <w:rFonts w:ascii="Cambria Math" w:hAnsi="Cambria Math"/>
              </w:rPr>
            </m:ctrlPr>
          </m:sSubPr>
          <m:e>
            <m:r>
              <w:rPr>
                <w:rFonts w:ascii="Cambria Math" w:hAnsi="Cambria Math"/>
              </w:rPr>
              <m:t>β</m:t>
            </m:r>
          </m:e>
          <m:sub>
            <m:r>
              <w:rPr>
                <w:rFonts w:ascii="Cambria Math" w:hAnsi="Cambria Math"/>
              </w:rPr>
              <m:t>k</m:t>
            </m:r>
          </m:sub>
        </m:sSub>
      </m:oMath>
      <w:r>
        <w:t xml:space="preserve">. The total </w:t>
      </w:r>
      <m:oMath>
        <m:r>
          <w:rPr>
            <w:rFonts w:ascii="Cambria Math" w:hAnsi="Cambria Math"/>
          </w:rPr>
          <m:t>k</m:t>
        </m:r>
      </m:oMath>
      <w:r>
        <w:t xml:space="preserve"> varies by model as determined using the algorithms in </w:t>
      </w:r>
      <w:r>
        <w:rPr>
          <w:rStyle w:val="VerbatimChar"/>
        </w:rPr>
        <w:t>mgcv</w:t>
      </w:r>
      <w:r>
        <w:t xml:space="preserve"> (Wood 2025). The remaining lines denote prior distributions for each parameter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study</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basin</m:t>
            </m:r>
          </m:sub>
        </m:sSub>
        <m:r>
          <m:rPr>
            <m:sty m:val="p"/>
          </m:rPr>
          <w:rPr>
            <w:rFonts w:ascii="Cambria Math" w:hAnsi="Cambria Math"/>
          </w:rPr>
          <m:t>,</m:t>
        </m:r>
        <m:r>
          <w:rPr>
            <w:rFonts w:ascii="Cambria Math" w:hAnsi="Cambria Math"/>
          </w:rPr>
          <m:t>ϕ</m:t>
        </m:r>
      </m:oMath>
      <w:r>
        <w:t>) and hyperparameter (</w:t>
      </w:r>
      <m:oMath>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study</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basin</m:t>
            </m:r>
          </m:sub>
        </m:sSub>
      </m:oMath>
      <w:r>
        <w:t>).</w:t>
      </w:r>
    </w:p>
    <w:p w14:paraId="180FFE61" w14:textId="77777777" w:rsidR="00C93ED1" w:rsidRDefault="00AE0C06">
      <w:pPr>
        <w:pStyle w:val="BodyText"/>
      </w:pPr>
      <w:r>
        <w:rPr>
          <w:i/>
          <w:iCs/>
        </w:rPr>
        <w:t>Model comparison and global predictions</w:t>
      </w:r>
    </w:p>
    <w:p w14:paraId="180FFE62" w14:textId="77777777" w:rsidR="00C93ED1" w:rsidRDefault="00AE0C06">
      <w:pPr>
        <w:pStyle w:val="BodyText"/>
      </w:pPr>
      <w:r>
        <w:t xml:space="preserve">We compared the 15 models using leave-one-out-cross-validation (Vehtari et al. 2017) with the </w:t>
      </w:r>
      <w:r>
        <w:rPr>
          <w:i/>
          <w:iCs/>
        </w:rPr>
        <w:t>loo()</w:t>
      </w:r>
      <w:r>
        <w:t xml:space="preserve"> function in </w:t>
      </w:r>
      <w:r>
        <w:rPr>
          <w:rStyle w:val="VerbatimChar"/>
        </w:rPr>
        <w:t>brms</w:t>
      </w:r>
      <w:r>
        <w:t xml:space="preserve"> (Bürkner 2017). Four of the top five models all had mean annual water temperature and/or mean annual precipitation in univariate, additive, or interactive forms. The remaining model was an intercept only model with no fixed predictors. For this reason, we used the model with main effects and interactions of mean annual water temperature and mean annual precipitation to predict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in each of the 1,034,083 HydroBasins in units of </w:t>
      </w:r>
      <m:oMath>
        <m:r>
          <m:rPr>
            <m:nor/>
          </m:rPr>
          <m:t>kg</m:t>
        </m:r>
        <m:r>
          <m:rPr>
            <m:sty m:val="p"/>
          </m:rPr>
          <w:rPr>
            <w:rFonts w:ascii="Cambria Math" w:hAnsi="Cambria Math"/>
          </w:rPr>
          <m:t>⋅</m:t>
        </m:r>
        <m:r>
          <m:rPr>
            <m:nor/>
          </m:rPr>
          <m:t>DM</m:t>
        </m:r>
        <m:r>
          <m:rPr>
            <m:sty m:val="p"/>
          </m:rPr>
          <w:rPr>
            <w:rFonts w:ascii="Cambria Math" w:hAnsi="Cambria Math"/>
          </w:rPr>
          <m:t>⋅</m:t>
        </m:r>
        <m:sSup>
          <m:sSupPr>
            <m:ctrlPr>
              <w:rPr>
                <w:rFonts w:ascii="Cambria Math" w:hAnsi="Cambria Math"/>
              </w:rPr>
            </m:ctrlPr>
          </m:sSupPr>
          <m:e>
            <m:r>
              <m:rPr>
                <m:nor/>
              </m:rPr>
              <m:t>m</m:t>
            </m:r>
          </m:e>
          <m:sup>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m:rPr>
                <m:nor/>
              </m:rPr>
              <m:t>y</m:t>
            </m:r>
          </m:e>
          <m:sup>
            <m:r>
              <m:rPr>
                <m:sty m:val="p"/>
              </m:rPr>
              <w:rPr>
                <w:rFonts w:ascii="Cambria Math" w:hAnsi="Cambria Math"/>
              </w:rPr>
              <m:t>-</m:t>
            </m:r>
            <m:r>
              <w:rPr>
                <w:rFonts w:ascii="Cambria Math" w:hAnsi="Cambria Math"/>
              </w:rPr>
              <m:t>1</m:t>
            </m:r>
          </m:sup>
        </m:sSup>
      </m:oMath>
      <w:r>
        <w:t>. Multiplying this by the area of river water in each HydroBasin yielded the total flux per basin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basin</m:t>
            </m:r>
          </m:sub>
        </m:sSub>
      </m:oMath>
      <w:r>
        <w:t xml:space="preserve">; </w:t>
      </w:r>
      <m:oMath>
        <m:r>
          <m:rPr>
            <m:nor/>
          </m:rPr>
          <m:t>kg</m:t>
        </m:r>
        <m:r>
          <m:rPr>
            <m:sty m:val="p"/>
          </m:rPr>
          <w:rPr>
            <w:rFonts w:ascii="Cambria Math" w:hAnsi="Cambria Math"/>
          </w:rPr>
          <m:t>⋅</m:t>
        </m:r>
        <m:r>
          <m:rPr>
            <m:nor/>
          </m:rPr>
          <m:t>DM</m:t>
        </m:r>
        <m:r>
          <m:rPr>
            <m:sty m:val="p"/>
          </m:rPr>
          <w:rPr>
            <w:rFonts w:ascii="Cambria Math" w:hAnsi="Cambria Math"/>
          </w:rPr>
          <m:t>⋅</m:t>
        </m:r>
        <m:sSup>
          <m:sSupPr>
            <m:ctrlPr>
              <w:rPr>
                <w:rFonts w:ascii="Cambria Math" w:hAnsi="Cambria Math"/>
              </w:rPr>
            </m:ctrlPr>
          </m:sSupPr>
          <m:e>
            <m:r>
              <m:rPr>
                <m:nor/>
              </m:rPr>
              <m:t>basin</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m:rPr>
                <m:nor/>
              </m:rPr>
              <m:t>y</m:t>
            </m:r>
          </m:e>
          <m:sup>
            <m:r>
              <m:rPr>
                <m:sty m:val="p"/>
              </m:rPr>
              <w:rPr>
                <w:rFonts w:ascii="Cambria Math" w:hAnsi="Cambria Math"/>
              </w:rPr>
              <m:t>-</m:t>
            </m:r>
            <m:r>
              <w:rPr>
                <w:rFonts w:ascii="Cambria Math" w:hAnsi="Cambria Math"/>
              </w:rPr>
              <m:t>1</m:t>
            </m:r>
          </m:sup>
        </m:sSup>
      </m:oMath>
      <w:r>
        <w:t xml:space="preserve">). We did this across 1000 </w:t>
      </w:r>
      <m:oMath>
        <m:r>
          <w:rPr>
            <w:rFonts w:ascii="Cambria Math" w:hAnsi="Cambria Math"/>
          </w:rPr>
          <m:t>k</m:t>
        </m:r>
      </m:oMath>
      <w:r>
        <w:t xml:space="preserve"> draws of the posterior distribution. Summing over basins for each draw yielded a posterior distribution of global insect emergence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global</m:t>
            </m:r>
          </m:sub>
        </m:sSub>
      </m:oMath>
      <w:r>
        <w:t xml:space="preserve"> in units of </w:t>
      </w:r>
      <m:oMath>
        <m:r>
          <m:rPr>
            <m:nor/>
          </m:rPr>
          <m:t>metric tons</m:t>
        </m:r>
        <m:r>
          <m:rPr>
            <m:sty m:val="p"/>
          </m:rPr>
          <w:rPr>
            <w:rFonts w:ascii="Cambria Math" w:hAnsi="Cambria Math"/>
          </w:rPr>
          <m:t>⋅</m:t>
        </m:r>
        <m:r>
          <m:rPr>
            <m:nor/>
          </m:rPr>
          <m:t>DM</m:t>
        </m:r>
        <m:r>
          <m:rPr>
            <m:sty m:val="p"/>
          </m:rPr>
          <w:rPr>
            <w:rFonts w:ascii="Cambria Math" w:hAnsi="Cambria Math"/>
          </w:rPr>
          <m:t>⋅</m:t>
        </m:r>
        <m:sSup>
          <m:sSupPr>
            <m:ctrlPr>
              <w:rPr>
                <w:rFonts w:ascii="Cambria Math" w:hAnsi="Cambria Math"/>
              </w:rPr>
            </m:ctrlPr>
          </m:sSupPr>
          <m:e>
            <m:r>
              <m:rPr>
                <m:nor/>
              </m:rPr>
              <m:t>y</m:t>
            </m:r>
          </m:e>
          <m:sup>
            <m:r>
              <m:rPr>
                <m:sty m:val="p"/>
              </m:rPr>
              <w:rPr>
                <w:rFonts w:ascii="Cambria Math" w:hAnsi="Cambria Math"/>
              </w:rPr>
              <m:t>-</m:t>
            </m:r>
            <m:r>
              <w:rPr>
                <w:rFonts w:ascii="Cambria Math" w:hAnsi="Cambria Math"/>
              </w:rPr>
              <m:t>1</m:t>
            </m:r>
          </m:sup>
        </m:sSup>
      </m:oMath>
      <w:r>
        <w:t>.</w:t>
      </w:r>
    </w:p>
    <w:p w14:paraId="180FFE63" w14:textId="77777777" w:rsidR="00C93ED1" w:rsidRDefault="00AE0C06">
      <w:pPr>
        <w:pStyle w:val="BodyText"/>
      </w:pPr>
      <w:r>
        <w:rPr>
          <w:i/>
          <w:iCs/>
        </w:rPr>
        <w:t>Range of data in the training data versus global data</w:t>
      </w:r>
    </w:p>
    <w:p w14:paraId="180FFE64" w14:textId="77777777" w:rsidR="00C93ED1" w:rsidRDefault="00AE0C06">
      <w:pPr>
        <w:pStyle w:val="BodyText"/>
      </w:pPr>
      <w:r>
        <w:t>Across the samples with emergence estimates, mean annual stream temperature ranged from 1 to 25°C (</w:t>
      </w:r>
      <w:r>
        <w:rPr>
          <w:b/>
          <w:bCs/>
        </w:rPr>
        <w:t>Extended data</w:t>
      </w:r>
      <w:r>
        <w:t xml:space="preserve"> </w:t>
      </w:r>
      <w:r>
        <w:rPr>
          <w:b/>
          <w:bCs/>
        </w:rPr>
        <w:t>Table SX</w:t>
      </w:r>
      <w:r>
        <w:t xml:space="preserve">). That covered ~96% of the global range of temperatures across all 1,034,083 HydroBasins. Mean annual precipitation in the emergence estimates covered a smaller percentage (~40%) of the global range. However, </w:t>
      </w:r>
      <w:r>
        <w:lastRenderedPageBreak/>
        <w:t>the median and 95% confidence intervals for precipitation (and temperature) had strong overlap with similar bounds (177 to 2792 mm/m²/y for the raw data vs 15 to 2791 across the HydroBasins) (</w:t>
      </w:r>
      <w:r>
        <w:rPr>
          <w:b/>
          <w:bCs/>
        </w:rPr>
        <w:t>Extended data Table SX</w:t>
      </w:r>
      <w:r>
        <w:t>).</w:t>
      </w:r>
    </w:p>
    <w:p w14:paraId="180FFE65" w14:textId="77777777" w:rsidR="00C93ED1" w:rsidRDefault="00AE0C06">
      <w:pPr>
        <w:pStyle w:val="BodyText"/>
      </w:pPr>
      <w:r>
        <w:rPr>
          <w:i/>
          <w:iCs/>
        </w:rPr>
        <w:t>Nutrient flux in adult aquatic insects</w:t>
      </w:r>
    </w:p>
    <w:p w14:paraId="180FFE66" w14:textId="77777777" w:rsidR="00C93ED1" w:rsidRDefault="00AE0C06">
      <w:pPr>
        <w:pStyle w:val="BodyText"/>
      </w:pPr>
      <w:r>
        <w:t xml:space="preserve">In addition to dry mass, we estimated fluxes of carbon, nitrogen, phosphorous, and polyunsaturated fatty acids (PUFAs) by converting dry mass based on conversion ratios. For carbon, we first converted dry mass (DM) to ash-free dry mass (AFDM): </w:t>
      </w:r>
      <m:oMath>
        <m:r>
          <m:rPr>
            <m:nor/>
          </m:rPr>
          <m:t>AFDM</m:t>
        </m:r>
        <m:r>
          <m:rPr>
            <m:sty m:val="p"/>
          </m:rPr>
          <w:rPr>
            <w:rFonts w:ascii="Cambria Math" w:hAnsi="Cambria Math"/>
          </w:rPr>
          <m:t>=</m:t>
        </m:r>
        <m:r>
          <w:rPr>
            <w:rFonts w:ascii="Cambria Math" w:hAnsi="Cambria Math"/>
          </w:rPr>
          <m:t>0.9</m:t>
        </m:r>
        <m:r>
          <m:rPr>
            <m:sty m:val="p"/>
          </m:rPr>
          <w:rPr>
            <w:rFonts w:ascii="Cambria Math" w:hAnsi="Cambria Math"/>
          </w:rPr>
          <m:t>×</m:t>
        </m:r>
        <m:r>
          <m:rPr>
            <m:nor/>
          </m:rPr>
          <m:t>DM</m:t>
        </m:r>
      </m:oMath>
      <w:r>
        <w:t xml:space="preserve"> (Benke et al. 1999). Carbon (C) was then estimated as </w:t>
      </w:r>
      <m:oMath>
        <m:r>
          <m:rPr>
            <m:nor/>
          </m:rPr>
          <m:t>C</m:t>
        </m:r>
        <m:r>
          <m:rPr>
            <m:sty m:val="p"/>
          </m:rPr>
          <w:rPr>
            <w:rFonts w:ascii="Cambria Math" w:hAnsi="Cambria Math"/>
          </w:rPr>
          <m:t>=</m:t>
        </m:r>
        <m:r>
          <w:rPr>
            <w:rFonts w:ascii="Cambria Math" w:hAnsi="Cambria Math"/>
          </w:rPr>
          <m:t>0.5</m:t>
        </m:r>
        <m:r>
          <m:rPr>
            <m:sty m:val="p"/>
          </m:rPr>
          <w:rPr>
            <w:rFonts w:ascii="Cambria Math" w:hAnsi="Cambria Math"/>
          </w:rPr>
          <m:t>×</m:t>
        </m:r>
        <m:r>
          <m:rPr>
            <m:nor/>
          </m:rPr>
          <m:t>AFDM</m:t>
        </m:r>
      </m:oMath>
      <w:r>
        <w:t xml:space="preserve"> (Waters 1977). Nitrogen (N) and phosphorous (P) were estimated using stoichiometric ratios of 6.3 C:N and 124 C:P (Elser et al. 2000).</w:t>
      </w:r>
    </w:p>
    <w:p w14:paraId="180FFE67" w14:textId="77777777" w:rsidR="00C93ED1" w:rsidRDefault="00AE0C06">
      <w:pPr>
        <w:pStyle w:val="BodyText"/>
      </w:pPr>
      <w:r>
        <w:t>No standard conversions exist for PUFA. Therefore, we conducted literature searches in ISI Web of Science using search terms including “PUFA</w:t>
      </w:r>
      <w:r>
        <w:rPr>
          <w:i/>
          <w:iCs/>
        </w:rPr>
        <w:t>”, Poly-unsaturated fatty acid</w:t>
      </w:r>
      <w:r>
        <w:t>”, “aquatic insect*”, and “emergence” to identify articles on the PUFA content of adult aquatic insects. We focused on the years 2019 to 2024, with information before 2019 taken from recent review papers (Gladyshev et al. 2019; Moyo 2020). We identified those articles that reported quantitative PUFA concentrations per unit of biomass of emerging insects. Additional relevant papers were found examining references within the papers directly. We estimated fluxes of long-chain poly</w:t>
      </w:r>
      <w:r>
        <w:t xml:space="preserve">-unsaturated fatty acids (LC-PUFA) by first extracting 32 records of LC-PUFA concentrations from the literature. Of these 32 records, we limited our analysis to 25 that reported sum concentrations of the docosahexaenoic acid (DHA) and eicosatetraenoic acid (EPA) in adult aquatic insects. One record was reported as DHA + EPA in “adult aquatic insects”, but all other were reported as DHA + EPA in individual insect Orders, including Diptera (e.g., Chironomidae, Culicidae), Ephemeroptera, Odonata, Trichoptera, </w:t>
      </w:r>
      <w:r>
        <w:t>and Plecoptera. We used these data to estimate the average concentration of EPA + DHA in adult aquatic insects using the following model:</w:t>
      </w:r>
    </w:p>
    <w:p w14:paraId="180FFE68" w14:textId="77777777" w:rsidR="00C93ED1" w:rsidRDefault="00AE0C06">
      <w:pPr>
        <w:pStyle w:val="BodyText"/>
      </w:pPr>
      <m:oMathPara>
        <m:oMathParaPr>
          <m:jc m:val="center"/>
        </m:oMathParaPr>
        <m:oMath>
          <m:sSub>
            <m:sSubPr>
              <m:ctrlPr>
                <w:rPr>
                  <w:rFonts w:ascii="Cambria Math" w:hAnsi="Cambria Math"/>
                </w:rPr>
              </m:ctrlPr>
            </m:sSubPr>
            <m:e>
              <m:r>
                <m:rPr>
                  <m:sty m:val="p"/>
                </m:rPr>
                <w:rPr>
                  <w:rFonts w:ascii="Cambria Math" w:hAnsi="Cambria Math"/>
                </w:rPr>
                <m:t>F</m:t>
              </m:r>
            </m:e>
            <m:sub>
              <m:r>
                <w:rPr>
                  <w:rFonts w:ascii="Cambria Math" w:hAnsi="Cambria Math"/>
                </w:rPr>
                <m:t>s</m:t>
              </m:r>
            </m:sub>
          </m:sSub>
          <m:r>
            <m:rPr>
              <m:sty m:val="p"/>
            </m:rPr>
            <w:rPr>
              <w:rFonts w:ascii="Cambria Math" w:hAnsi="Cambria Math"/>
            </w:rPr>
            <m:t>∼Gamma</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ϕ</m:t>
              </m:r>
            </m:e>
          </m:d>
        </m:oMath>
      </m:oMathPara>
    </w:p>
    <w:p w14:paraId="180FFE69" w14:textId="77777777" w:rsidR="00C93ED1" w:rsidRDefault="00AE0C06">
      <w:pPr>
        <w:pStyle w:val="FirstParagraph"/>
      </w:pPr>
      <m:oMathPara>
        <m:oMathParaPr>
          <m:jc m:val="center"/>
        </m:oMathParaPr>
        <m:oMath>
          <m:r>
            <m:rPr>
              <m:sty m:val="p"/>
            </m:rPr>
            <w:rPr>
              <w:rFonts w:ascii="Cambria Math" w:hAnsi="Cambria Math"/>
            </w:rPr>
            <m:t>log</m:t>
          </m:r>
          <m:d>
            <m:dPr>
              <m:ctrlPr>
                <w:rPr>
                  <w:rFonts w:ascii="Cambria Math" w:hAnsi="Cambria Math"/>
                </w:rPr>
              </m:ctrlPr>
            </m:dPr>
            <m:e>
              <m:r>
                <w:rPr>
                  <w:rFonts w:ascii="Cambria Math" w:hAnsi="Cambria Math"/>
                </w:rPr>
                <m:t>μ</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study</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taxon</m:t>
              </m:r>
            </m:sub>
          </m:sSub>
        </m:oMath>
      </m:oMathPara>
    </w:p>
    <w:p w14:paraId="180FFE6A" w14:textId="77777777" w:rsidR="00C93ED1" w:rsidRDefault="00AE0C06">
      <w:pPr>
        <w:pStyle w:val="FirstParagraph"/>
      </w:pPr>
      <m:oMathPara>
        <m:oMathParaPr>
          <m:jc m:val="center"/>
        </m:oMathParaPr>
        <m:oMath>
          <m:r>
            <w:rPr>
              <w:rFonts w:ascii="Cambria Math" w:hAnsi="Cambria Math"/>
            </w:rPr>
            <m:t>α</m:t>
          </m:r>
          <m:r>
            <m:rPr>
              <m:sty m:val="p"/>
            </m:rPr>
            <w:rPr>
              <w:rFonts w:ascii="Cambria Math" w:hAnsi="Cambria Math"/>
            </w:rPr>
            <m:t>∼Normal</m:t>
          </m:r>
          <m:d>
            <m:dPr>
              <m:ctrlPr>
                <w:rPr>
                  <w:rFonts w:ascii="Cambria Math" w:hAnsi="Cambria Math"/>
                </w:rPr>
              </m:ctrlPr>
            </m:dPr>
            <m:e>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e>
          </m:d>
        </m:oMath>
      </m:oMathPara>
    </w:p>
    <w:p w14:paraId="180FFE6B" w14:textId="77777777" w:rsidR="00C93ED1" w:rsidRDefault="00AE0C06">
      <w:pPr>
        <w:pStyle w:val="FirstParagraph"/>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study</m:t>
              </m:r>
            </m:sub>
          </m:sSub>
          <m:r>
            <m:rPr>
              <m:sty m:val="p"/>
            </m:rPr>
            <w:rPr>
              <w:rFonts w:ascii="Cambria Math" w:hAnsi="Cambria Math"/>
            </w: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study</m:t>
                  </m:r>
                </m:sub>
              </m:sSub>
            </m:e>
          </m:d>
        </m:oMath>
      </m:oMathPara>
    </w:p>
    <w:p w14:paraId="180FFE6C" w14:textId="77777777" w:rsidR="00C93ED1" w:rsidRDefault="00AE0C06">
      <w:pPr>
        <w:pStyle w:val="FirstParagraph"/>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taxon</m:t>
              </m:r>
            </m:sub>
          </m:sSub>
          <m:r>
            <m:rPr>
              <m:sty m:val="p"/>
            </m:rPr>
            <w:rPr>
              <w:rFonts w:ascii="Cambria Math" w:hAnsi="Cambria Math"/>
            </w: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taxon</m:t>
                  </m:r>
                </m:sub>
              </m:sSub>
            </m:e>
          </m:d>
        </m:oMath>
      </m:oMathPara>
    </w:p>
    <w:p w14:paraId="180FFE6D" w14:textId="77777777" w:rsidR="00C93ED1" w:rsidRDefault="00AE0C06">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study</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taxon</m:t>
              </m:r>
            </m:sub>
          </m:sSub>
          <m:r>
            <m:rPr>
              <m:sty m:val="p"/>
            </m:rPr>
            <w:rPr>
              <w:rFonts w:ascii="Cambria Math" w:hAnsi="Cambria Math"/>
            </w:rPr>
            <m:t>∼Exponential</m:t>
          </m:r>
          <m:d>
            <m:dPr>
              <m:ctrlPr>
                <w:rPr>
                  <w:rFonts w:ascii="Cambria Math" w:hAnsi="Cambria Math"/>
                </w:rPr>
              </m:ctrlPr>
            </m:dPr>
            <m:e>
              <m:r>
                <w:rPr>
                  <w:rFonts w:ascii="Cambria Math" w:hAnsi="Cambria Math"/>
                </w:rPr>
                <m:t>2</m:t>
              </m:r>
            </m:e>
          </m:d>
        </m:oMath>
      </m:oMathPara>
    </w:p>
    <w:p w14:paraId="180FFE6E" w14:textId="77777777" w:rsidR="00C93ED1" w:rsidRDefault="00AE0C06">
      <w:pPr>
        <w:pStyle w:val="FirstParagraph"/>
      </w:pPr>
      <m:oMathPara>
        <m:oMathParaPr>
          <m:jc m:val="center"/>
        </m:oMathParaPr>
        <m:oMath>
          <m:r>
            <w:rPr>
              <w:rFonts w:ascii="Cambria Math" w:hAnsi="Cambria Math"/>
            </w:rPr>
            <m:t>ϕ</m:t>
          </m:r>
          <m:r>
            <m:rPr>
              <m:sty m:val="p"/>
            </m:rPr>
            <w:rPr>
              <w:rFonts w:ascii="Cambria Math" w:hAnsi="Cambria Math"/>
            </w:rPr>
            <m:t>∼Gamma</m:t>
          </m:r>
          <m:d>
            <m:dPr>
              <m:ctrlPr>
                <w:rPr>
                  <w:rFonts w:ascii="Cambria Math" w:hAnsi="Cambria Math"/>
                </w:rPr>
              </m:ctrlPr>
            </m:dPr>
            <m:e>
              <m:r>
                <w:rPr>
                  <w:rFonts w:ascii="Cambria Math" w:hAnsi="Cambria Math"/>
                </w:rPr>
                <m:t>0.01</m:t>
              </m:r>
              <m:r>
                <m:rPr>
                  <m:sty m:val="p"/>
                </m:rPr>
                <w:rPr>
                  <w:rFonts w:ascii="Cambria Math" w:hAnsi="Cambria Math"/>
                </w:rPr>
                <m:t>,</m:t>
              </m:r>
              <m:r>
                <w:rPr>
                  <w:rFonts w:ascii="Cambria Math" w:hAnsi="Cambria Math"/>
                </w:rPr>
                <m:t>0.01</m:t>
              </m:r>
            </m:e>
          </m:d>
          <m:r>
            <m:rPr>
              <m:sty m:val="p"/>
            </m:rPr>
            <w:rPr>
              <w:rFonts w:ascii="Cambria Math" w:hAnsi="Cambria Math"/>
            </w:rPr>
            <m:t>,</m:t>
          </m:r>
        </m:oMath>
      </m:oMathPara>
    </w:p>
    <w:p w14:paraId="180FFE6F" w14:textId="77777777" w:rsidR="00C93ED1" w:rsidRDefault="00AE0C06">
      <w:pPr>
        <w:pStyle w:val="FirstParagraph"/>
      </w:pPr>
      <w:r>
        <w:t xml:space="preserve">where </w:t>
      </w:r>
      <m:oMath>
        <m:sSub>
          <m:sSubPr>
            <m:ctrlPr>
              <w:rPr>
                <w:rFonts w:ascii="Cambria Math" w:hAnsi="Cambria Math"/>
              </w:rPr>
            </m:ctrlPr>
          </m:sSubPr>
          <m:e>
            <m:r>
              <m:rPr>
                <m:sty m:val="p"/>
              </m:rPr>
              <w:rPr>
                <w:rFonts w:ascii="Cambria Math" w:hAnsi="Cambria Math"/>
              </w:rPr>
              <m:t>F</m:t>
            </m:r>
          </m:e>
          <m:sub>
            <m:r>
              <w:rPr>
                <w:rFonts w:ascii="Cambria Math" w:hAnsi="Cambria Math"/>
              </w:rPr>
              <m:t>s</m:t>
            </m:r>
          </m:sub>
        </m:sSub>
      </m:oMath>
      <w:r>
        <w:t xml:space="preserve"> is the standardized adult tissue concentration of DHA + EPA (standardized by dividing by the maximum concentration), with varying intercepts for study </w:t>
      </w:r>
      <m:oMath>
        <m:sSub>
          <m:sSubPr>
            <m:ctrlPr>
              <w:rPr>
                <w:rFonts w:ascii="Cambria Math" w:hAnsi="Cambria Math"/>
              </w:rPr>
            </m:ctrlPr>
          </m:sSubPr>
          <m:e>
            <m:r>
              <w:rPr>
                <w:rFonts w:ascii="Cambria Math" w:hAnsi="Cambria Math"/>
              </w:rPr>
              <m:t>α</m:t>
            </m:r>
          </m:e>
          <m:sub>
            <m:r>
              <w:rPr>
                <w:rFonts w:ascii="Cambria Math" w:hAnsi="Cambria Math"/>
              </w:rPr>
              <m:t>study</m:t>
            </m:r>
          </m:sub>
        </m:sSub>
      </m:oMath>
      <w:r>
        <w:t xml:space="preserve"> and taxon </w:t>
      </w:r>
      <m:oMath>
        <m:sSub>
          <m:sSubPr>
            <m:ctrlPr>
              <w:rPr>
                <w:rFonts w:ascii="Cambria Math" w:hAnsi="Cambria Math"/>
              </w:rPr>
            </m:ctrlPr>
          </m:sSubPr>
          <m:e>
            <m:r>
              <w:rPr>
                <w:rFonts w:ascii="Cambria Math" w:hAnsi="Cambria Math"/>
              </w:rPr>
              <m:t>α</m:t>
            </m:r>
          </m:e>
          <m:sub>
            <m:r>
              <w:rPr>
                <w:rFonts w:ascii="Cambria Math" w:hAnsi="Cambria Math"/>
              </w:rPr>
              <m:t>taxon</m:t>
            </m:r>
          </m:sub>
        </m:sSub>
      </m:oMath>
      <w:r>
        <w:t xml:space="preserve"> . Because tissue concentrations are positive and continuous, we used a gamma likelihood with a log-link. Given the standardized data and log-link, we used a N(-3, 1) prior </w:t>
      </w:r>
      <w:r>
        <w:lastRenderedPageBreak/>
        <w:t xml:space="preserve">for the intercept and N(0, 1) prior for the slope, with an exponential(2) prior for the hyperparameter </w:t>
      </w:r>
      <m:oMath>
        <m:sSub>
          <m:sSubPr>
            <m:ctrlPr>
              <w:rPr>
                <w:rFonts w:ascii="Cambria Math" w:hAnsi="Cambria Math"/>
              </w:rPr>
            </m:ctrlPr>
          </m:sSubPr>
          <m:e>
            <m:r>
              <w:rPr>
                <w:rFonts w:ascii="Cambria Math" w:hAnsi="Cambria Math"/>
              </w:rPr>
              <m:t>σ</m:t>
            </m:r>
          </m:e>
          <m:sub>
            <m:r>
              <w:rPr>
                <w:rFonts w:ascii="Cambria Math" w:hAnsi="Cambria Math"/>
              </w:rPr>
              <m:t>stu</m:t>
            </m:r>
            <m:r>
              <w:rPr>
                <w:rFonts w:ascii="Cambria Math" w:hAnsi="Cambria Math"/>
              </w:rPr>
              <m:t>dy</m:t>
            </m:r>
          </m:sub>
        </m:sSub>
      </m:oMath>
      <w:r>
        <w:t xml:space="preserve"> and Gamma(0.01, 0.01) for </w:t>
      </w:r>
      <m:oMath>
        <m:r>
          <w:rPr>
            <w:rFonts w:ascii="Cambria Math" w:hAnsi="Cambria Math"/>
          </w:rPr>
          <m:t>ϕ</m:t>
        </m:r>
      </m:oMath>
      <w:r>
        <w:t>.</w:t>
      </w:r>
    </w:p>
    <w:p w14:paraId="180FFE70" w14:textId="77777777" w:rsidR="00C93ED1" w:rsidRDefault="00AE0C06">
      <w:pPr>
        <w:pStyle w:val="BodyText"/>
      </w:pPr>
      <w:r>
        <w:t xml:space="preserve">After un-standardizing, this yielded a posterior distribution of PUFA concentrations in units of </w:t>
      </w:r>
      <m:oMath>
        <m:r>
          <m:rPr>
            <m:sty m:val="p"/>
          </m:rPr>
          <w:rPr>
            <w:rFonts w:ascii="Cambria Math" w:hAnsi="Cambria Math"/>
          </w:rPr>
          <m:t>ng⋅</m:t>
        </m:r>
        <m:sSup>
          <m:sSupPr>
            <m:ctrlPr>
              <w:rPr>
                <w:rFonts w:ascii="Cambria Math" w:hAnsi="Cambria Math"/>
              </w:rPr>
            </m:ctrlPr>
          </m:sSupPr>
          <m:e>
            <m:r>
              <m:rPr>
                <m:sty m:val="p"/>
              </m:rPr>
              <w:rPr>
                <w:rFonts w:ascii="Cambria Math" w:hAnsi="Cambria Math"/>
              </w:rPr>
              <m:t>mgDM</m:t>
            </m:r>
          </m:e>
          <m:sup>
            <m:r>
              <m:rPr>
                <m:sty m:val="p"/>
              </m:rPr>
              <w:rPr>
                <w:rFonts w:ascii="Cambria Math" w:hAnsi="Cambria Math"/>
              </w:rPr>
              <m:t>-</m:t>
            </m:r>
            <m:r>
              <w:rPr>
                <w:rFonts w:ascii="Cambria Math" w:hAnsi="Cambria Math"/>
              </w:rPr>
              <m:t>1</m:t>
            </m:r>
          </m:sup>
        </m:sSup>
      </m:oMath>
      <w:r>
        <w:t xml:space="preserve">. To convert this to annual flux, we multiplied each estimate of dry mass flux by </w:t>
      </w:r>
      <m:oMath>
        <m:r>
          <w:rPr>
            <w:rFonts w:ascii="Cambria Math" w:hAnsi="Cambria Math"/>
          </w:rPr>
          <m:t>k</m:t>
        </m:r>
        <m:r>
          <m:rPr>
            <m:sty m:val="p"/>
          </m:rPr>
          <w:rPr>
            <w:rFonts w:ascii="Cambria Math" w:hAnsi="Cambria Math"/>
          </w:rPr>
          <m:t>=</m:t>
        </m:r>
        <m:r>
          <w:rPr>
            <w:rFonts w:ascii="Cambria Math" w:hAnsi="Cambria Math"/>
          </w:rPr>
          <m:t>100</m:t>
        </m:r>
      </m:oMath>
      <w:r>
        <w:t xml:space="preserve"> draws of PUFA, then took the median of across the 100 draws, yielding estimates of PUFA flux in units of </w:t>
      </w:r>
      <m:oMath>
        <m:r>
          <m:rPr>
            <m:sty m:val="p"/>
          </m:rPr>
          <w:rPr>
            <w:rFonts w:ascii="Cambria Math" w:hAnsi="Cambria Math"/>
          </w:rPr>
          <m:t>mg</m:t>
        </m:r>
      </m:oMath>
      <w:r>
        <w:t xml:space="preserve"> or </w:t>
      </w:r>
      <m:oMath>
        <m:r>
          <m:rPr>
            <m:sty m:val="p"/>
          </m:rPr>
          <w:rPr>
            <w:rFonts w:ascii="Cambria Math" w:hAnsi="Cambria Math"/>
          </w:rPr>
          <m:t>kg⋅</m:t>
        </m:r>
        <m:sSup>
          <m:sSupPr>
            <m:ctrlPr>
              <w:rPr>
                <w:rFonts w:ascii="Cambria Math" w:hAnsi="Cambria Math"/>
              </w:rPr>
            </m:ctrlPr>
          </m:sSupPr>
          <m:e>
            <m:r>
              <m:rPr>
                <m:sty m:val="p"/>
              </m:rPr>
              <w:rPr>
                <w:rFonts w:ascii="Cambria Math" w:hAnsi="Cambria Math"/>
              </w:rPr>
              <m:t>y</m:t>
            </m:r>
          </m:e>
          <m:sup>
            <m:r>
              <m:rPr>
                <m:sty m:val="p"/>
              </m:rPr>
              <w:rPr>
                <w:rFonts w:ascii="Cambria Math" w:hAnsi="Cambria Math"/>
              </w:rPr>
              <m:t>-</m:t>
            </m:r>
            <m:r>
              <w:rPr>
                <w:rFonts w:ascii="Cambria Math" w:hAnsi="Cambria Math"/>
              </w:rPr>
              <m:t>1</m:t>
            </m:r>
          </m:sup>
        </m:sSup>
      </m:oMath>
      <w:r>
        <w:t xml:space="preserve"> .</w:t>
      </w:r>
    </w:p>
    <w:p w14:paraId="180FFE71" w14:textId="77777777" w:rsidR="00C93ED1" w:rsidRDefault="00AE0C06">
      <w:pPr>
        <w:pStyle w:val="BodyText"/>
      </w:pPr>
      <w:r>
        <w:rPr>
          <w:i/>
          <w:iCs/>
        </w:rPr>
        <w:t>Contaminant flux in adult aquatic insects</w:t>
      </w:r>
    </w:p>
    <w:p w14:paraId="180FFE72" w14:textId="77777777" w:rsidR="00C93ED1" w:rsidRDefault="00AE0C06">
      <w:pPr>
        <w:pStyle w:val="BodyText"/>
      </w:pPr>
      <w:r>
        <w:t xml:space="preserve">The goal for contaminant modelling was to convert dry mass estimates from biomass modelling into tissue concentrations of metalloids, herbicides, fungicides, and pesticides. To do this, we extracted X studies from the literature that reported water concentrations and adult tissue concentrations of a contaminant. We then modeled this relationship using generalized linear mixed models, yielding predictions of adult tissue concentrations </w:t>
      </w:r>
      <m:oMath>
        <m:sSub>
          <m:sSubPr>
            <m:ctrlPr>
              <w:rPr>
                <w:rFonts w:ascii="Cambria Math" w:hAnsi="Cambria Math"/>
              </w:rPr>
            </m:ctrlPr>
          </m:sSubPr>
          <m:e>
            <m:r>
              <w:rPr>
                <w:rFonts w:ascii="Cambria Math" w:hAnsi="Cambria Math"/>
              </w:rPr>
              <m:t>C</m:t>
            </m:r>
          </m:e>
          <m:sub>
            <m:r>
              <w:rPr>
                <w:rFonts w:ascii="Cambria Math" w:hAnsi="Cambria Math"/>
              </w:rPr>
              <m:t>a</m:t>
            </m:r>
          </m:sub>
        </m:sSub>
      </m:oMath>
      <w:r>
        <w:t xml:space="preserve"> in units of </w:t>
      </w:r>
      <m:oMath>
        <m:r>
          <m:rPr>
            <m:sty m:val="p"/>
          </m:rPr>
          <w:rPr>
            <w:rFonts w:ascii="Cambria Math" w:hAnsi="Cambria Math"/>
          </w:rPr>
          <m:t>ng⋅</m:t>
        </m:r>
        <m:sSup>
          <m:sSupPr>
            <m:ctrlPr>
              <w:rPr>
                <w:rFonts w:ascii="Cambria Math" w:hAnsi="Cambria Math"/>
              </w:rPr>
            </m:ctrlPr>
          </m:sSupPr>
          <m:e>
            <m:r>
              <m:rPr>
                <m:sty m:val="p"/>
              </m:rPr>
              <w:rPr>
                <w:rFonts w:ascii="Cambria Math" w:hAnsi="Cambria Math"/>
              </w:rPr>
              <m:t>mgDM</m:t>
            </m:r>
          </m:e>
          <m:sup>
            <m:r>
              <m:rPr>
                <m:sty m:val="p"/>
              </m:rPr>
              <w:rPr>
                <w:rFonts w:ascii="Cambria Math" w:hAnsi="Cambria Math"/>
              </w:rPr>
              <m:t>-</m:t>
            </m:r>
            <m:r>
              <w:rPr>
                <w:rFonts w:ascii="Cambria Math" w:hAnsi="Cambria Math"/>
              </w:rPr>
              <m:t>1</m:t>
            </m:r>
          </m:sup>
        </m:sSup>
      </m:oMath>
      <w:r>
        <w:t xml:space="preserve"> as a continuous function of water concentrations </w:t>
      </w:r>
      <m:oMath>
        <m:sSub>
          <m:sSubPr>
            <m:ctrlPr>
              <w:rPr>
                <w:rFonts w:ascii="Cambria Math" w:hAnsi="Cambria Math"/>
              </w:rPr>
            </m:ctrlPr>
          </m:sSubPr>
          <m:e>
            <m:r>
              <w:rPr>
                <w:rFonts w:ascii="Cambria Math" w:hAnsi="Cambria Math"/>
              </w:rPr>
              <m:t>C</m:t>
            </m:r>
          </m:e>
          <m:sub>
            <m:r>
              <w:rPr>
                <w:rFonts w:ascii="Cambria Math" w:hAnsi="Cambria Math"/>
              </w:rPr>
              <m:t>w</m:t>
            </m:r>
          </m:sub>
        </m:sSub>
      </m:oMath>
      <w:r>
        <w:t xml:space="preserve">. To scale this globally, we generated posterior predictions of </w:t>
      </w:r>
      <m:oMath>
        <m:sSub>
          <m:sSubPr>
            <m:ctrlPr>
              <w:rPr>
                <w:rFonts w:ascii="Cambria Math" w:hAnsi="Cambria Math"/>
              </w:rPr>
            </m:ctrlPr>
          </m:sSubPr>
          <m:e>
            <m:r>
              <w:rPr>
                <w:rFonts w:ascii="Cambria Math" w:hAnsi="Cambria Math"/>
              </w:rPr>
              <m:t>C</m:t>
            </m:r>
          </m:e>
          <m:sub>
            <m:r>
              <w:rPr>
                <w:rFonts w:ascii="Cambria Math" w:hAnsi="Cambria Math"/>
              </w:rPr>
              <m:t>a</m:t>
            </m:r>
          </m:sub>
        </m:sSub>
      </m:oMath>
      <w:r>
        <w:t xml:space="preserve"> in each of the 1,034,083 HydroBasin using the mean </w:t>
      </w:r>
      <m:oMath>
        <m:sSub>
          <m:sSubPr>
            <m:ctrlPr>
              <w:rPr>
                <w:rFonts w:ascii="Cambria Math" w:hAnsi="Cambria Math"/>
              </w:rPr>
            </m:ctrlPr>
          </m:sSubPr>
          <m:e>
            <m:r>
              <w:rPr>
                <w:rFonts w:ascii="Cambria Math" w:hAnsi="Cambria Math"/>
              </w:rPr>
              <m:t>C</m:t>
            </m:r>
          </m:e>
          <m:sub>
            <m:r>
              <w:rPr>
                <w:rFonts w:ascii="Cambria Math" w:hAnsi="Cambria Math"/>
              </w:rPr>
              <m:t>w</m:t>
            </m:r>
          </m:sub>
        </m:sSub>
      </m:oMath>
      <w:r>
        <w:t xml:space="preserve"> in each HydroBasin derived from </w:t>
      </w:r>
      <w:r>
        <w:rPr>
          <w:b/>
          <w:bCs/>
        </w:rPr>
        <w:t>JAKOB’S METHOD</w:t>
      </w:r>
      <w:r>
        <w:t xml:space="preserve">. This generated basin level predictions of adult tissue concentrations of contaminants </w:t>
      </w:r>
      <m:oMath>
        <m:sSub>
          <m:sSubPr>
            <m:ctrlPr>
              <w:rPr>
                <w:rFonts w:ascii="Cambria Math" w:hAnsi="Cambria Math"/>
              </w:rPr>
            </m:ctrlPr>
          </m:sSubPr>
          <m:e>
            <m:r>
              <w:rPr>
                <w:rFonts w:ascii="Cambria Math" w:hAnsi="Cambria Math"/>
              </w:rPr>
              <m:t>C</m:t>
            </m:r>
          </m:e>
          <m:sub>
            <m:r>
              <w:rPr>
                <w:rFonts w:ascii="Cambria Math" w:hAnsi="Cambria Math"/>
              </w:rPr>
              <m:t>a</m:t>
            </m:r>
            <m:r>
              <m:rPr>
                <m:sty m:val="p"/>
              </m:rPr>
              <w:rPr>
                <w:rFonts w:ascii="Cambria Math" w:hAnsi="Cambria Math"/>
              </w:rPr>
              <m:t>,</m:t>
            </m:r>
            <m:r>
              <w:rPr>
                <w:rFonts w:ascii="Cambria Math" w:hAnsi="Cambria Math"/>
              </w:rPr>
              <m:t>basin</m:t>
            </m:r>
          </m:sub>
        </m:sSub>
      </m:oMath>
      <w:r>
        <w:t xml:space="preserve">. Multiplying these by estimates of adult aquatic insect emergence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basin</m:t>
            </m:r>
          </m:sub>
        </m:sSub>
      </m:oMath>
      <w:r>
        <w:t xml:space="preserve"> yielded predictions of contaminant flux in each HydroBasin </w:t>
      </w:r>
      <m:oMath>
        <m:sSub>
          <m:sSubPr>
            <m:ctrlPr>
              <w:rPr>
                <w:rFonts w:ascii="Cambria Math" w:hAnsi="Cambria Math"/>
              </w:rPr>
            </m:ctrlPr>
          </m:sSubPr>
          <m:e>
            <m:r>
              <w:rPr>
                <w:rFonts w:ascii="Cambria Math" w:hAnsi="Cambria Math"/>
              </w:rPr>
              <m:t>C</m:t>
            </m:r>
          </m:e>
          <m:sub>
            <m:r>
              <w:rPr>
                <w:rFonts w:ascii="Cambria Math" w:hAnsi="Cambria Math"/>
              </w:rPr>
              <m:t>f</m:t>
            </m:r>
            <m:r>
              <m:rPr>
                <m:sty m:val="p"/>
              </m:rPr>
              <w:rPr>
                <w:rFonts w:ascii="Cambria Math" w:hAnsi="Cambria Math"/>
              </w:rPr>
              <m:t>,</m:t>
            </m:r>
            <m:r>
              <w:rPr>
                <w:rFonts w:ascii="Cambria Math" w:hAnsi="Cambria Math"/>
              </w:rPr>
              <m:t>basin</m:t>
            </m:r>
          </m:sub>
        </m:sSub>
      </m:oMath>
      <w:r>
        <w:t xml:space="preserve">, which we report in units of </w:t>
      </w:r>
      <m:oMath>
        <m:r>
          <m:rPr>
            <m:sty m:val="p"/>
          </m:rPr>
          <w:rPr>
            <w:rFonts w:ascii="Cambria Math" w:hAnsi="Cambria Math"/>
          </w:rPr>
          <m:t>mg</m:t>
        </m:r>
      </m:oMath>
      <w:r>
        <w:t xml:space="preserve"> or </w:t>
      </w:r>
      <m:oMath>
        <m:r>
          <m:rPr>
            <m:sty m:val="p"/>
          </m:rPr>
          <w:rPr>
            <w:rFonts w:ascii="Cambria Math" w:hAnsi="Cambria Math"/>
          </w:rPr>
          <m:t>kg⋅</m:t>
        </m:r>
        <m:sSup>
          <m:sSupPr>
            <m:ctrlPr>
              <w:rPr>
                <w:rFonts w:ascii="Cambria Math" w:hAnsi="Cambria Math"/>
              </w:rPr>
            </m:ctrlPr>
          </m:sSupPr>
          <m:e>
            <m:r>
              <m:rPr>
                <m:sty m:val="p"/>
              </m:rPr>
              <w:rPr>
                <w:rFonts w:ascii="Cambria Math" w:hAnsi="Cambria Math"/>
              </w:rPr>
              <m:t>y</m:t>
            </m:r>
          </m:e>
          <m:sup>
            <m:r>
              <m:rPr>
                <m:sty m:val="p"/>
              </m:rPr>
              <w:rPr>
                <w:rFonts w:ascii="Cambria Math" w:hAnsi="Cambria Math"/>
              </w:rPr>
              <m:t>-</m:t>
            </m:r>
            <m:r>
              <w:rPr>
                <w:rFonts w:ascii="Cambria Math" w:hAnsi="Cambria Math"/>
              </w:rPr>
              <m:t>1</m:t>
            </m:r>
          </m:sup>
        </m:sSup>
      </m:oMath>
      <w:r>
        <w:t xml:space="preserve"> .</w:t>
      </w:r>
    </w:p>
    <w:p w14:paraId="180FFE73" w14:textId="77777777" w:rsidR="00C93ED1" w:rsidRDefault="00AE0C06">
      <w:pPr>
        <w:pStyle w:val="BodyText"/>
      </w:pPr>
      <w:r>
        <w:t xml:space="preserve">To estimate the relationship between water concentrations </w:t>
      </w:r>
      <m:oMath>
        <m:sSub>
          <m:sSubPr>
            <m:ctrlPr>
              <w:rPr>
                <w:rFonts w:ascii="Cambria Math" w:hAnsi="Cambria Math"/>
              </w:rPr>
            </m:ctrlPr>
          </m:sSubPr>
          <m:e>
            <m:r>
              <w:rPr>
                <w:rFonts w:ascii="Cambria Math" w:hAnsi="Cambria Math"/>
              </w:rPr>
              <m:t>C</m:t>
            </m:r>
          </m:e>
          <m:sub>
            <m:r>
              <w:rPr>
                <w:rFonts w:ascii="Cambria Math" w:hAnsi="Cambria Math"/>
              </w:rPr>
              <m:t>w</m:t>
            </m:r>
          </m:sub>
        </m:sSub>
      </m:oMath>
      <w:r>
        <w:t xml:space="preserve"> and adult concentrations </w:t>
      </w:r>
      <m:oMath>
        <m:sSub>
          <m:sSubPr>
            <m:ctrlPr>
              <w:rPr>
                <w:rFonts w:ascii="Cambria Math" w:hAnsi="Cambria Math"/>
              </w:rPr>
            </m:ctrlPr>
          </m:sSubPr>
          <m:e>
            <m:r>
              <w:rPr>
                <w:rFonts w:ascii="Cambria Math" w:hAnsi="Cambria Math"/>
              </w:rPr>
              <m:t>C</m:t>
            </m:r>
          </m:e>
          <m:sub>
            <m:r>
              <w:rPr>
                <w:rFonts w:ascii="Cambria Math" w:hAnsi="Cambria Math"/>
              </w:rPr>
              <m:t>a</m:t>
            </m:r>
          </m:sub>
        </m:sSub>
      </m:oMath>
      <w:r>
        <w:t xml:space="preserve"> of metalloids, herbicides, fungicides, and pesticides, we fit separate generalized linear mixed models for each compound with the following structure:</w:t>
      </w:r>
    </w:p>
    <w:p w14:paraId="180FFE74" w14:textId="77777777" w:rsidR="00C93ED1" w:rsidRDefault="00AE0C06">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a</m:t>
                  </m:r>
                </m:sub>
              </m:sSub>
            </m:num>
            <m:den>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a</m:t>
                      </m:r>
                    </m:sub>
                  </m:sSub>
                </m:e>
              </m:d>
            </m:den>
          </m:f>
          <m:r>
            <m:rPr>
              <m:sty m:val="p"/>
            </m:rPr>
            <w:rPr>
              <w:rFonts w:ascii="Cambria Math" w:hAnsi="Cambria Math"/>
            </w:rPr>
            <m:t>∼Gamma</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ϕ</m:t>
              </m:r>
            </m:e>
          </m:d>
        </m:oMath>
      </m:oMathPara>
    </w:p>
    <w:p w14:paraId="180FFE75" w14:textId="77777777" w:rsidR="00C93ED1" w:rsidRDefault="00AE0C06">
      <w:pPr>
        <w:pStyle w:val="FirstParagraph"/>
      </w:pPr>
      <m:oMathPara>
        <m:oMathParaPr>
          <m:jc m:val="center"/>
        </m:oMathParaPr>
        <m:oMath>
          <m:r>
            <m:rPr>
              <m:sty m:val="p"/>
            </m:rPr>
            <w:rPr>
              <w:rFonts w:ascii="Cambria Math" w:hAnsi="Cambria Math"/>
            </w:rPr>
            <m:t>log</m:t>
          </m:r>
          <m:d>
            <m:dPr>
              <m:ctrlPr>
                <w:rPr>
                  <w:rFonts w:ascii="Cambria Math" w:hAnsi="Cambria Math"/>
                </w:rPr>
              </m:ctrlPr>
            </m:dPr>
            <m:e>
              <m:r>
                <w:rPr>
                  <w:rFonts w:ascii="Cambria Math" w:hAnsi="Cambria Math"/>
                </w:rPr>
                <m:t>μ</m:t>
              </m:r>
            </m:e>
          </m:d>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study</m:t>
              </m:r>
            </m:sub>
          </m:sSub>
        </m:oMath>
      </m:oMathPara>
    </w:p>
    <w:p w14:paraId="180FFE76" w14:textId="77777777" w:rsidR="00C93ED1" w:rsidRDefault="00AE0C06">
      <w:pPr>
        <w:pStyle w:val="FirstParagraph"/>
      </w:pPr>
      <m:oMathPara>
        <m:oMathParaPr>
          <m:jc m:val="center"/>
        </m:oMathParaPr>
        <m:oMath>
          <m:r>
            <w:rPr>
              <w:rFonts w:ascii="Cambria Math" w:hAnsi="Cambria Math"/>
            </w:rPr>
            <m:t>α</m:t>
          </m:r>
          <m:r>
            <m:rPr>
              <m:sty m:val="p"/>
            </m:rPr>
            <w:rPr>
              <w:rFonts w:ascii="Cambria Math" w:hAnsi="Cambria Math"/>
            </w:rPr>
            <m:t>∼Normal</m:t>
          </m:r>
          <m:d>
            <m:dPr>
              <m:ctrlPr>
                <w:rPr>
                  <w:rFonts w:ascii="Cambria Math" w:hAnsi="Cambria Math"/>
                </w:rPr>
              </m:ctrlPr>
            </m:dPr>
            <m:e>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e>
          </m:d>
        </m:oMath>
      </m:oMathPara>
    </w:p>
    <w:p w14:paraId="180FFE77" w14:textId="77777777" w:rsidR="00C93ED1" w:rsidRDefault="00AE0C06">
      <w:pPr>
        <w:pStyle w:val="FirstParagraph"/>
      </w:pPr>
      <m:oMathPara>
        <m:oMathParaPr>
          <m:jc m:val="center"/>
        </m:oMathParaPr>
        <m:oMath>
          <m:r>
            <w:rPr>
              <w:rFonts w:ascii="Cambria Math" w:hAnsi="Cambria Math"/>
            </w:rPr>
            <m:t>β</m:t>
          </m:r>
          <m:r>
            <m:rPr>
              <m:sty m:val="p"/>
            </m:rPr>
            <w:rPr>
              <w:rFonts w:ascii="Cambria Math" w:hAnsi="Cambria Math"/>
            </w: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180FFE78" w14:textId="77777777" w:rsidR="00C93ED1" w:rsidRDefault="00AE0C06">
      <w:pPr>
        <w:pStyle w:val="FirstParagraph"/>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study</m:t>
              </m:r>
            </m:sub>
          </m:sSub>
          <m:r>
            <m:rPr>
              <m:sty m:val="p"/>
            </m:rPr>
            <w:rPr>
              <w:rFonts w:ascii="Cambria Math" w:hAnsi="Cambria Math"/>
            </w: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study</m:t>
                  </m:r>
                </m:sub>
              </m:sSub>
            </m:e>
          </m:d>
        </m:oMath>
      </m:oMathPara>
    </w:p>
    <w:p w14:paraId="180FFE79" w14:textId="77777777" w:rsidR="00C93ED1" w:rsidRDefault="00AE0C06">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study</m:t>
              </m:r>
            </m:sub>
          </m:sSub>
          <m:r>
            <m:rPr>
              <m:sty m:val="p"/>
            </m:rPr>
            <w:rPr>
              <w:rFonts w:ascii="Cambria Math" w:hAnsi="Cambria Math"/>
            </w:rPr>
            <m:t>∼HalfStudentT</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2.6</m:t>
              </m:r>
            </m:e>
          </m:d>
        </m:oMath>
      </m:oMathPara>
    </w:p>
    <w:p w14:paraId="180FFE7A" w14:textId="77777777" w:rsidR="00C93ED1" w:rsidRDefault="00AE0C06">
      <w:pPr>
        <w:pStyle w:val="FirstParagraph"/>
      </w:pPr>
      <m:oMathPara>
        <m:oMathParaPr>
          <m:jc m:val="center"/>
        </m:oMathParaPr>
        <m:oMath>
          <m:r>
            <w:rPr>
              <w:rFonts w:ascii="Cambria Math" w:hAnsi="Cambria Math"/>
            </w:rPr>
            <m:t>ϕ</m:t>
          </m:r>
          <m:r>
            <m:rPr>
              <m:sty m:val="p"/>
            </m:rPr>
            <w:rPr>
              <w:rFonts w:ascii="Cambria Math" w:hAnsi="Cambria Math"/>
            </w:rPr>
            <m:t>∼Gamma</m:t>
          </m:r>
          <m:d>
            <m:dPr>
              <m:ctrlPr>
                <w:rPr>
                  <w:rFonts w:ascii="Cambria Math" w:hAnsi="Cambria Math"/>
                </w:rPr>
              </m:ctrlPr>
            </m:dPr>
            <m:e>
              <m:r>
                <w:rPr>
                  <w:rFonts w:ascii="Cambria Math" w:hAnsi="Cambria Math"/>
                </w:rPr>
                <m:t>0.01</m:t>
              </m:r>
              <m:r>
                <m:rPr>
                  <m:sty m:val="p"/>
                </m:rPr>
                <w:rPr>
                  <w:rFonts w:ascii="Cambria Math" w:hAnsi="Cambria Math"/>
                </w:rPr>
                <m:t>,</m:t>
              </m:r>
              <m:r>
                <w:rPr>
                  <w:rFonts w:ascii="Cambria Math" w:hAnsi="Cambria Math"/>
                </w:rPr>
                <m:t>0.01</m:t>
              </m:r>
            </m:e>
          </m:d>
          <m:r>
            <m:rPr>
              <m:sty m:val="p"/>
            </m:rPr>
            <w:rPr>
              <w:rFonts w:ascii="Cambria Math" w:hAnsi="Cambria Math"/>
            </w:rPr>
            <m:t>,</m:t>
          </m:r>
        </m:oMath>
      </m:oMathPara>
    </w:p>
    <w:p w14:paraId="180FFE7B" w14:textId="77777777" w:rsidR="00C93ED1" w:rsidRDefault="00AE0C06">
      <w:pPr>
        <w:pStyle w:val="FirstParagrap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a</m:t>
            </m:r>
          </m:sub>
        </m:sSub>
      </m:oMath>
      <w:r>
        <w:t xml:space="preserve"> is the adult tissue concentration of a contaminant (standardized by dividing by the maximum concentration), </w:t>
      </w:r>
      <m:oMath>
        <m:sSub>
          <m:sSubPr>
            <m:ctrlPr>
              <w:rPr>
                <w:rFonts w:ascii="Cambria Math" w:hAnsi="Cambria Math"/>
              </w:rPr>
            </m:ctrlPr>
          </m:sSubPr>
          <m:e>
            <m:r>
              <w:rPr>
                <w:rFonts w:ascii="Cambria Math" w:hAnsi="Cambria Math"/>
              </w:rPr>
              <m:t>C</m:t>
            </m:r>
          </m:e>
          <m:sub>
            <m:r>
              <w:rPr>
                <w:rFonts w:ascii="Cambria Math" w:hAnsi="Cambria Math"/>
              </w:rPr>
              <m:t>w</m:t>
            </m:r>
          </m:sub>
        </m:sSub>
      </m:oMath>
      <w:r>
        <w:t xml:space="preserve"> is the water concentration of the contaminant (standardized as a z-score), with varying intercepts for study. Because tissue concentrations are positive and continuous, we used a gamma likelihood with a log-link. Given the standardized data and log-link, we used a N(-3, 1) prior for the intercept and N(0, 1) prior for the slope, with a default priors of HalfStudentT(3, 0, 2.6) for the hyperparameter </w:t>
      </w:r>
      <m:oMath>
        <m:sSub>
          <m:sSubPr>
            <m:ctrlPr>
              <w:rPr>
                <w:rFonts w:ascii="Cambria Math" w:hAnsi="Cambria Math"/>
              </w:rPr>
            </m:ctrlPr>
          </m:sSubPr>
          <m:e>
            <m:r>
              <w:rPr>
                <w:rFonts w:ascii="Cambria Math" w:hAnsi="Cambria Math"/>
              </w:rPr>
              <m:t>σ</m:t>
            </m:r>
          </m:e>
          <m:sub>
            <m:r>
              <w:rPr>
                <w:rFonts w:ascii="Cambria Math" w:hAnsi="Cambria Math"/>
              </w:rPr>
              <m:t>study</m:t>
            </m:r>
          </m:sub>
        </m:sSub>
      </m:oMath>
      <w:r>
        <w:t xml:space="preserve"> and Gamma(0.01, 0.01) for </w:t>
      </w:r>
      <m:oMath>
        <m:r>
          <w:rPr>
            <w:rFonts w:ascii="Cambria Math" w:hAnsi="Cambria Math"/>
          </w:rPr>
          <m:t>ϕ</m:t>
        </m:r>
      </m:oMath>
      <w:r>
        <w:t>.</w:t>
      </w:r>
    </w:p>
    <w:bookmarkEnd w:id="0"/>
    <w:sectPr w:rsidR="00C93ED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30D8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12875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C93ED1"/>
    <w:rsid w:val="00AE0C06"/>
    <w:rsid w:val="00C7425D"/>
    <w:rsid w:val="00C93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FFE3E"/>
  <w15:docId w15:val="{A472EA08-439C-46DB-9B54-8C35EBC5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1745</Words>
  <Characters>10440</Characters>
  <Application>Microsoft Office Word</Application>
  <DocSecurity>0</DocSecurity>
  <Lines>196</Lines>
  <Paragraphs>87</Paragraphs>
  <ScaleCrop>false</ScaleCrop>
  <Company>The University of South Dakota</Company>
  <LinksUpToDate>false</LinksUpToDate>
  <CharactersWithSpaces>12098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Models-SI</dc:title>
  <dc:creator>Jeff Wesner</dc:creator>
  <cp:keywords/>
  <cp:lastModifiedBy>Wesner, Jeff</cp:lastModifiedBy>
  <cp:revision>2</cp:revision>
  <dcterms:created xsi:type="dcterms:W3CDTF">2025-10-01T22:12:00Z</dcterms:created>
  <dcterms:modified xsi:type="dcterms:W3CDTF">2025-10-01T22:15:00Z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2025-07-25</vt:lpwstr>
  </property>
  <property fmtid="{D5CDD505-2E9C-101B-9397-08002B2CF9AE}" pid="3" name="editor_options">
    <vt:lpwstr/>
  </property>
  <property fmtid="{D5CDD505-2E9C-101B-9397-08002B2CF9AE}" pid="4" name="output">
    <vt:lpwstr/>
  </property>
  <property fmtid="{D5CDD505-2E9C-101B-9397-08002B2CF9AE}" pid="5" name="MSIP_Label_8cb311d3-aea9-4488-bc88-99739ecc7603_Enabled">
    <vt:lpwstr>true</vt:lpwstr>
  </property>
  <property fmtid="{D5CDD505-2E9C-101B-9397-08002B2CF9AE}" pid="6" name="MSIP_Label_8cb311d3-aea9-4488-bc88-99739ecc7603_SetDate">
    <vt:lpwstr>2025-10-01T22:15:10Z</vt:lpwstr>
  </property>
  <property fmtid="{D5CDD505-2E9C-101B-9397-08002B2CF9AE}" pid="7" name="MSIP_Label_8cb311d3-aea9-4488-bc88-99739ecc7603_Method">
    <vt:lpwstr>Standard</vt:lpwstr>
  </property>
  <property fmtid="{D5CDD505-2E9C-101B-9397-08002B2CF9AE}" pid="8" name="MSIP_Label_8cb311d3-aea9-4488-bc88-99739ecc7603_Name">
    <vt:lpwstr>Internal - University</vt:lpwstr>
  </property>
  <property fmtid="{D5CDD505-2E9C-101B-9397-08002B2CF9AE}" pid="9" name="MSIP_Label_8cb311d3-aea9-4488-bc88-99739ecc7603_SiteId">
    <vt:lpwstr>9c36a7d0-bf7b-4991-9b78-be91a52f0226</vt:lpwstr>
  </property>
  <property fmtid="{D5CDD505-2E9C-101B-9397-08002B2CF9AE}" pid="10" name="MSIP_Label_8cb311d3-aea9-4488-bc88-99739ecc7603_ActionId">
    <vt:lpwstr>6d42a69b-142b-44a8-bcef-a2f8b740e736</vt:lpwstr>
  </property>
  <property fmtid="{D5CDD505-2E9C-101B-9397-08002B2CF9AE}" pid="11" name="MSIP_Label_8cb311d3-aea9-4488-bc88-99739ecc7603_ContentBits">
    <vt:lpwstr>0</vt:lpwstr>
  </property>
  <property fmtid="{D5CDD505-2E9C-101B-9397-08002B2CF9AE}" pid="12" name="MSIP_Label_8cb311d3-aea9-4488-bc88-99739ecc7603_Tag">
    <vt:lpwstr>10, 3, 0, 1</vt:lpwstr>
  </property>
</Properties>
</file>