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bookmarkStart w:id="0" w:name="_GoBack"/>
      <w:bookmarkEnd w:id="0"/>
      <w:r w:rsidR="009B7C1A">
        <w:rPr>
          <w:lang w:val="en-US"/>
        </w:rPr>
        <w:t>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3E19D4" w:rsidRDefault="00A26739" w:rsidP="00A26739">
      <w:pPr>
        <w:pStyle w:val="NoSpacing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Pr="003E19D4">
        <w:rPr>
          <w:rStyle w:val="SubtleEmphasis"/>
          <w:i w:val="0"/>
        </w:rPr>
        <w:t>Nafiseh Navabpour, Roman Gerlach, David Blaa</w:t>
      </w:r>
    </w:p>
    <w:p w:rsidR="00A26739" w:rsidRPr="003E19D4" w:rsidRDefault="00A26739" w:rsidP="00A26739">
      <w:pPr>
        <w:pStyle w:val="NoSpacing"/>
        <w:jc w:val="both"/>
        <w:rPr>
          <w:rStyle w:val="IntenseEmphasis"/>
          <w:i w:val="0"/>
        </w:rPr>
      </w:pPr>
    </w:p>
    <w:p w:rsidR="00A26739" w:rsidRPr="003E19D4" w:rsidRDefault="00A26739" w:rsidP="00A26739">
      <w:pPr>
        <w:pStyle w:val="NoSpacing"/>
        <w:jc w:val="both"/>
        <w:rPr>
          <w:rStyle w:val="IntenseEmphasis"/>
          <w:i w:val="0"/>
        </w:rPr>
      </w:pPr>
      <w:r w:rsidRPr="003E19D4">
        <w:rPr>
          <w:rStyle w:val="IntenseEmphasis"/>
          <w:i w:val="0"/>
        </w:rPr>
        <w:t>Contact</w:t>
      </w:r>
    </w:p>
    <w:p w:rsidR="00A26739" w:rsidRPr="003E19D4" w:rsidRDefault="00A26739" w:rsidP="00A26739">
      <w:pPr>
        <w:pStyle w:val="NoSpacing"/>
        <w:ind w:left="708"/>
        <w:jc w:val="both"/>
        <w:rPr>
          <w:rStyle w:val="SubtleEmphasis"/>
          <w:i w:val="0"/>
        </w:rPr>
      </w:pPr>
      <w:r w:rsidRPr="003E19D4">
        <w:rPr>
          <w:rStyle w:val="SubtleEmphasis"/>
          <w:i w:val="0"/>
        </w:rPr>
        <w:t>Website:</w:t>
      </w:r>
      <w:r w:rsidRPr="003E19D4">
        <w:rPr>
          <w:rStyle w:val="SubtleEmphasis"/>
          <w:i w:val="0"/>
        </w:rPr>
        <w:tab/>
      </w:r>
      <w:hyperlink r:id="rId8" w:history="1">
        <w:r w:rsidR="00AC6516" w:rsidRPr="003E19D4">
          <w:rPr>
            <w:rStyle w:val="Hyperlink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8E0C60" w:rsidRDefault="00B10F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68454461" w:history="1">
            <w:r w:rsidR="008E0C60" w:rsidRPr="000F5999">
              <w:rPr>
                <w:rStyle w:val="Hyperlink"/>
                <w:noProof/>
                <w:lang w:val="en-GB"/>
              </w:rPr>
              <w:t>1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Overview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_Toc468454461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3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D0524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454462" w:history="1">
            <w:r w:rsidR="008E0C60" w:rsidRPr="000F5999">
              <w:rPr>
                <w:rStyle w:val="Hyperlink"/>
                <w:noProof/>
              </w:rPr>
              <w:t>2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Publish a Dataset Version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_Toc468454462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3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D052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3" w:history="1">
            <w:r w:rsidR="008E0C60" w:rsidRPr="000F5999">
              <w:rPr>
                <w:rStyle w:val="Hyperlink"/>
                <w:noProof/>
              </w:rPr>
              <w:t>2.1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Configurate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_Toc468454463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3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D052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4" w:history="1">
            <w:r w:rsidR="008E0C60" w:rsidRPr="000F5999">
              <w:rPr>
                <w:rStyle w:val="Hyperlink"/>
                <w:noProof/>
              </w:rPr>
              <w:t>2.2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Publish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_Toc468454464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4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D0524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5" w:history="1">
            <w:r w:rsidR="008E0C60" w:rsidRPr="000F5999">
              <w:rPr>
                <w:rStyle w:val="Hyperlink"/>
                <w:noProof/>
                <w:lang w:val="en-US"/>
              </w:rPr>
              <w:t>2.3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  <w:lang w:val="en-US"/>
              </w:rPr>
              <w:t>Zip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_Toc468454465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4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4178C9">
      <w:pPr>
        <w:pStyle w:val="Heading1"/>
        <w:rPr>
          <w:lang w:val="en-GB"/>
        </w:rPr>
      </w:pPr>
      <w:bookmarkStart w:id="1" w:name="_Toc468454461"/>
      <w:r w:rsidRPr="004178C9">
        <w:lastRenderedPageBreak/>
        <w:t>Overview</w:t>
      </w:r>
      <w:bookmarkEnd w:id="1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3E19D4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52.75pt">
            <v:imagedata r:id="rId9" o:title="Export Metadata"/>
          </v:shape>
        </w:pict>
      </w:r>
    </w:p>
    <w:p w:rsidR="00D20697" w:rsidRDefault="00D20697" w:rsidP="00D20697">
      <w:pPr>
        <w:pStyle w:val="Heading1"/>
      </w:pPr>
      <w:bookmarkStart w:id="2" w:name="_Toc468454462"/>
      <w:r>
        <w:t>P</w:t>
      </w:r>
      <w:r w:rsidR="00C56C0C">
        <w:t>ublish a Dataset Version</w:t>
      </w:r>
      <w:bookmarkEnd w:id="2"/>
    </w:p>
    <w:p w:rsidR="00D20697" w:rsidRDefault="00D20697" w:rsidP="00D20697">
      <w:pPr>
        <w:pStyle w:val="Heading2"/>
      </w:pPr>
      <w:bookmarkStart w:id="3" w:name="_Toc468454463"/>
      <w:r>
        <w:t>Configurate</w:t>
      </w:r>
      <w:bookmarkEnd w:id="3"/>
    </w:p>
    <w:p w:rsidR="008D63E6" w:rsidRPr="008D63E6" w:rsidRDefault="008D63E6" w:rsidP="008D63E6"/>
    <w:p w:rsidR="008D63E6" w:rsidRDefault="00D20697" w:rsidP="00D20697">
      <w:pPr>
        <w:rPr>
          <w:lang w:val="en-US"/>
        </w:rPr>
      </w:pPr>
      <w:r w:rsidRPr="00D20697">
        <w:rPr>
          <w:lang w:val="en-US"/>
        </w:rPr>
        <w:t>In the workspace a submisionConfig.xml</w:t>
      </w:r>
      <w:r>
        <w:rPr>
          <w:lang w:val="en-US"/>
        </w:rPr>
        <w:t xml:space="preserve"> is placed under “…\</w:t>
      </w:r>
      <w:r w:rsidRPr="00D20697">
        <w:rPr>
          <w:lang w:val="en-US"/>
        </w:rPr>
        <w:t>Workspace\Modules\DIM</w:t>
      </w:r>
      <w:r>
        <w:rPr>
          <w:lang w:val="en-US"/>
        </w:rPr>
        <w:t>”.</w:t>
      </w:r>
      <w:r>
        <w:rPr>
          <w:lang w:val="en-US"/>
        </w:rPr>
        <w:br/>
      </w:r>
      <w:r w:rsidRPr="00D20697">
        <w:rPr>
          <w:lang w:val="en-US"/>
        </w:rPr>
        <w:t>The data centers can be registered in this file</w:t>
      </w:r>
      <w:r>
        <w:rPr>
          <w:lang w:val="en-US"/>
        </w:rPr>
        <w:t xml:space="preserve">. </w:t>
      </w:r>
      <w:r w:rsidRPr="00D20697">
        <w:rPr>
          <w:lang w:val="en-US"/>
        </w:rPr>
        <w:t>Here you can define requirements such as, for example, to export the primary data to csv</w:t>
      </w:r>
      <w:r w:rsidR="008D63E6">
        <w:rPr>
          <w:lang w:val="en-US"/>
        </w:rPr>
        <w:t xml:space="preserve">. </w:t>
      </w:r>
    </w:p>
    <w:p w:rsidR="00D20697" w:rsidRDefault="00D20697" w:rsidP="00D20697">
      <w:r>
        <w:rPr>
          <w:noProof/>
          <w:lang w:eastAsia="de-DE"/>
        </w:rPr>
        <w:drawing>
          <wp:inline distT="0" distB="0" distL="0" distR="0" wp14:anchorId="64A72450" wp14:editId="63D6E8F0">
            <wp:extent cx="5760720" cy="136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E6" w:rsidRPr="00D20697" w:rsidRDefault="008D63E6" w:rsidP="00D20697"/>
    <w:p w:rsidR="00D01A67" w:rsidRDefault="00D01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697" w:rsidRDefault="00D20697" w:rsidP="00D20697">
      <w:pPr>
        <w:pStyle w:val="Heading2"/>
      </w:pPr>
      <w:bookmarkStart w:id="4" w:name="_Toc468454464"/>
      <w:r>
        <w:lastRenderedPageBreak/>
        <w:t>Publish</w:t>
      </w:r>
      <w:bookmarkEnd w:id="4"/>
    </w:p>
    <w:p w:rsidR="00D01A67" w:rsidRPr="00D01A67" w:rsidRDefault="00D01A67" w:rsidP="00D01A67"/>
    <w:p w:rsidR="008D63E6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  <w:t>There are two types of fails.</w:t>
      </w:r>
    </w:p>
    <w:p w:rsid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system is not able to convert the data. The administrator should check the config and the convert option.</w:t>
      </w:r>
    </w:p>
    <w:p w:rsidR="00C56C0C" w:rsidRP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Metadata is not valid. This is a warning. You can go on but the metadata.xml in the zip ist not valid against the exported xsd schema</w:t>
      </w:r>
    </w:p>
    <w:p w:rsidR="008D63E6" w:rsidRDefault="008D63E6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0D75EE3" wp14:editId="1DF573CF">
            <wp:extent cx="5760720" cy="154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C56C0C" w:rsidRDefault="00C56C0C" w:rsidP="00BE2DAB">
      <w:pPr>
        <w:pStyle w:val="Heading2"/>
        <w:rPr>
          <w:lang w:val="en-US"/>
        </w:rPr>
      </w:pPr>
      <w:bookmarkStart w:id="5" w:name="_Toc468454465"/>
      <w:r w:rsidRPr="00BE2DAB">
        <w:rPr>
          <w:lang w:val="en-US"/>
        </w:rPr>
        <w:t>Zip</w:t>
      </w:r>
      <w:bookmarkEnd w:id="5"/>
    </w:p>
    <w:p w:rsidR="00BE2DAB" w:rsidRPr="00BE2DAB" w:rsidRDefault="00BE2DAB" w:rsidP="00BE2DAB">
      <w:pPr>
        <w:rPr>
          <w:lang w:val="en-US"/>
        </w:rPr>
      </w:pPr>
    </w:p>
    <w:p w:rsidR="00BE2DAB" w:rsidRDefault="00BE2DAB" w:rsidP="00D20697">
      <w:pPr>
        <w:rPr>
          <w:lang w:val="en-US"/>
        </w:rPr>
      </w:pPr>
      <w:r>
        <w:rPr>
          <w:lang w:val="en-US"/>
        </w:rPr>
        <w:t>The</w:t>
      </w:r>
      <w:r w:rsidRPr="00BE2DAB">
        <w:rPr>
          <w:lang w:val="en-US"/>
        </w:rPr>
        <w:t xml:space="preserve"> following files can be found in the zip file</w:t>
      </w:r>
      <w:r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C56C0C" w:rsidRDefault="00C56C0C" w:rsidP="00D20697">
      <w:pPr>
        <w:rPr>
          <w:lang w:val="en-US"/>
        </w:rPr>
      </w:pP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44" w:rsidRDefault="00D05244" w:rsidP="00352E0E">
      <w:pPr>
        <w:spacing w:after="0" w:line="240" w:lineRule="auto"/>
      </w:pPr>
      <w:r>
        <w:separator/>
      </w:r>
    </w:p>
  </w:endnote>
  <w:endnote w:type="continuationSeparator" w:id="0">
    <w:p w:rsidR="00D05244" w:rsidRDefault="00D05244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3E19D4">
          <w:rPr>
            <w:noProof/>
          </w:rPr>
          <w:t>4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44" w:rsidRDefault="00D05244" w:rsidP="00352E0E">
      <w:pPr>
        <w:spacing w:after="0" w:line="240" w:lineRule="auto"/>
      </w:pPr>
      <w:r>
        <w:separator/>
      </w:r>
    </w:p>
  </w:footnote>
  <w:footnote w:type="continuationSeparator" w:id="0">
    <w:p w:rsidR="00D05244" w:rsidRDefault="00D05244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3E19D4"/>
    <w:rsid w:val="004178C9"/>
    <w:rsid w:val="004211BD"/>
    <w:rsid w:val="0043697A"/>
    <w:rsid w:val="00467F3B"/>
    <w:rsid w:val="00473283"/>
    <w:rsid w:val="00495CA6"/>
    <w:rsid w:val="004A05A2"/>
    <w:rsid w:val="004B17F8"/>
    <w:rsid w:val="004B6E46"/>
    <w:rsid w:val="004C3167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D63E6"/>
    <w:rsid w:val="008E020F"/>
    <w:rsid w:val="008E0C60"/>
    <w:rsid w:val="0099780C"/>
    <w:rsid w:val="009A5B32"/>
    <w:rsid w:val="009B7C1A"/>
    <w:rsid w:val="009D7DB8"/>
    <w:rsid w:val="009F3387"/>
    <w:rsid w:val="00A039A7"/>
    <w:rsid w:val="00A26739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2DAB"/>
    <w:rsid w:val="00BE72EF"/>
    <w:rsid w:val="00BF4EC3"/>
    <w:rsid w:val="00C00278"/>
    <w:rsid w:val="00C31E18"/>
    <w:rsid w:val="00C40BB1"/>
    <w:rsid w:val="00C47916"/>
    <w:rsid w:val="00C547B8"/>
    <w:rsid w:val="00C56C0C"/>
    <w:rsid w:val="00CE2F41"/>
    <w:rsid w:val="00CE4EB8"/>
    <w:rsid w:val="00D01A67"/>
    <w:rsid w:val="00D05244"/>
    <w:rsid w:val="00D11D48"/>
    <w:rsid w:val="00D20697"/>
    <w:rsid w:val="00D37521"/>
    <w:rsid w:val="00D43ACA"/>
    <w:rsid w:val="00D63182"/>
    <w:rsid w:val="00D82589"/>
    <w:rsid w:val="00DA14FB"/>
    <w:rsid w:val="00DF6E6D"/>
    <w:rsid w:val="00E0108C"/>
    <w:rsid w:val="00E26189"/>
    <w:rsid w:val="00E27DFA"/>
    <w:rsid w:val="00E537A9"/>
    <w:rsid w:val="00E727DC"/>
    <w:rsid w:val="00E73115"/>
    <w:rsid w:val="00E857D1"/>
    <w:rsid w:val="00E90200"/>
    <w:rsid w:val="00E934EC"/>
    <w:rsid w:val="00ED73FA"/>
    <w:rsid w:val="00F52F90"/>
    <w:rsid w:val="00F57980"/>
    <w:rsid w:val="00F803D8"/>
    <w:rsid w:val="00F81D54"/>
    <w:rsid w:val="00FB3881"/>
    <w:rsid w:val="00FD78EE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6C284-9312-4F1F-8308-62466C41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35210-1A9B-4CEC-86A8-AA4E66D9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Nafiseh Navabpour</cp:lastModifiedBy>
  <cp:revision>31</cp:revision>
  <cp:lastPrinted>2016-11-30T07:46:00Z</cp:lastPrinted>
  <dcterms:created xsi:type="dcterms:W3CDTF">2015-02-13T10:55:00Z</dcterms:created>
  <dcterms:modified xsi:type="dcterms:W3CDTF">2017-08-29T09:19:00Z</dcterms:modified>
</cp:coreProperties>
</file>