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AQ_OS — Lane 1: Operator Composition &amp; Chaining</w:t>
      </w:r>
    </w:p>
    <w:p>
      <w:r>
        <w:t>Generated: 2026-01-12</w:t>
      </w:r>
    </w:p>
    <w:p>
      <w:pPr>
        <w:pStyle w:val="Heading1"/>
      </w:pPr>
      <w:r>
        <w:t>Purpose</w:t>
      </w:r>
    </w:p>
    <w:p>
      <w:r>
        <w:t>Defines formal conditions for operator chaining above the Viability Core.</w:t>
      </w:r>
    </w:p>
    <w:p>
      <w:r>
        <w:t>Non-load-bearing. Does not alter core assumptions.</w:t>
      </w:r>
    </w:p>
    <w:p>
      <w:pPr>
        <w:pStyle w:val="Heading1"/>
      </w:pPr>
      <w:r>
        <w:t>Chaining Lemma</w:t>
      </w:r>
    </w:p>
    <w:p>
      <w:r>
        <w:t>Given V(F(x,δ)) ≤ k·V(x)+c·||δ||.</w:t>
      </w:r>
    </w:p>
    <w:p>
      <w:r>
        <w:t>For operators O_i: V(O_i(x,δ)) ≤ a_i·V(x)+b_i·||δ||+d_i.</w:t>
      </w:r>
    </w:p>
    <w:p>
      <w:r>
        <w:t>Composite bounds derived via finite composition.</w:t>
      </w:r>
    </w:p>
    <w:p>
      <w:pPr>
        <w:pStyle w:val="Heading1"/>
      </w:pPr>
      <w:r>
        <w:t>Operator Classes</w:t>
      </w:r>
    </w:p>
    <w:p>
      <w:r>
        <w:t>boop — E-GATED (Boop C)</w:t>
      </w:r>
    </w:p>
    <w:p>
      <w:r>
        <w:t>bloop — M-TRANSPARENT</w:t>
      </w:r>
    </w:p>
    <w:p>
      <w:r>
        <w:t>floop — C-CONTRACTIVE</w:t>
      </w:r>
    </w:p>
    <w:p>
      <w:r>
        <w:t>Null Field — N-PROJECTOR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