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Nirmala UI" w:cs="Nirmala UI"/>
        </w:rPr>
        <w:t xml:space="preserve">Vannamei Culture Start Plan for October 1</w:t>
      </w:r>
    </w:p>
    <w:tbl>
      <w:tblPr>
        <w:tblW w:w="9000" w:type="dxa"/>
        <w:tblLayout w:type="fixed"/>
        <w:tblBorders>
          <w:top w:val="single" w:sz="4" w:color="A7CFCB"/>
          <w:left w:val="single" w:sz="4" w:color="A7CFCB"/>
          <w:bottom w:val="single" w:sz="4" w:color="A7CFCB"/>
          <w:right w:val="single" w:sz="4" w:color="A7CFCB"/>
          <w:insideH w:val="single" w:sz="2" w:color="D9E8E6"/>
          <w:insideV w:val="single" w:sz="2" w:color="D9E8E6"/>
        </w:tblBorders>
      </w:tblPr>
      <w:tblGrid>
        <w:gridCol w:w="2500"/>
        <w:gridCol w:w="6500"/>
      </w:tblGrid>
      <w:tr>
        <w:tc>
          <w:tcPr>
            <w:tcW w:w="2500" w:type="dxa"/>
            <w:shd w:fill="E2F1F0"/>
          </w:tcPr>
          <w:p>
            <w:pPr>
              <w:pStyle w:val="MetaLabel"/>
            </w:pPr>
            <w:r>
              <w:rPr>
                <w:rFonts w:ascii="Calibri" w:hAnsi="Calibri" w:eastAsia="Nirmala UI" w:cs="Nirmala UI"/>
              </w:rPr>
              <w:t xml:space="preserve">Pond</w:t>
            </w:r>
          </w:p>
        </w:tc>
        <w:tc>
          <w:tcPr>
            <w:tcW w:w="6500" w:type="dxa"/>
          </w:tcPr>
          <w:p>
            <w:pPr>
              <w:pStyle w:val="MetaValue"/>
            </w:pPr>
            <w:r>
              <w:rPr>
                <w:rFonts w:ascii="Calibri" w:hAnsi="Calibri" w:eastAsia="Nirmala UI" w:cs="Nirmala UI"/>
              </w:rPr>
              <w:t xml:space="preserve">Ivr_tank2</w:t>
            </w:r>
          </w:p>
        </w:tc>
      </w:tr>
      <w:tr>
        <w:tc>
          <w:tcPr>
            <w:tcW w:w="2500" w:type="dxa"/>
            <w:shd w:fill="E2F1F0"/>
          </w:tcPr>
          <w:p>
            <w:pPr>
              <w:pStyle w:val="MetaLabel"/>
            </w:pPr>
            <w:r>
              <w:rPr>
                <w:rFonts w:ascii="Calibri" w:hAnsi="Calibri" w:eastAsia="Nirmala UI" w:cs="Nirmala UI"/>
              </w:rPr>
              <w:t xml:space="preserve">Species</w:t>
            </w:r>
          </w:p>
        </w:tc>
        <w:tc>
          <w:tcPr>
            <w:tcW w:w="6500" w:type="dxa"/>
          </w:tcPr>
          <w:p>
            <w:pPr>
              <w:pStyle w:val="MetaValue"/>
            </w:pPr>
            <w:r>
              <w:rPr>
                <w:rFonts w:ascii="Calibri" w:hAnsi="Calibri" w:eastAsia="Nirmala UI" w:cs="Nirmala UI"/>
              </w:rPr>
              <w:t xml:space="preserve">P. vannamei</w:t>
            </w:r>
          </w:p>
        </w:tc>
      </w:tr>
      <w:tr>
        <w:tc>
          <w:tcPr>
            <w:tcW w:w="2500" w:type="dxa"/>
            <w:shd w:fill="E2F1F0"/>
          </w:tcPr>
          <w:p>
            <w:pPr>
              <w:pStyle w:val="MetaLabel"/>
            </w:pPr>
            <w:r>
              <w:rPr>
                <w:rFonts w:ascii="Calibri" w:hAnsi="Calibri" w:eastAsia="Nirmala UI" w:cs="Nirmala UI"/>
              </w:rPr>
              <w:t xml:space="preserve">Planned stocking date</w:t>
            </w:r>
          </w:p>
        </w:tc>
        <w:tc>
          <w:tcPr>
            <w:tcW w:w="6500" w:type="dxa"/>
          </w:tcPr>
          <w:p>
            <w:pPr>
              <w:pStyle w:val="MetaValue"/>
            </w:pPr>
            <w:r>
              <w:rPr>
                <w:rFonts w:ascii="Calibri" w:hAnsi="Calibri" w:eastAsia="Nirmala UI" w:cs="Nirmala UI"/>
              </w:rPr>
              <w:t xml:space="preserve">October 1 (year to be confirmed)</w:t>
            </w:r>
          </w:p>
        </w:tc>
      </w:tr>
      <w:tr>
        <w:tc>
          <w:tcPr>
            <w:tcW w:w="2500" w:type="dxa"/>
            <w:shd w:fill="E2F1F0"/>
          </w:tcPr>
          <w:p>
            <w:pPr>
              <w:pStyle w:val="MetaLabel"/>
            </w:pPr>
            <w:r>
              <w:rPr>
                <w:rFonts w:ascii="Calibri" w:hAnsi="Calibri" w:eastAsia="Nirmala UI" w:cs="Nirmala UI"/>
              </w:rPr>
              <w:t xml:space="preserve">Report generated</w:t>
            </w:r>
          </w:p>
        </w:tc>
        <w:tc>
          <w:tcPr>
            <w:tcW w:w="6500" w:type="dxa"/>
          </w:tcPr>
          <w:p>
            <w:pPr>
              <w:pStyle w:val="MetaValue"/>
            </w:pPr>
            <w:r>
              <w:rPr>
                <w:rFonts w:ascii="Calibri" w:hAnsi="Calibri" w:eastAsia="Nirmala UI" w:cs="Nirmala UI"/>
              </w:rPr>
              <w:t xml:space="preserve">2026-09-17</w:t>
            </w:r>
          </w:p>
        </w:tc>
      </w:tr>
      <w:tr>
        <w:tc>
          <w:tcPr>
            <w:tcW w:w="2500" w:type="dxa"/>
            <w:shd w:fill="E2F1F0"/>
          </w:tcPr>
          <w:p>
            <w:pPr>
              <w:pStyle w:val="MetaLabel"/>
            </w:pPr>
            <w:r>
              <w:rPr>
                <w:rFonts w:ascii="Calibri" w:hAnsi="Calibri" w:eastAsia="Nirmala UI" w:cs="Nirmala UI"/>
              </w:rPr>
              <w:t xml:space="preserve">Pond readings used</w:t>
            </w:r>
          </w:p>
        </w:tc>
        <w:tc>
          <w:tcPr>
            <w:tcW w:w="6500" w:type="dxa"/>
          </w:tcPr>
          <w:p>
            <w:pPr>
              <w:pStyle w:val="MetaValue"/>
            </w:pPr>
            <w:r>
              <w:rPr>
                <w:rFonts w:ascii="Calibri" w:hAnsi="Calibri" w:eastAsia="Nirmala UI" w:cs="Nirmala UI"/>
              </w:rPr>
              <w:t xml:space="preserve">Not provided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Nirmala UI" w:cs="Nirmala UI"/>
        </w:rPr>
        <w:t xml:space="preserve">Pond: Ivr_tank2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1. Pond Record Verification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year for the planned October 1 stocking date.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October 1 is the final stocking date before scheduling pond preparation.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Verify whether the current active culture in Ivr_tank2 has been harvested and formally closed.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Resolve the existing recorded stocking date of August 9, 2026 before creating the new crop.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the pond is empty before beginning dry pond preparation.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Verify the value of 1,000,000 recorded under stocking density because its unit and meaning are unclear.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Enter the planned initial stocking count because it is currently not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Calculate the final stocking density from the actual water-spread area and confirmed PL count.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aeration, water exchange capacity, power backup, and farm management can support the planned density.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the final species as P. vannamei and do not use a tiger-shrimp feeding schedule.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2. Planning Timeline Before October 1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Four to Six Weeks Before Stocking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water source and test its salinity, pH, alkalinity, ammonia, hardness, calcium, magnesium, and potassium.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the local October rainfall and temperature pattern before fixing the stocking plan.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rainwater runoff cannot enter the pond directly.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Arrange a screened reservoir or treatment pond where possible.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Book seed only from a reliable, approved hatchery.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Request the hatchery’s PL health report and PCR test results.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Arrange pond cleaning, drying, soil testing, repairs, aerators, power backup, nets, trays, and testing kits.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Prepare a crop budget covering seed, feed, electricity, testing, labour, probiotics, minerals, and emergency costs.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Identify a qualified local aquatic animal health professional and diagnostic laboratory.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Three to Four Weeks Before Stocking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Drain the old pond water through a screened and controlled outlet.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Remove sludge, black soil, dead organic matter, and waste from feeding and central accumulation areas.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Clean the inlet canal, outlet canal, reservoir, sump, and drainage paths.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Repair pond bunds, gates, pipes, sluices, and erosion-damaged sections.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Close crab holes and other leakage points.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Install crab fencing and bird-control lines.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Dry the pond bottom until the soil is firm and surface cracks begin to appear where soil conditions permit.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excessive drying if the pond has acid-sulphate soil.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pond-bottom soil pH before selecting lime or soil treatment.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Decide lime type and quantity only from soil test results and qualified local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Do not apply a routine chemical dose without knowing the product strength, pond condition, and water volume.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Two to Three Weeks Before Stocking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Repair and service all paddlewheel aerators.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Position aerators to create circular water movement and move waste toward the collection area.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electrical cables, starters, panels, earthing, and overload protection.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the generator or alternative power supply under load.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sufficient fuel for emergency aeration.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Install separate fine-mesh screens on every water inlet.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double filtration where practical.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Disinfect nets, trays, buckets, sampling equipment, and footwear before the new crop.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Prevent equipment sharing between ponds unless it is cleaned and disinfected.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Restrict unnecessary visitors, vehicles, pets, and animals from the pond area.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Set up handwashing and footbath points at controlled entry locations.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Seven to Fourteen Days Before Stocking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Fill the pond using screened and treated source water.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the intended operating depth gradually rather than filling suddenly.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actual operating water depth because the recorded pond depth is 5 ft.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Calculate treatment quantities from the actual water-spread area and operating depth.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Allow sufficient time after any approved water treatment before introducing probiotics or PL.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any disinfectant residue has cleared before stocking.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Develop stable plankton using farm-approved inputs and measured water conditions.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creating a very dark or dense bloom before stocking.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water colour and transparency daily while preparing the bloom.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Prevent sudden pH changes caused by an unstable bloom.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Run aerators during bloom development whenever oxygen support is needed.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Three to Seven Days Before Stocking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dissolved oxygen in the early morning and afternoon.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morning dissolved oxygen above 4.0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afternoon dissolved oxygen above 6.0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morning and afternoon pH.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Aim for morning pH of 7.5–8.0.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Aim for afternoon pH of 8.0–8.3.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the overall pH within the reference range of 7.5–8.3.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stocking if the daily pH swing is unstable or increasing sharply.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ammonia and keep NH3 below 0.5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nitrite and assess it using the laboratory or farm standard appropriate to the pond salinity.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alkalinity within the reference range of 80–200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carbonates above 20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bicarbonates above 80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hardness above 1,500 ppm where this reference is applicable to the farm water.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salinity and compare it with the hatchery packing-water salinity.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water temperature and compare it with the hatchery packing-water temperature.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calcium, magnesium, and potassium.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 Ca:Mg:K reference ratio of 1:1:1 when salinity is below 10 ppt.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 Ca:Mg:K reference ratio of 1:2:1 when salinity is 10–20 ppt.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 Ca:Mg:K reference ratio of 1:3:1 when salinity is above 20 ppt.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150 ppm as the reference minimum calcium level.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300 ppm as the reference optimum calcium level.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Treat mineral ratios as reference guidance and adjust only from actual laboratory results.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plankton quality and unwanted algae before stocking.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Vibrio in source and pond water where laboratory access is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the reference limits of yellow colonies up to 10³ CFU/mL and green colonies up to 10² CFU/mL.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Correct unstable water before stocking instead of relying on treatment after stocking.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3. Pre-Pond Preparation Checklist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Pond Bottom and Bunds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Remove old feed waste, sludge, shells, carcasses, and organic matter.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Clean feeding zones and sludge accumulation points carefully.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Level uneven pond-bottom areas that trap waste.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Repair weak bunds and leakage points.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Strengthen inlet and outlet structures.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Close burrows made by crabs and rodents.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Prevent outside drainage water from entering the pond.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the pond bottom does not have a strong rotten-egg smell before filling.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Obtain local technical advice if black soil or strong sulphide smell remains after drying.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Water System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Clean the reservoir and water-delivery channels.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Filter all incoming water.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inlet and outlet water paths separate.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Prevent untreated water from entering the culture pond.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drainage water cannot flow back into the pond.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Inspect pumps and keep essential spare parts ready.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valves, pipelines, and gates for leaks.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separate sampling containers for source water and pond water.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Aeration and Electricity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total number and capacity of working aerators.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Match aeration capacity to the final stocking plan and expected biomass.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every aerator before pond filling is completed.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emergency aeration available from the first night after stocking.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the generator’s automatic or manual starting procedure.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Assign one trained person to respond to night-time power failure.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safe lighting near the pond and electrical panel.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Protect electrical points from rain and water splashing.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Biosecurity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Fence the pond to reduce crab and animal entry.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Install bird lines or other safe bird-control measures.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pond-specific nets, buckets, trays, and sampling equipment.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Disinfect equipment before moving it between ponds.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Control worker and visitor entry.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a visitor and vehicle movement record.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Remove dead shrimp immediately during culture and dispose of them safely.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Never throw dead or weak shrimp into canals or neighbouring ponds.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Do not use antibiotics without laboratory evidence and qualified veterinary guidance.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Equipment and Records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Arrange calibrated pH and dissolved-oxygen meters.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Arrange salinity, temperature, ammonia, nitrite, and alkalinity testing facilities.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calibration solutions and fresh test reagents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the expiry date of every reagent.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Prepare check trays suitable for the pond area.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Mark fixed sampling points around the pond.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Prepare daily records for water quality, feed, tray response, mortality, weather, and treatments.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the product name, batch number, quantity, reason, date, and time for every pond input.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seed test reports and hatchery documents with the crop records.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4. Seed Selection Checklist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Purchase only P. vannamei PL from a reliable hatchery.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hatchery batch identity and spawning history.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Obtain current PCR screening results for important shrimp pathogens.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that the sample tested belongs to the same PL batch being delivered.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Prefer active PL with uniform size and strong swimming response.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Reject batches showing weak swimming, heavy fouling, deformity, unusual colour, or high mortality.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gut fullness and general appearance under qualified supervision.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Conduct a stress test using an accepted hatchery or laboratory method.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PL stage and transport readiness with the hatchery.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hatchery water salinity, pH, temperature, and packing time before dispatch.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Plan transport to avoid excessive heat and long delays.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Ask the hatchery to report bag mortality immediately before unloading.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5. Final Go/No-Go Check on September 30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the pond record has been changed from the previous active crop to the planned new crop.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the final PL count is confirmed.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aerators and backup power are fully operational.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morning dissolved oxygen is above 4.0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afternoon dissolved oxygen is above 6.0 ppm.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pH is stable within the reference range.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ammonia is below the reference limit.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nitrite does not present a concern under the applicable salinity standard.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salinity and temperature can be safely matched with the hatchery water.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alkalinity and minerals are reasonably stable.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plankton is stable and water colour is suitable.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there is no unexplained toxicity, foam, bad odour, or sudden water-colour change.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Stock only if the PCR and PL quality reports are acceptable.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Postpone stocking if heavy rain, power instability, poor seed quality, or unstable water creates avoidable risk.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6. October 1 Stocking-Day Checklist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pond dissolved oxygen, pH, temperature, and salinity before the PL vehicle arrives.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Obtain the same measurements from the transport bags.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Inspect the transport bags for oxygen loss, broken seals, unusual smell, and mortality.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Count dead or weak PL in sample bags before release.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unopened bags shaded and protected from direct sunlight.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Acclimate PL gradually to pond temperature, salinity, and pH.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sudden mixing when the difference between transport water and pond water is large.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Follow the hatchery’s verified acclimation procedure for the actual water differences.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Release PL only when pond oxygen is safe.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Prefer a cool and stable part of the day for release.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Distribute PL at more than one suitable release point.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aerators running as needed during and after release.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Do not release transport water into the pond when hatchery biosecurity procedures advise against it.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Retain a representative PL sample for laboratory confirmation where possible.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the actual number stocked rather than the ordered number.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the hatchery, batch, PL stage, stocking time, pond readings, bag readings, and acclimation details.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Observe swimming and dispersal immediately after release.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Investigate PL collecting at the edge, sinking, or swimming weakly instead of assuming normal adjustment.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7. First 72 Hours After Stocking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early-morning dissolved oxygen every day.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afternoon dissolved oxygen every day.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morning and afternoon pH every day.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Observe pond edges for weak or dead PL.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mortality even when the count is zero.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stable water depth and avoid sudden exchange.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unnecessary chemical applications.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Protect the pond from freshwater runoff during rain.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Operate aerators according to oxygen readings and weather conditions.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water colour and surface foam each morning.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Investigate unusual odour, sudden bloom collapse, or abnormal PL behaviour promptly.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laboratory or qualified local support if unexplained mortality occurs.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8. Feed Management Checkpoints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actual stocked PL count before calculating feed.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the Vannamei feed chart only as reference guidance until pond sampling and tray response are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Scale the reference feed by the confirmed number stocked in units of 100,000 shrimp.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Calculate reference feed as chart kg per lakh multiplied by confirmed stock count divided by 100,000.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Do not calculate a pond-specific feed quantity until the actual stocking count is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Start with the verified hatchery or AquaPrana Vannamei early-feed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Divide the daily feed into suitable small meals during the early stage.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Spread feed uniformly over feeding areas.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feeding into deep sludge zones or directly beside aerators.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check trays consistently once shrimp can be assessed reliably.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Adjust feed using tray response, growth sampling, survival estimate, weather, moulting, and water quality.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Reduce or hold feed when oxygen is low, shrimp are not feeding, or water quality is unstable.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Do not treat a single feed entry as cumulative feed unless it is specifically recorded that way.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Vannamei Reference Feed Checkpoints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2.0 kg/day per 100,000 stocked shrimp as the Day 1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5–7 kg/day per 100,000 stocked shrimp at 10 days after stocking as reference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6.6–9.4 kg/day per 100,000 stocked shrimp at 15 days after stocking as reference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9–12 kg/day per 100,000 stocked shrimp at 20 days after stocking as reference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13.8–16.7 kg/day per 100,000 stocked shrimp at 27 days after stocking as reference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approximately 15.9–18.8 kg/day per 100,000 stocked shrimp at 30 days after stocking as reference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Treat all listed feed quantities as chart references rather than measured requirements for Ivr_tank2.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Replace blind reference feeding with biomass and tray-based feeding when reliable sampling becomes available.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9. Growth and Sampling Checkpoints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Begin representative cast-net or sampling checks when shrimp size permits safe sampling.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Collect samples from multiple pond locations rather than one feeding area.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the number sampled and total sample weight.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Calculate average body weight from measured samples.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Estimate survival conservatively using sampling, mortality, feed response, and pond observations.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Calculate biomass only after average body weight and survival are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Review feed against estimated biomass rather than calendar reference alone.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Watch for size variation, empty guts, fouled gills, weak swimming, shell softness, and abnormal colour during sampling.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Send weak or freshly affected shrimp to a qualified laboratory if abnormal signs or mortality appear.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Reference Growth Checkpoints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30 days after stocking, compare measured average weight with the 3–4 g reference range.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30 days after stocking, compare pond feed response with the approximate 5.0–5.8% biomass feeding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60 days after stocking, compare measured average weight with the 9–12 g reference range.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60 days after stocking, compare pond feed response with the approximate 3.5–3.9% biomass feeding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90 days after stocking, compare measured average weight with the 20–22 g reference range.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90 days after stocking, compare pond feed response with the approximate 2.4–2.6% biomass feeding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120 days after stocking, compare measured average weight with the 30–33 g reference range.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At 120 days after stocking, compare pond feed response with the approximate 1.8% biomass feeding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Treat these growth values as reference checkpoints and not guaranteed pond performance.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10. Routine Water-Quality Checkpoints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Daily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dissolved oxygen in the early morning.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dissolved oxygen in the afternoon.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pH in the morning.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pH in the afternoon.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temperature and salinity.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Observe water colour, foam, odour, transparency, weather, and shrimp behaviour.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aerators, power supply, inlets, outlets, and pond level.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Record feed offered, tray response, and mortality.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Weekly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alkalinity.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ammonia.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nitrite.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carbonates and bicarbonates.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hardness.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calcium, magnesium, and potassium.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Check plankton condition.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Test Vibrio where laboratory facilities are available.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Review feed, growth, survival, mortality, and water-quality trends together.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Correct the underlying water or management issue before adding multiple products.</w:t>
      </w:r>
    </w:p>
    <w:p>
      <w:pPr>
        <w:pStyle w:val="Heading2"/>
        <w:keepNext/>
      </w:pPr>
      <w:r>
        <w:rPr>
          <w:rFonts w:ascii="Calibri" w:hAnsi="Calibri" w:eastAsia="Nirmala UI" w:cs="Nirmala UI"/>
        </w:rPr>
        <w:t xml:space="preserve">Transparency Reference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50–60 cm Secchi transparency as the first-month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40–50 cm Secchi transparency as the second-month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Use 30–40 cm Secchi transparency as the third-month reference.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Assess transparency together with water colour, pH swing, dissolved oxygen, and plankton condition.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correcting transparency from a single reading without checking the full pond condition.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11. Rain and October Weather Preparedness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Maintain freeboard so rain does not cause pond overflow.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drainage channels open before forecast rain.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Prevent contaminated runoff from entering the pond.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Run aeration proactively during cloudy and rainy periods when oxygen may fall.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Measure surface and deeper-water salinity after heavy rain.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rapid water exchange immediately after a major salinity change.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Monitor pH and alkalinity after heavy rainfall.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Adjust feed according to oxygen, weather, and shrimp feeding response.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electrical equipment protected from rain.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Keep the generator and emergency fuel ready throughout the crop.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12. Emergency Response Checklist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Start emergency aeration immediately when oxygen is unsafe or shrimp gather near the surface.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Stop or reduce feed when shrimp are not feeding or oxygen is low.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pH, dissolved oxygen, temperature, salinity, ammonia, and nitrite during unexplained stress.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Collect freshly affected shrimp and water samples for qualified laboratory examination.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Report the start time, affected area, recent treatments, feed, weather, and mortality.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random chemical combinations during an emergency.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Avoid antibiotics without laboratory confirmation and qualified veterinary guidance.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Prevent discharge of affected pond water into nearby culture ponds.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Increase biosecurity if unusual mortality or abnormal behaviour appears.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Seek urgent local professional support when mortality is increasing.</w:t>
      </w:r>
    </w:p>
    <w:p>
      <w:pPr>
        <w:pStyle w:val="Heading1"/>
        <w:keepNext/>
      </w:pPr>
      <w:r>
        <w:rPr>
          <w:rFonts w:ascii="Calibri" w:hAnsi="Calibri" w:eastAsia="Nirmala UI" w:cs="Nirmala UI"/>
        </w:rPr>
        <w:t xml:space="preserve">13. Information Required Before Finalising the October 1 Plan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planned year for October 1.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closure of the currently active pond cycle.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actual initial stocking count.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intended stocking density in shrimp per square metre.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actual operating water depth.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water-source salinity.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Obtain recent source-water and pond-water test results.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number and power of available aerators.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generator capacity and fuel availability.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hatchery, PL stage, batch details, and PCR results.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the feed brand and feed code planned for the early stage.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Confirm local rainfall and temperature expectations for the stocking week.</w:t>
      </w:r>
    </w:p>
    <w:p>
      <w:pPr>
        <w:pStyle w:val="Checklist"/>
        <w:ind w:left="720" w:hanging="0"/>
      </w:pPr>
      <w:r>
        <w:rPr>
          <w:rFonts w:ascii="Calibri" w:hAnsi="Calibri" w:eastAsia="Nirmala UI" w:cs="Nirmala UI"/>
          <w:sz w:val="20"/>
          <w:color w:val="056B75"/>
        </w:rPr>
        <w:t xml:space="preserve">☐  </w:t>
      </w:r>
      <w:r>
        <w:rPr>
          <w:rFonts w:ascii="Calibri" w:hAnsi="Calibri" w:eastAsia="Nirmala UI" w:cs="Nirmala UI"/>
        </w:rPr>
        <w:t xml:space="preserve">Finalise chemical, lime, mineral, or probiotic quantities only after soil and water test results are available.</w:t>
      </w:r>
    </w:p>
    <w:sectPr>
      <w:pgSz w:w="11906" w:h="16838"/>
      <w:pgMar w:top="1134" w:right="1134" w:bottom="1134" w:left="1134"/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>Page </w:t>
      <w:fldChar w:fldCharType="begin"/>
      <w:instrText> PAGE </w:instrText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075C62"/>
        <w:sz w:val="18"/>
      </w:rPr>
      <w:t>AquaPrana | Ivr_tank2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Nirmala UI" w:cs="Nirmala UI"/>
        <w:sz w:val="22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Title">
    <w:name w:val="Title"/>
    <w:basedOn w:val="Normal"/>
    <w:pPr>
      <w:spacing w:after="180"/>
      <w:keepNext/>
    </w:pPr>
    <w:rPr>
      <w:b/>
      <w:color w:val="075C62"/>
      <w:sz w:val="46"/>
    </w:rPr>
  </w:style>
  <w:style w:type="paragraph" w:styleId="Heading1">
    <w:name w:val="heading 1"/>
    <w:basedOn w:val="Normal"/>
    <w:pPr>
      <w:outlineLvl w:val="0"/>
      <w:spacing w:before="240" w:after="80"/>
      <w:keepNext/>
    </w:pPr>
    <w:rPr>
      <w:b/>
      <w:color w:val="075C62"/>
      <w:sz w:val="32"/>
    </w:rPr>
  </w:style>
  <w:style w:type="paragraph" w:styleId="Heading2">
    <w:name w:val="heading 2"/>
    <w:basedOn w:val="Normal"/>
    <w:pPr>
      <w:outlineLvl w:val="1"/>
      <w:spacing w:before="160" w:after="80"/>
      <w:keepNext/>
    </w:pPr>
    <w:rPr>
      <w:b/>
      <w:color w:val="075C62"/>
      <w:sz w:val="27"/>
    </w:rPr>
  </w:style>
  <w:style w:type="paragraph" w:styleId="Heading3">
    <w:name w:val="heading 3"/>
    <w:basedOn w:val="Normal"/>
    <w:pPr>
      <w:outlineLvl w:val="2"/>
      <w:spacing w:before="160" w:after="80"/>
      <w:keepNext/>
    </w:pPr>
    <w:rPr>
      <w:b/>
      <w:color w:val="075C62"/>
      <w:sz w:val="24"/>
    </w:rPr>
  </w:style>
  <w:style w:type="paragraph" w:styleId="Checklist">
    <w:name w:val="Checklist"/>
    <w:basedOn w:val="Normal"/>
    <w:pPr>
      <w:spacing w:after="70" w:line="276"/>
    </w:pPr>
  </w:style>
  <w:style w:type="paragraph" w:styleId="MetaLabel">
    <w:name w:val="Meta Label"/>
    <w:basedOn w:val="Normal"/>
    <w:rPr>
      <w:b/>
      <w:color w:val="075C62"/>
      <w:sz w:val="20"/>
    </w:rPr>
  </w:style>
  <w:style w:type="paragraph" w:styleId="MetaValue">
    <w:name w:val="Meta Value"/>
    <w:basedOn w:val="Normal"/>
    <w:rPr>
      <w:sz w:val="20"/>
    </w:rPr>
  </w:style>
  <w:style w:type="paragraph" w:styleId="TableHeader">
    <w:name w:val="Table Header"/>
    <w:basedOn w:val="Normal"/>
    <w:rPr>
      <w:b/>
      <w:color w:val="103638"/>
      <w:sz w:val="20"/>
    </w:rPr>
  </w:style>
  <w:style w:type="paragraph" w:styleId="TableText">
    <w:name w:val="Table Text"/>
    <w:basedOn w:val="Normal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