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CA287E"/>
    <w:p w14:paraId="4EBA547D">
      <w:pPr>
        <w:spacing w:before="0" w:after="360" w:line="259" w:lineRule="auto"/>
        <w:jc w:val="center"/>
      </w:pPr>
      <w:r>
        <w:rPr>
          <w:rFonts w:ascii="Arial" w:hAnsi="Arial"/>
          <w:b/>
          <w:color w:val="161616"/>
          <w:sz w:val="28"/>
        </w:rPr>
        <w:t>TECHNICAL PROFILE</w:t>
      </w:r>
    </w:p>
    <w:p w14:paraId="492F2E87">
      <w:pPr>
        <w:keepNext/>
        <w:spacing w:before="100" w:after="80"/>
      </w:pPr>
      <w:r>
        <w:rPr>
          <w:rFonts w:ascii="Arial" w:hAnsi="Arial"/>
          <w:b/>
          <w:color w:val="161616"/>
          <w:sz w:val="20"/>
        </w:rPr>
        <w:t>Team Name: Aquanons</w:t>
      </w:r>
    </w:p>
    <w:p w14:paraId="482D1D00">
      <w:pPr>
        <w:keepNext/>
        <w:spacing w:before="100" w:after="80"/>
      </w:pPr>
      <w:r>
        <w:rPr>
          <w:rFonts w:ascii="Arial" w:hAnsi="Arial"/>
          <w:b/>
          <w:color w:val="161616"/>
          <w:sz w:val="20"/>
        </w:rPr>
        <w:t>Brief Description of Proposed Solution:</w:t>
      </w:r>
    </w:p>
    <w:p w14:paraId="154D40AA">
      <w:pPr>
        <w:spacing w:before="0" w:after="120" w:line="259" w:lineRule="auto"/>
        <w:ind w:firstLine="432"/>
      </w:pPr>
      <w:r>
        <w:t>AqOne is a maritime safety platform designed for Philippine municipal fishers who routinely operate beyond dependable cellular coverage. Its foundation is a hybrid low-power LoRa network: shared, removable boat safety pods provide the primary SOS origin and direct link to a tall shoreline gateway, while stationary navigational buoys provide fixed environmental observations and optional relay coverage. The pod's WiFi is only a short local handoff to the phone; LoRa carries the safety message toward shore.</w:t>
      </w:r>
    </w:p>
    <w:p w14:paraId="71529D81">
      <w:pPr>
        <w:spacing w:before="0" w:after="120" w:line="259" w:lineRule="auto"/>
        <w:ind w:firstLine="432"/>
      </w:pPr>
      <w:r>
        <w:t>The hybrid network enables three AI capabilities mapped to the full timeline of an emergency. Before an incident, fixed-position barometric observations from stationary sensor buoys support 30- to 90-minute squall nowcasting and targeted RETURN NOW alerts. During an incident, the boat pod provides a physical SOS button and optional telemetry, while backend logic combines trajectory anomalies, contact history, weather, and corroboration from reachable field nodes into a confidence-scored alert. After an incident, a physical drift ensemble corrected by validated local observations generates a probability field showing where a person or disabled banca may have moved, then updates search priorities when responders report searched sectors or findings.</w:t>
      </w:r>
    </w:p>
    <w:p w14:paraId="4746C152">
      <w:pPr>
        <w:spacing w:before="0" w:after="120" w:line="259" w:lineRule="auto"/>
        <w:ind w:firstLine="432"/>
      </w:pPr>
      <w:r>
        <w:rPr>
          <w:rFonts w:ascii="Arial" w:hAnsi="Arial"/>
          <w:b w:val="0"/>
          <w:color w:val="161616"/>
          <w:sz w:val="20"/>
        </w:rPr>
        <w:t>AqOne does not replace the Philippine Coast Guard, VHF radio, EPIRBs, official PAGASA warnings, or a responder's judgment. Its role is narrower: raise the alarm earlier, preserve an actionable last-known state, expose uncertainty honestly, and reduce the water that must be searched while survival is still possible. The fisher is the user, but deployment is intended as public safety infrastructure procured and operated by BFAR, PCG, or LGUs at the fleet-cluster level.</w:t>
      </w:r>
    </w:p>
    <w:p w14:paraId="192D4C4C">
      <w:pPr>
        <w:keepNext/>
        <w:spacing w:before="280" w:after="200"/>
      </w:pPr>
      <w:r>
        <w:rPr>
          <w:rFonts w:ascii="Arial" w:hAnsi="Arial"/>
          <w:b/>
          <w:color w:val="123B5D"/>
          <w:sz w:val="28"/>
        </w:rPr>
        <w:t>SECTION 1: EXECUTIVE SUMMARY (PROBLEM-SOLUTION FIT)</w:t>
      </w:r>
    </w:p>
    <w:p w14:paraId="63521AF0">
      <w:pPr>
        <w:spacing w:before="0" w:after="120" w:line="259" w:lineRule="auto"/>
        <w:ind w:firstLine="432"/>
      </w:pPr>
      <w:r>
        <w:rPr>
          <w:rFonts w:ascii="Arial" w:hAnsi="Arial"/>
          <w:b w:val="0"/>
          <w:color w:val="161616"/>
          <w:sz w:val="20"/>
        </w:rPr>
        <w:t>Municipal fishers work across a hard communication edge. Shore-based cellular service weakens offshore, and a small wooden-hulled vessel beyond that edge may have only a handheld VHF radio, a flare, or no usable means to call for help. Existing satellite beacons and messengers remain too costly for many municipal fishing households, while every manual system assumes a conscious person can activate it. In a capsize, collision, or sudden squall, that assumption can fail within seconds.</w:t>
      </w:r>
    </w:p>
    <w:p w14:paraId="21840F91">
      <w:pPr>
        <w:spacing w:before="0" w:after="120" w:line="259" w:lineRule="auto"/>
        <w:ind w:firstLine="432"/>
      </w:pPr>
      <w:r>
        <w:rPr>
          <w:rFonts w:ascii="Arial" w:hAnsi="Arial"/>
          <w:b w:val="0"/>
          <w:color w:val="161616"/>
          <w:sz w:val="20"/>
        </w:rPr>
        <w:t>The most dangerous failure is not only the incident itself but the delay before anyone knows. A boat that does not return may be reported hours later or the following morning. By then, the search begins from an estimated route rather than a timestamped incident position, while the person, banca, or debris has already drifted under wind and current. Search area expands rapidly with time, consuming limited rescue assets and reducing survival probability.</w:t>
      </w:r>
    </w:p>
    <w:p w14:paraId="2D1CC3F8">
      <w:pPr>
        <w:spacing w:before="0" w:after="120" w:line="259" w:lineRule="auto"/>
        <w:ind w:firstLine="432"/>
      </w:pPr>
      <w:r>
        <w:t>AqOne addresses this delay through a system whose communication, sensing, and intelligence layers reinforce one another. A shared strap-on pod makes the SOS path available on participating boats without requiring every fisher to buy a personal beacon. Routine messaging and weather information create a daily reason to keep the pod ready. Stationary buoys supply fixed pressure observations, while the pods and optional relays supply radio, position, and delivery evidence.</w:t>
      </w:r>
    </w:p>
    <w:p w14:paraId="55D1871F">
      <w:pPr>
        <w:spacing w:before="0" w:after="120" w:line="259" w:lineRule="auto"/>
        <w:ind w:firstLine="432"/>
      </w:pPr>
      <w:r>
        <w:rPr>
          <w:rFonts w:ascii="Arial" w:hAnsi="Arial"/>
          <w:b w:val="0"/>
          <w:color w:val="161616"/>
          <w:sz w:val="20"/>
        </w:rPr>
        <w:t>For a fisher, the immediate value is contact with family and nearby boats, weather alerts, a guarded manual SOS, and an automatic safety layer that continues working when a person cannot press a button. For a family, the value is permission-based check-in visibility and earlier notification. For PCG responders, AqOne replaces an imprecise overdue report with incident time, position, vessel profile, detection evidence, network health, and an uncertainty-aware drift forecast. For BFAR and LGUs, it provides fleet installation, node health, coverage, maintenance, incident, and measurable safety-outcome data.</w:t>
      </w:r>
    </w:p>
    <w:p w14:paraId="500AB03B">
      <w:pPr>
        <w:spacing w:before="0" w:after="120" w:line="259" w:lineRule="auto"/>
        <w:ind w:firstLine="432"/>
      </w:pPr>
      <w:r>
        <w:rPr>
          <w:rFonts w:ascii="Arial" w:hAnsi="Arial"/>
          <w:b w:val="0"/>
          <w:color w:val="161616"/>
          <w:sz w:val="20"/>
        </w:rPr>
        <w:t>AqOne's product boundary is deliberate. Fish-hotspot prediction, catch logging, market pricing, fisheries enforcement, illegal-fishing detection, voice communication, and commercial or open-ocean operations are outside v1. Restricting the first release to maritime safety avoids diluting the institutional case and prevents a safety device from being perceived as a surveillance or enforcement tool.</w:t>
      </w:r>
    </w:p>
    <w:p w14:paraId="5372D11C">
      <w:r>
        <w:br w:type="page"/>
      </w:r>
    </w:p>
    <w:p w14:paraId="22A34898">
      <w:pPr>
        <w:keepNext/>
        <w:spacing w:before="280" w:after="200"/>
      </w:pPr>
      <w:r>
        <w:rPr>
          <w:rFonts w:ascii="Arial" w:hAnsi="Arial"/>
          <w:b/>
          <w:color w:val="123B5D"/>
          <w:sz w:val="28"/>
        </w:rPr>
        <w:t>SECTION 2: TECHNICAL ARCHITECTURE</w:t>
      </w:r>
    </w:p>
    <w:p w14:paraId="5D2ED7E1">
      <w:pPr>
        <w:keepNext/>
        <w:spacing w:before="220" w:after="100"/>
      </w:pPr>
      <w:r>
        <w:rPr>
          <w:rFonts w:ascii="Arial" w:hAnsi="Arial"/>
          <w:b/>
          <w:color w:val="15858A"/>
          <w:sz w:val="23"/>
        </w:rPr>
        <w:t>2.1 System Components:</w:t>
      </w:r>
    </w:p>
    <w:p w14:paraId="32E479DD">
      <w:pPr>
        <w:keepNext/>
        <w:spacing w:before="100" w:after="80"/>
      </w:pPr>
      <w:r>
        <w:rPr>
          <w:rFonts w:ascii="Arial" w:hAnsi="Arial"/>
          <w:b/>
          <w:color w:val="161616"/>
          <w:sz w:val="20"/>
        </w:rPr>
        <w:t>Inputs: What data/user input does the system receive? Does it require the use of hardware?</w:t>
      </w:r>
    </w:p>
    <w:p w14:paraId="2632D4F2">
      <w:pPr>
        <w:pStyle w:val="23"/>
        <w:spacing w:after="60" w:line="252" w:lineRule="auto"/>
      </w:pPr>
      <w:r>
        <w:t>User, vessel, and pod inputs. Vessel registration/profile, authorized contacts, trip state, manual SOS activation from the phone or pod button, short text messages, check-in responses, and responder-entered search observations.</w:t>
      </w:r>
    </w:p>
    <w:p w14:paraId="6FAD113C">
      <w:pPr>
        <w:pStyle w:val="23"/>
        <w:spacing w:after="60" w:line="252" w:lineRule="auto"/>
      </w:pPr>
      <w:r>
        <w:t>Field-node telemetry. Boat pods may report GNSS position, speed, course, fix quality, timestamp, supply voltage, reset cause, radio quality, queue depth, firmware/model version, and heartbeat status. Stationary sensor buoys add fixed-position barometric pressure and optional motion/current observations.</w:t>
      </w:r>
    </w:p>
    <w:p w14:paraId="5DE34A4B">
      <w:pPr>
        <w:pStyle w:val="23"/>
        <w:spacing w:after="60" w:line="252" w:lineRule="auto"/>
      </w:pPr>
      <w:r>
        <w:t>Field-radio evidence. Direct or relayed path, hop count, link quality, message acknowledgements, serving pod or relay identity, and corroboration of localized pressure or distress events.</w:t>
      </w:r>
    </w:p>
    <w:p w14:paraId="54D0681C">
      <w:pPr>
        <w:pStyle w:val="23"/>
        <w:spacing w:after="60" w:line="252" w:lineRule="auto"/>
      </w:pPr>
      <w:r>
        <w:rPr>
          <w:rFonts w:ascii="Arial" w:hAnsi="Arial"/>
          <w:b w:val="0"/>
          <w:color w:val="161616"/>
          <w:sz w:val="19"/>
        </w:rPr>
        <w:t>External environmental data. Official PAGASA warnings and forecasts, wind and sea-state products, and coarse current fields used by the nowcast and drift pipelines. Exact production sources and licenses must be confirmed before deployment.</w:t>
      </w:r>
    </w:p>
    <w:p w14:paraId="2A58D2CA">
      <w:pPr>
        <w:pStyle w:val="23"/>
        <w:spacing w:after="60" w:line="252" w:lineRule="auto"/>
      </w:pPr>
      <w:r>
        <w:t>Hardware is required, but the primary field device is shared and removable. The boat pod is built around an ESP32-S3-class microcontroller, SX1262-class LoRa radio, local WiFi access point, physical SOS button, suitable antenna, protected battery interface, nonvolatile storage, and weather-resistant strap-on enclosure; GNSS and additional sensors are added where justified. Stationary buoys carry the fixed barometer and other environmental sensors. The tall shoreline gateway combines LoRa reception, local storage, and authenticated internet backhaul.</w:t>
      </w:r>
    </w:p>
    <w:p w14:paraId="2F1D804E">
      <w:pPr>
        <w:keepNext/>
        <w:spacing w:before="100" w:after="80"/>
      </w:pPr>
      <w:r>
        <w:rPr>
          <w:rFonts w:ascii="Arial" w:hAnsi="Arial"/>
          <w:b/>
          <w:color w:val="161616"/>
          <w:sz w:val="20"/>
        </w:rPr>
        <w:t>Processing Core: Where does the “AI” happen?</w:t>
      </w:r>
    </w:p>
    <w:p w14:paraId="21B94F40">
      <w:pPr>
        <w:spacing w:before="0" w:after="120" w:line="259" w:lineRule="auto"/>
        <w:ind w:firstLine="432"/>
      </w:pPr>
      <w:r>
        <w:rPr>
          <w:rFonts w:ascii="Arial" w:hAnsi="Arial"/>
          <w:b w:val="0"/>
          <w:color w:val="161616"/>
          <w:sz w:val="20"/>
        </w:rPr>
        <w:t>Processing is split between the edge, the mesh/gateway, and the cloud platform so that time-critical safety behavior does not depend on continuous internet access.</w:t>
      </w:r>
    </w:p>
    <w:p w14:paraId="5114855A">
      <w:pPr>
        <w:pStyle w:val="23"/>
        <w:spacing w:after="60" w:line="252" w:lineRule="auto"/>
      </w:pPr>
      <w:r>
        <w:t>Edge sensing and preprocessing. Firmware samples available pod or stationary-node sensors at low power and writes critical events to nonvolatile storage before transmission. Optional higher-rate event capture is evaluated separately from the primary manual-SOS path.</w:t>
      </w:r>
    </w:p>
    <w:p w14:paraId="0D8B21CE">
      <w:pPr>
        <w:pStyle w:val="23"/>
        <w:spacing w:after="60" w:line="252" w:lineRule="auto"/>
      </w:pPr>
      <w:r>
        <w:t>Optional on-device event inference. A compact motion classifier may label capsize, sudden impact/collision, or possible man-overboard patterns when the pod hardware and training evidence justify it. It must never delay or gate a manual SOS, and unvalidated detections remain advisory.</w:t>
      </w:r>
    </w:p>
    <w:p w14:paraId="066FE2DE">
      <w:pPr>
        <w:pStyle w:val="23"/>
        <w:spacing w:after="60" w:line="252" w:lineRule="auto"/>
      </w:pPr>
      <w:r>
        <w:t>LoRa store-and-forward. Boat pods and optional relay buoys authenticate envelopes, suppress duplicates, respect hop/time limits, and use priority queues. Manual distress packets pre-empt routine telemetry and messages; direct pod-to-shore delivery is attempted before optional relay forwarding.</w:t>
      </w:r>
    </w:p>
    <w:p w14:paraId="685946F4">
      <w:pPr>
        <w:pStyle w:val="23"/>
        <w:spacing w:after="60" w:line="252" w:lineRule="auto"/>
      </w:pPr>
      <w:r>
        <w:rPr>
          <w:rFonts w:ascii="Arial" w:hAnsi="Arial"/>
          <w:b w:val="0"/>
          <w:color w:val="161616"/>
          <w:sz w:val="19"/>
        </w:rPr>
        <w:t>Gateway bridge. The shore gateway validates and persists incoming traffic, forwards it over mutually authenticated backhaul, and keeps a durable offline queue when internet is unavailable.</w:t>
      </w:r>
    </w:p>
    <w:p w14:paraId="059C0F2E">
      <w:pPr>
        <w:pStyle w:val="23"/>
        <w:spacing w:after="60" w:line="252" w:lineRule="auto"/>
      </w:pPr>
      <w:r>
        <w:rPr>
          <w:rFonts w:ascii="Arial" w:hAnsi="Arial"/>
          <w:b w:val="0"/>
          <w:color w:val="161616"/>
          <w:sz w:val="19"/>
        </w:rPr>
        <w:t>Incident confidence fusion. FastAPI services combine motion score, trajectory anomaly, heartbeat loss, weather severity, data age, vessel profile, and neighboring-node corroboration. High-confidence cases are dispatchable; medium-confidence cases request a check-in before escalation unless new evidence raises urgency.</w:t>
      </w:r>
    </w:p>
    <w:p w14:paraId="12A10E13">
      <w:pPr>
        <w:pStyle w:val="23"/>
        <w:spacing w:after="60" w:line="252" w:lineRule="auto"/>
      </w:pPr>
      <w:r>
        <w:t>Squall nowcasting. Fixed-position pressure, position, and time observations from stationary sensor buoys are quality-screened and represented as a fixed sensor graph or interpolated grid. A spatiotemporal model estimates localized squall-onset probability and lead time.</w:t>
      </w:r>
    </w:p>
    <w:p w14:paraId="7DA6C0D9">
      <w:pPr>
        <w:pStyle w:val="23"/>
        <w:spacing w:after="60" w:line="252" w:lineRule="auto"/>
      </w:pPr>
      <w:r>
        <w:t>Drift and Bayesian search support. An OpenDrift/Leeway-based ensemble propagates possible person/vessel locations under wind, current, and object-specific coefficients. A learned local-current residual corrects the coarse baseline only where validated stationary observations support it. Search observations update the posterior probability and sector priorities.</w:t>
      </w:r>
    </w:p>
    <w:p w14:paraId="49C2E4A1">
      <w:pPr>
        <w:pStyle w:val="23"/>
        <w:spacing w:after="60" w:line="252" w:lineRule="auto"/>
      </w:pPr>
      <w:r>
        <w:rPr>
          <w:rFonts w:ascii="Arial" w:hAnsi="Arial"/>
          <w:b w:val="0"/>
          <w:color w:val="161616"/>
          <w:sz w:val="19"/>
        </w:rPr>
        <w:t>Operations and audit. PostgreSQL/PostGIS stores geospatial state and model provenance. The PCG/BFAR console shows alerts, contributing evidence, data age, confidence, drift contours, node/gateway health, search sectors, acknowledgements, assignments, observations, and outcomes.</w:t>
      </w:r>
    </w:p>
    <w:p w14:paraId="529D0815">
      <w:pPr>
        <w:keepNext/>
        <w:spacing w:before="100" w:after="80"/>
      </w:pPr>
      <w:r>
        <w:rPr>
          <w:rFonts w:ascii="Arial" w:hAnsi="Arial"/>
          <w:b/>
          <w:color w:val="161616"/>
          <w:sz w:val="20"/>
        </w:rPr>
        <w:t>Outputs: What is the final result/action delivered to the user?</w:t>
      </w:r>
    </w:p>
    <w:p w14:paraId="09764AAE">
      <w:pPr>
        <w:pStyle w:val="23"/>
        <w:spacing w:after="60" w:line="252" w:lineRule="auto"/>
      </w:pPr>
      <w:r>
        <w:rPr>
          <w:rFonts w:ascii="Arial" w:hAnsi="Arial"/>
          <w:b w:val="0"/>
          <w:color w:val="161616"/>
          <w:sz w:val="19"/>
        </w:rPr>
        <w:t>Offshore text messaging and delivery state between authorized users, boats, and shore.</w:t>
      </w:r>
    </w:p>
    <w:p w14:paraId="24727FA6">
      <w:pPr>
        <w:pStyle w:val="23"/>
        <w:spacing w:after="60" w:line="252" w:lineRule="auto"/>
      </w:pPr>
      <w:r>
        <w:rPr>
          <w:rFonts w:ascii="Arial" w:hAnsi="Arial"/>
          <w:b w:val="0"/>
          <w:color w:val="161616"/>
          <w:sz w:val="19"/>
        </w:rPr>
        <w:t>Official weather alerts and geographically targeted RETURN NOW warnings, each with severity, source/model, issue time, expiry, and affected area.</w:t>
      </w:r>
    </w:p>
    <w:p w14:paraId="738FBF00">
      <w:pPr>
        <w:pStyle w:val="23"/>
        <w:spacing w:after="60" w:line="252" w:lineRule="auto"/>
      </w:pPr>
      <w:r>
        <w:rPr>
          <w:rFonts w:ascii="Arial" w:hAnsi="Arial"/>
          <w:b w:val="0"/>
          <w:color w:val="161616"/>
          <w:sz w:val="19"/>
        </w:rPr>
        <w:t>Manual SOS containing node/vessel identity, timestamp, position and position age, health status, and route/delivery progress.</w:t>
      </w:r>
    </w:p>
    <w:p w14:paraId="3C39A4B5">
      <w:pPr>
        <w:pStyle w:val="23"/>
        <w:spacing w:after="60" w:line="252" w:lineRule="auto"/>
      </w:pPr>
      <w:r>
        <w:rPr>
          <w:rFonts w:ascii="Arial" w:hAnsi="Arial"/>
          <w:b w:val="0"/>
          <w:color w:val="161616"/>
          <w:sz w:val="19"/>
        </w:rPr>
        <w:t>Confidence-scored automatic distress alert with an evidence panel explaining motion, trajectory, silence, weather, neighbor corroboration, and the model/rule version used.</w:t>
      </w:r>
    </w:p>
    <w:p w14:paraId="115E55F4">
      <w:pPr>
        <w:pStyle w:val="23"/>
        <w:spacing w:after="60" w:line="252" w:lineRule="auto"/>
      </w:pPr>
      <w:r>
        <w:rPr>
          <w:rFonts w:ascii="Arial" w:hAnsi="Arial"/>
          <w:b w:val="0"/>
          <w:color w:val="161616"/>
          <w:sz w:val="19"/>
        </w:rPr>
        <w:t>Incident map showing last-known track and position, uncertainty, mesh coverage state, data freshness, and available responder actions.</w:t>
      </w:r>
    </w:p>
    <w:p w14:paraId="764993FB">
      <w:pPr>
        <w:pStyle w:val="23"/>
        <w:spacing w:after="60" w:line="252" w:lineRule="auto"/>
      </w:pPr>
      <w:r>
        <w:rPr>
          <w:rFonts w:ascii="Arial" w:hAnsi="Arial"/>
          <w:b w:val="0"/>
          <w:color w:val="161616"/>
          <w:sz w:val="19"/>
        </w:rPr>
        <w:t>Time-indexed drift probability field and ranked search sectors, updated as environmental inputs and search observations change.</w:t>
      </w:r>
    </w:p>
    <w:p w14:paraId="7D2F1B18">
      <w:pPr>
        <w:pStyle w:val="23"/>
        <w:spacing w:after="60" w:line="252" w:lineRule="auto"/>
      </w:pPr>
      <w:r>
        <w:rPr>
          <w:rFonts w:ascii="Arial" w:hAnsi="Arial"/>
          <w:b w:val="0"/>
          <w:color w:val="161616"/>
          <w:sz w:val="19"/>
        </w:rPr>
        <w:t>Fleet operations views showing active/offline nodes, weak batteries, sensor faults, outdated firmware, gateway backlog, route gaps, and maintenance due.</w:t>
      </w:r>
    </w:p>
    <w:p w14:paraId="7020EDCF">
      <w:pPr>
        <w:pStyle w:val="23"/>
        <w:spacing w:after="60" w:line="252" w:lineRule="auto"/>
      </w:pPr>
      <w:r>
        <w:rPr>
          <w:rFonts w:ascii="Arial" w:hAnsi="Arial"/>
          <w:b w:val="0"/>
          <w:color w:val="161616"/>
          <w:sz w:val="19"/>
        </w:rPr>
        <w:t>Auditable incident record covering creation, acknowledgement, check-in, escalation, tasking, observations, cancellation or resolution, outcome, and post-incident review.</w:t>
      </w:r>
    </w:p>
    <w:p w14:paraId="532184E8">
      <w:pPr>
        <w:keepNext/>
        <w:spacing w:before="220" w:after="100"/>
      </w:pPr>
      <w:r>
        <w:rPr>
          <w:rFonts w:ascii="Arial" w:hAnsi="Arial"/>
          <w:b/>
          <w:color w:val="15858A"/>
          <w:sz w:val="23"/>
        </w:rPr>
        <w:t>2.2 Architecture Diagram</w:t>
      </w:r>
    </w:p>
    <w:p w14:paraId="0E72133F">
      <w:pPr>
        <w:spacing w:before="80"/>
        <w:jc w:val="center"/>
      </w:pPr>
      <w:r>
        <w:drawing>
          <wp:inline distT="0" distB="0" distL="114300" distR="114300">
            <wp:extent cx="5806440" cy="2967355"/>
            <wp:effectExtent l="0" t="0" r="3810" b="4445"/>
            <wp:docPr id="1" name="Picture 1" descr="AqOne end-to-end architecture showing boat nodes, LoRa mesh, shore gateway, backend AI services, and PCG/BFAR operations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qOne end-to-end architecture showing boat nodes, LoRa mesh, shore gateway, backend AI services, and PCG/BFAR operations console."/>
                    <pic:cNvPicPr>
                      <a:picLocks noChangeAspect="1"/>
                    </pic:cNvPicPr>
                  </pic:nvPicPr>
                  <pic:blipFill>
                    <a:blip r:embed="rId8"/>
                    <a:stretch>
                      <a:fillRect/>
                    </a:stretch>
                  </pic:blipFill>
                  <pic:spPr>
                    <a:xfrm>
                      <a:off x="0" y="0"/>
                      <a:ext cx="5806440" cy="2967736"/>
                    </a:xfrm>
                    <a:prstGeom prst="rect">
                      <a:avLst/>
                    </a:prstGeom>
                  </pic:spPr>
                </pic:pic>
              </a:graphicData>
            </a:graphic>
          </wp:inline>
        </w:drawing>
      </w:r>
    </w:p>
    <w:p w14:paraId="76D0ADFB">
      <w:pPr>
        <w:jc w:val="center"/>
      </w:pPr>
      <w:r>
        <w:rPr>
          <w:rFonts w:ascii="Arial" w:hAnsi="Arial"/>
          <w:b/>
          <w:color w:val="555555"/>
          <w:sz w:val="17"/>
        </w:rPr>
        <w:t>Figure 1: Architecture Diagram of AqOne</w:t>
      </w:r>
    </w:p>
    <w:p w14:paraId="0C6D1E44">
      <w:pPr>
        <w:spacing w:before="0" w:after="120" w:line="259" w:lineRule="auto"/>
        <w:ind w:firstLine="432"/>
      </w:pPr>
      <w:r>
        <w:t>The diagram shows the principal trust and processing boundaries. Boat pods retain local phone handoff, physical SOS creation, durable queuing, and direct LoRa transmission. Stationary buoys retain fixed environmental sensing and optional relay behavior. The tall shore gateway bridges the low-bandwidth safety network to the backend without changing the original source identity or event time. Backend services perform cross-node correlation and model execution, while the operations console remains the human decision point for acknowledgement, dispatch, search allocation, cancellation, and closure.</w:t>
      </w:r>
    </w:p>
    <w:p w14:paraId="765371E6">
      <w:r>
        <w:br w:type="page"/>
      </w:r>
    </w:p>
    <w:p w14:paraId="25FD903A">
      <w:pPr>
        <w:keepNext/>
        <w:spacing w:before="280" w:after="200"/>
      </w:pPr>
      <w:r>
        <w:rPr>
          <w:rFonts w:ascii="Arial" w:hAnsi="Arial"/>
          <w:b/>
          <w:color w:val="123B5D"/>
          <w:sz w:val="28"/>
        </w:rPr>
        <w:t>SECTION 3: AI APPROACH &amp; MODEL SELECTION</w:t>
      </w:r>
    </w:p>
    <w:p w14:paraId="5106674D">
      <w:pPr>
        <w:keepNext/>
        <w:spacing w:before="220" w:after="100"/>
      </w:pPr>
      <w:r>
        <w:rPr>
          <w:rFonts w:ascii="Arial" w:hAnsi="Arial"/>
          <w:b/>
          <w:color w:val="15858A"/>
          <w:sz w:val="23"/>
        </w:rPr>
        <w:t>3.1 Identify the specific AI techniques and tools you plan to use.</w:t>
      </w:r>
    </w:p>
    <w:p w14:paraId="4956EB23">
      <w:pPr>
        <w:keepNext/>
        <w:spacing w:before="100" w:after="80"/>
      </w:pPr>
      <w:r>
        <w:rPr>
          <w:rFonts w:ascii="Arial" w:hAnsi="Arial"/>
          <w:b/>
          <w:color w:val="161616"/>
          <w:sz w:val="20"/>
        </w:rPr>
        <w:t>Primary AI Approach:</w:t>
      </w:r>
    </w:p>
    <w:p w14:paraId="528AA830">
      <w:pPr>
        <w:pStyle w:val="23"/>
        <w:spacing w:after="60" w:line="252" w:lineRule="auto"/>
      </w:pPr>
      <w:r>
        <w:rPr>
          <w:rFonts w:ascii="Arial" w:hAnsi="Arial"/>
          <w:b w:val="0"/>
          <w:color w:val="161616"/>
          <w:sz w:val="19"/>
        </w:rPr>
        <w:t>Spatiotemporal forecasting for localized squall nowcasting.</w:t>
      </w:r>
    </w:p>
    <w:p w14:paraId="5D735915">
      <w:pPr>
        <w:pStyle w:val="23"/>
        <w:spacing w:after="60" w:line="252" w:lineRule="auto"/>
      </w:pPr>
      <w:r>
        <w:rPr>
          <w:rFonts w:ascii="Arial" w:hAnsi="Arial"/>
          <w:b w:val="0"/>
          <w:color w:val="161616"/>
          <w:sz w:val="19"/>
        </w:rPr>
        <w:t>TinyML supervised motion classification for capsize, impact, and possible man-overboard events.</w:t>
      </w:r>
    </w:p>
    <w:p w14:paraId="76887CC9">
      <w:pPr>
        <w:pStyle w:val="23"/>
        <w:spacing w:after="60" w:line="252" w:lineRule="auto"/>
      </w:pPr>
      <w:r>
        <w:rPr>
          <w:rFonts w:ascii="Arial" w:hAnsi="Arial"/>
          <w:b w:val="0"/>
          <w:color w:val="161616"/>
          <w:sz w:val="19"/>
        </w:rPr>
        <w:t>Unsupervised or semi-supervised trajectory anomaly detection and deterministic heartbeat/silence logic.</w:t>
      </w:r>
    </w:p>
    <w:p w14:paraId="1BDFDB20">
      <w:pPr>
        <w:pStyle w:val="23"/>
        <w:spacing w:after="60" w:line="252" w:lineRule="auto"/>
      </w:pPr>
      <w:r>
        <w:rPr>
          <w:rFonts w:ascii="Arial" w:hAnsi="Arial"/>
          <w:b w:val="0"/>
          <w:color w:val="161616"/>
          <w:sz w:val="19"/>
        </w:rPr>
        <w:t>Physics-based drift ensemble with learned local-current residual correction.</w:t>
      </w:r>
    </w:p>
    <w:p w14:paraId="2EB9A5E5">
      <w:pPr>
        <w:pStyle w:val="23"/>
        <w:spacing w:after="60" w:line="252" w:lineRule="auto"/>
      </w:pPr>
      <w:r>
        <w:rPr>
          <w:rFonts w:ascii="Arial" w:hAnsi="Arial"/>
          <w:b w:val="0"/>
          <w:color w:val="161616"/>
          <w:sz w:val="19"/>
        </w:rPr>
        <w:t>Bayesian probability updating and survivability-aware search-sector prioritization.</w:t>
      </w:r>
    </w:p>
    <w:p w14:paraId="018E65BB">
      <w:pPr>
        <w:keepNext/>
        <w:spacing w:before="100" w:after="80"/>
      </w:pPr>
      <w:r>
        <w:rPr>
          <w:rFonts w:ascii="Arial" w:hAnsi="Arial"/>
          <w:b/>
          <w:color w:val="161616"/>
          <w:sz w:val="20"/>
        </w:rPr>
        <w:t>Model Selection:</w:t>
      </w:r>
    </w:p>
    <w:tbl>
      <w:tblPr>
        <w:tblStyle w:val="12"/>
        <w:tblW w:w="0" w:type="auto"/>
        <w:jc w:val="center"/>
        <w:tblLayout w:type="fixed"/>
        <w:tblCellMar>
          <w:top w:w="0" w:type="dxa"/>
          <w:left w:w="108" w:type="dxa"/>
          <w:bottom w:w="0" w:type="dxa"/>
          <w:right w:w="108" w:type="dxa"/>
        </w:tblCellMar>
      </w:tblPr>
      <w:tblGrid>
        <w:gridCol w:w="2401"/>
        <w:gridCol w:w="2401"/>
        <w:gridCol w:w="2401"/>
        <w:gridCol w:w="2401"/>
      </w:tblGrid>
      <w:tr w14:paraId="687B65FA">
        <w:tblPrEx>
          <w:tblCellMar>
            <w:top w:w="0" w:type="dxa"/>
            <w:left w:w="108" w:type="dxa"/>
            <w:bottom w:w="0" w:type="dxa"/>
            <w:right w:w="108" w:type="dxa"/>
          </w:tblCellMar>
        </w:tblPrEx>
        <w:trPr>
          <w:tblHeader/>
          <w:jc w:val="center"/>
        </w:trPr>
        <w:tc>
          <w:tcPr>
            <w:tcW w:w="1440" w:type="dxa"/>
            <w:shd w:val="clear" w:color="auto" w:fill="123B5D"/>
            <w:tcMar>
              <w:top w:w="85" w:type="dxa"/>
              <w:left w:w="100" w:type="dxa"/>
              <w:bottom w:w="85" w:type="dxa"/>
              <w:right w:w="100" w:type="dxa"/>
            </w:tcMar>
            <w:vAlign w:val="center"/>
          </w:tcPr>
          <w:p w14:paraId="4CA57BBC">
            <w:pPr>
              <w:spacing w:after="0" w:line="240" w:lineRule="auto"/>
              <w:jc w:val="left"/>
            </w:pPr>
            <w:r>
              <w:rPr>
                <w:rFonts w:ascii="Arial" w:hAnsi="Arial"/>
                <w:b/>
                <w:color w:val="FFFFFF"/>
                <w:sz w:val="16"/>
              </w:rPr>
              <w:t>Stage</w:t>
            </w:r>
          </w:p>
        </w:tc>
        <w:tc>
          <w:tcPr>
            <w:tcW w:w="2520" w:type="dxa"/>
            <w:shd w:val="clear" w:color="auto" w:fill="123B5D"/>
            <w:tcMar>
              <w:top w:w="85" w:type="dxa"/>
              <w:left w:w="100" w:type="dxa"/>
              <w:bottom w:w="85" w:type="dxa"/>
              <w:right w:w="100" w:type="dxa"/>
            </w:tcMar>
            <w:vAlign w:val="center"/>
          </w:tcPr>
          <w:p w14:paraId="132B1261">
            <w:pPr>
              <w:spacing w:after="0" w:line="240" w:lineRule="auto"/>
              <w:jc w:val="left"/>
            </w:pPr>
            <w:r>
              <w:rPr>
                <w:rFonts w:ascii="Arial" w:hAnsi="Arial"/>
                <w:b/>
                <w:color w:val="FFFFFF"/>
                <w:sz w:val="16"/>
              </w:rPr>
              <w:t>AI Model / Method</w:t>
            </w:r>
          </w:p>
        </w:tc>
        <w:tc>
          <w:tcPr>
            <w:tcW w:w="1944" w:type="dxa"/>
            <w:shd w:val="clear" w:color="auto" w:fill="123B5D"/>
            <w:tcMar>
              <w:top w:w="85" w:type="dxa"/>
              <w:left w:w="100" w:type="dxa"/>
              <w:bottom w:w="85" w:type="dxa"/>
              <w:right w:w="100" w:type="dxa"/>
            </w:tcMar>
            <w:vAlign w:val="center"/>
          </w:tcPr>
          <w:p w14:paraId="51999659">
            <w:pPr>
              <w:spacing w:after="0" w:line="240" w:lineRule="auto"/>
              <w:jc w:val="left"/>
            </w:pPr>
            <w:r>
              <w:rPr>
                <w:rFonts w:ascii="Arial" w:hAnsi="Arial"/>
                <w:b/>
                <w:color w:val="FFFFFF"/>
                <w:sz w:val="16"/>
              </w:rPr>
              <w:t>Framework</w:t>
            </w:r>
          </w:p>
        </w:tc>
        <w:tc>
          <w:tcPr>
            <w:tcW w:w="3672" w:type="dxa"/>
            <w:shd w:val="clear" w:color="auto" w:fill="123B5D"/>
            <w:tcMar>
              <w:top w:w="85" w:type="dxa"/>
              <w:left w:w="100" w:type="dxa"/>
              <w:bottom w:w="85" w:type="dxa"/>
              <w:right w:w="100" w:type="dxa"/>
            </w:tcMar>
            <w:vAlign w:val="center"/>
          </w:tcPr>
          <w:p w14:paraId="6CE2F744">
            <w:pPr>
              <w:spacing w:after="0" w:line="240" w:lineRule="auto"/>
              <w:jc w:val="left"/>
            </w:pPr>
            <w:r>
              <w:rPr>
                <w:rFonts w:ascii="Arial" w:hAnsi="Arial"/>
                <w:b/>
                <w:color w:val="FFFFFF"/>
                <w:sz w:val="16"/>
              </w:rPr>
              <w:t>Purpose</w:t>
            </w:r>
          </w:p>
        </w:tc>
      </w:tr>
      <w:tr w14:paraId="1F0207CE">
        <w:tblPrEx>
          <w:tblCellMar>
            <w:top w:w="0" w:type="dxa"/>
            <w:left w:w="108" w:type="dxa"/>
            <w:bottom w:w="0" w:type="dxa"/>
            <w:right w:w="108" w:type="dxa"/>
          </w:tblCellMar>
        </w:tblPrEx>
        <w:trPr>
          <w:jc w:val="center"/>
        </w:trPr>
        <w:tc>
          <w:tcPr>
            <w:tcW w:w="1440" w:type="dxa"/>
            <w:shd w:val="clear" w:color="auto" w:fill="FFFFFF"/>
            <w:tcMar>
              <w:top w:w="85" w:type="dxa"/>
              <w:left w:w="100" w:type="dxa"/>
              <w:bottom w:w="85" w:type="dxa"/>
              <w:right w:w="100" w:type="dxa"/>
            </w:tcMar>
            <w:vAlign w:val="center"/>
          </w:tcPr>
          <w:p w14:paraId="64C67FD9">
            <w:pPr>
              <w:spacing w:after="0" w:line="240" w:lineRule="auto"/>
              <w:jc w:val="left"/>
            </w:pPr>
            <w:r>
              <w:rPr>
                <w:rFonts w:ascii="Arial" w:hAnsi="Arial"/>
                <w:b w:val="0"/>
                <w:color w:val="161616"/>
                <w:sz w:val="16"/>
              </w:rPr>
              <w:t>Sensor processing</w:t>
            </w:r>
          </w:p>
        </w:tc>
        <w:tc>
          <w:tcPr>
            <w:tcW w:w="2520" w:type="dxa"/>
            <w:shd w:val="clear" w:color="auto" w:fill="FFFFFF"/>
            <w:tcMar>
              <w:top w:w="85" w:type="dxa"/>
              <w:left w:w="100" w:type="dxa"/>
              <w:bottom w:w="85" w:type="dxa"/>
              <w:right w:w="100" w:type="dxa"/>
            </w:tcMar>
            <w:vAlign w:val="center"/>
          </w:tcPr>
          <w:p w14:paraId="72886BD8">
            <w:pPr>
              <w:spacing w:after="0" w:line="240" w:lineRule="auto"/>
              <w:jc w:val="left"/>
            </w:pPr>
            <w:r>
              <w:rPr>
                <w:rFonts w:ascii="Arial" w:hAnsi="Arial"/>
                <w:b w:val="0"/>
                <w:color w:val="161616"/>
                <w:sz w:val="16"/>
              </w:rPr>
              <w:t>Calibration, filtering, event-window extraction and quality rules</w:t>
            </w:r>
          </w:p>
        </w:tc>
        <w:tc>
          <w:tcPr>
            <w:tcW w:w="1944" w:type="dxa"/>
            <w:shd w:val="clear" w:color="auto" w:fill="FFFFFF"/>
            <w:tcMar>
              <w:top w:w="85" w:type="dxa"/>
              <w:left w:w="100" w:type="dxa"/>
              <w:bottom w:w="85" w:type="dxa"/>
              <w:right w:w="100" w:type="dxa"/>
            </w:tcMar>
            <w:vAlign w:val="center"/>
          </w:tcPr>
          <w:p w14:paraId="60FB010F">
            <w:pPr>
              <w:spacing w:after="0" w:line="240" w:lineRule="auto"/>
              <w:jc w:val="left"/>
            </w:pPr>
            <w:r>
              <w:rPr>
                <w:rFonts w:ascii="Arial" w:hAnsi="Arial"/>
                <w:b w:val="0"/>
                <w:color w:val="161616"/>
                <w:sz w:val="16"/>
              </w:rPr>
              <w:t>Embedded C/C++; Python/NumPy for training pipeline</w:t>
            </w:r>
          </w:p>
        </w:tc>
        <w:tc>
          <w:tcPr>
            <w:tcW w:w="3672" w:type="dxa"/>
            <w:shd w:val="clear" w:color="auto" w:fill="FFFFFF"/>
            <w:tcMar>
              <w:top w:w="85" w:type="dxa"/>
              <w:left w:w="100" w:type="dxa"/>
              <w:bottom w:w="85" w:type="dxa"/>
              <w:right w:w="100" w:type="dxa"/>
            </w:tcMar>
            <w:vAlign w:val="center"/>
          </w:tcPr>
          <w:p w14:paraId="2680B569">
            <w:pPr>
              <w:spacing w:after="0" w:line="240" w:lineRule="auto"/>
              <w:jc w:val="left"/>
            </w:pPr>
            <w:r>
              <w:rPr>
                <w:rFonts w:ascii="Arial" w:hAnsi="Arial"/>
                <w:b w:val="0"/>
                <w:color w:val="161616"/>
                <w:sz w:val="16"/>
              </w:rPr>
              <w:t>Turns raw IMU, pressure, GNSS, and health streams into bounded, quality-labeled features.</w:t>
            </w:r>
          </w:p>
        </w:tc>
      </w:tr>
      <w:tr w14:paraId="37E9BFA3">
        <w:tblPrEx>
          <w:tblCellMar>
            <w:top w:w="0" w:type="dxa"/>
            <w:left w:w="108" w:type="dxa"/>
            <w:bottom w:w="0" w:type="dxa"/>
            <w:right w:w="108" w:type="dxa"/>
          </w:tblCellMar>
        </w:tblPrEx>
        <w:trPr>
          <w:jc w:val="center"/>
        </w:trPr>
        <w:tc>
          <w:tcPr>
            <w:tcW w:w="1440" w:type="dxa"/>
            <w:shd w:val="clear" w:color="auto" w:fill="F7F7F7"/>
            <w:tcMar>
              <w:top w:w="85" w:type="dxa"/>
              <w:left w:w="100" w:type="dxa"/>
              <w:bottom w:w="85" w:type="dxa"/>
              <w:right w:w="100" w:type="dxa"/>
            </w:tcMar>
            <w:vAlign w:val="center"/>
          </w:tcPr>
          <w:p w14:paraId="6CE56168">
            <w:pPr>
              <w:spacing w:after="0" w:line="240" w:lineRule="auto"/>
              <w:jc w:val="left"/>
            </w:pPr>
            <w:r>
              <w:rPr>
                <w:rFonts w:ascii="Arial" w:hAnsi="Arial"/>
                <w:b w:val="0"/>
                <w:color w:val="161616"/>
                <w:sz w:val="16"/>
              </w:rPr>
              <w:t>Squall nowcasting</w:t>
            </w:r>
          </w:p>
        </w:tc>
        <w:tc>
          <w:tcPr>
            <w:tcW w:w="2520" w:type="dxa"/>
            <w:shd w:val="clear" w:color="auto" w:fill="F7F7F7"/>
            <w:tcMar>
              <w:top w:w="85" w:type="dxa"/>
              <w:left w:w="100" w:type="dxa"/>
              <w:bottom w:w="85" w:type="dxa"/>
              <w:right w:w="100" w:type="dxa"/>
            </w:tcMar>
            <w:vAlign w:val="center"/>
          </w:tcPr>
          <w:p w14:paraId="639D77BE">
            <w:pPr>
              <w:spacing w:after="0" w:line="240" w:lineRule="auto"/>
              <w:jc w:val="left"/>
            </w:pPr>
            <w:r>
              <w:rPr>
                <w:rFonts w:ascii="Arial" w:hAnsi="Arial"/>
                <w:b w:val="0"/>
                <w:color w:val="161616"/>
                <w:sz w:val="16"/>
              </w:rPr>
              <w:t>Graph neural network or convolutional-recurrent model over interpolated pressure fields</w:t>
            </w:r>
          </w:p>
        </w:tc>
        <w:tc>
          <w:tcPr>
            <w:tcW w:w="1944" w:type="dxa"/>
            <w:shd w:val="clear" w:color="auto" w:fill="F7F7F7"/>
            <w:tcMar>
              <w:top w:w="85" w:type="dxa"/>
              <w:left w:w="100" w:type="dxa"/>
              <w:bottom w:w="85" w:type="dxa"/>
              <w:right w:w="100" w:type="dxa"/>
            </w:tcMar>
            <w:vAlign w:val="center"/>
          </w:tcPr>
          <w:p w14:paraId="09F95960">
            <w:pPr>
              <w:spacing w:after="0" w:line="240" w:lineRule="auto"/>
              <w:jc w:val="left"/>
            </w:pPr>
            <w:r>
              <w:rPr>
                <w:rFonts w:ascii="Arial" w:hAnsi="Arial"/>
                <w:b w:val="0"/>
                <w:color w:val="161616"/>
                <w:sz w:val="16"/>
              </w:rPr>
              <w:t>PyTorch; geospatial preprocessing</w:t>
            </w:r>
          </w:p>
        </w:tc>
        <w:tc>
          <w:tcPr>
            <w:tcW w:w="3672" w:type="dxa"/>
            <w:shd w:val="clear" w:color="auto" w:fill="F7F7F7"/>
            <w:tcMar>
              <w:top w:w="85" w:type="dxa"/>
              <w:left w:w="100" w:type="dxa"/>
              <w:bottom w:w="85" w:type="dxa"/>
              <w:right w:w="100" w:type="dxa"/>
            </w:tcMar>
            <w:vAlign w:val="center"/>
          </w:tcPr>
          <w:p w14:paraId="0ED9AAC2">
            <w:pPr>
              <w:spacing w:after="0" w:line="240" w:lineRule="auto"/>
              <w:jc w:val="left"/>
            </w:pPr>
            <w:r>
              <w:rPr>
                <w:rFonts w:ascii="Arial" w:hAnsi="Arial"/>
                <w:b w:val="0"/>
                <w:color w:val="161616"/>
                <w:sz w:val="16"/>
              </w:rPr>
              <w:t>Predicts localized squall onset probability at 30-90 minute horizons and targets RETURN NOW warnings.</w:t>
            </w:r>
          </w:p>
        </w:tc>
      </w:tr>
      <w:tr w14:paraId="28C90805">
        <w:tblPrEx>
          <w:tblCellMar>
            <w:top w:w="0" w:type="dxa"/>
            <w:left w:w="108" w:type="dxa"/>
            <w:bottom w:w="0" w:type="dxa"/>
            <w:right w:w="108" w:type="dxa"/>
          </w:tblCellMar>
        </w:tblPrEx>
        <w:trPr>
          <w:jc w:val="center"/>
        </w:trPr>
        <w:tc>
          <w:tcPr>
            <w:tcW w:w="1440" w:type="dxa"/>
            <w:shd w:val="clear" w:color="auto" w:fill="FFFFFF"/>
            <w:tcMar>
              <w:top w:w="85" w:type="dxa"/>
              <w:left w:w="100" w:type="dxa"/>
              <w:bottom w:w="85" w:type="dxa"/>
              <w:right w:w="100" w:type="dxa"/>
            </w:tcMar>
            <w:vAlign w:val="center"/>
          </w:tcPr>
          <w:p w14:paraId="3EF7811B">
            <w:pPr>
              <w:spacing w:after="0" w:line="240" w:lineRule="auto"/>
              <w:jc w:val="left"/>
            </w:pPr>
            <w:r>
              <w:rPr>
                <w:rFonts w:ascii="Arial" w:hAnsi="Arial"/>
                <w:b w:val="0"/>
                <w:color w:val="161616"/>
                <w:sz w:val="16"/>
              </w:rPr>
              <w:t>Motion detection</w:t>
            </w:r>
          </w:p>
        </w:tc>
        <w:tc>
          <w:tcPr>
            <w:tcW w:w="2520" w:type="dxa"/>
            <w:shd w:val="clear" w:color="auto" w:fill="FFFFFF"/>
            <w:tcMar>
              <w:top w:w="85" w:type="dxa"/>
              <w:left w:w="100" w:type="dxa"/>
              <w:bottom w:w="85" w:type="dxa"/>
              <w:right w:w="100" w:type="dxa"/>
            </w:tcMar>
            <w:vAlign w:val="center"/>
          </w:tcPr>
          <w:p w14:paraId="3C6CDD40">
            <w:pPr>
              <w:spacing w:after="0" w:line="240" w:lineRule="auto"/>
              <w:jc w:val="left"/>
            </w:pPr>
            <w:r>
              <w:rPr>
                <w:rFonts w:ascii="Arial" w:hAnsi="Arial"/>
                <w:b w:val="0"/>
                <w:color w:val="161616"/>
                <w:sz w:val="16"/>
              </w:rPr>
              <w:t>Quantized 1D CNN or compact tree/feature classifier, compared against deterministic baselines</w:t>
            </w:r>
          </w:p>
        </w:tc>
        <w:tc>
          <w:tcPr>
            <w:tcW w:w="1944" w:type="dxa"/>
            <w:shd w:val="clear" w:color="auto" w:fill="FFFFFF"/>
            <w:tcMar>
              <w:top w:w="85" w:type="dxa"/>
              <w:left w:w="100" w:type="dxa"/>
              <w:bottom w:w="85" w:type="dxa"/>
              <w:right w:w="100" w:type="dxa"/>
            </w:tcMar>
            <w:vAlign w:val="center"/>
          </w:tcPr>
          <w:p w14:paraId="7D8F7625">
            <w:pPr>
              <w:spacing w:after="0" w:line="240" w:lineRule="auto"/>
              <w:jc w:val="left"/>
            </w:pPr>
            <w:r>
              <w:rPr>
                <w:rFonts w:ascii="Arial" w:hAnsi="Arial"/>
                <w:b w:val="0"/>
                <w:color w:val="161616"/>
                <w:sz w:val="16"/>
              </w:rPr>
              <w:t>TensorFlow Lite Micro or equivalent TinyML runtime</w:t>
            </w:r>
          </w:p>
        </w:tc>
        <w:tc>
          <w:tcPr>
            <w:tcW w:w="3672" w:type="dxa"/>
            <w:shd w:val="clear" w:color="auto" w:fill="FFFFFF"/>
            <w:tcMar>
              <w:top w:w="85" w:type="dxa"/>
              <w:left w:w="100" w:type="dxa"/>
              <w:bottom w:w="85" w:type="dxa"/>
              <w:right w:w="100" w:type="dxa"/>
            </w:tcMar>
            <w:vAlign w:val="center"/>
          </w:tcPr>
          <w:p w14:paraId="76DEDFE0">
            <w:pPr>
              <w:spacing w:after="0" w:line="240" w:lineRule="auto"/>
              <w:jc w:val="left"/>
            </w:pPr>
            <w:r>
              <w:rPr>
                <w:rFonts w:ascii="Arial" w:hAnsi="Arial"/>
                <w:b w:val="0"/>
                <w:color w:val="161616"/>
                <w:sz w:val="16"/>
              </w:rPr>
              <w:t>Classifies capsize, impact/collision, possible man-overboard, and normal motion on the node.</w:t>
            </w:r>
          </w:p>
        </w:tc>
      </w:tr>
      <w:tr w14:paraId="66385B48">
        <w:tblPrEx>
          <w:tblCellMar>
            <w:top w:w="0" w:type="dxa"/>
            <w:left w:w="108" w:type="dxa"/>
            <w:bottom w:w="0" w:type="dxa"/>
            <w:right w:w="108" w:type="dxa"/>
          </w:tblCellMar>
        </w:tblPrEx>
        <w:trPr>
          <w:jc w:val="center"/>
        </w:trPr>
        <w:tc>
          <w:tcPr>
            <w:tcW w:w="1440" w:type="dxa"/>
            <w:shd w:val="clear" w:color="auto" w:fill="F7F7F7"/>
            <w:tcMar>
              <w:top w:w="85" w:type="dxa"/>
              <w:left w:w="100" w:type="dxa"/>
              <w:bottom w:w="85" w:type="dxa"/>
              <w:right w:w="100" w:type="dxa"/>
            </w:tcMar>
            <w:vAlign w:val="center"/>
          </w:tcPr>
          <w:p w14:paraId="235CA6C1">
            <w:pPr>
              <w:spacing w:after="0" w:line="240" w:lineRule="auto"/>
              <w:jc w:val="left"/>
            </w:pPr>
            <w:r>
              <w:rPr>
                <w:rFonts w:ascii="Arial" w:hAnsi="Arial"/>
                <w:b w:val="0"/>
                <w:color w:val="161616"/>
                <w:sz w:val="16"/>
              </w:rPr>
              <w:t>Trajectory anomaly</w:t>
            </w:r>
          </w:p>
        </w:tc>
        <w:tc>
          <w:tcPr>
            <w:tcW w:w="2520" w:type="dxa"/>
            <w:shd w:val="clear" w:color="auto" w:fill="F7F7F7"/>
            <w:tcMar>
              <w:top w:w="85" w:type="dxa"/>
              <w:left w:w="100" w:type="dxa"/>
              <w:bottom w:w="85" w:type="dxa"/>
              <w:right w:w="100" w:type="dxa"/>
            </w:tcMar>
            <w:vAlign w:val="center"/>
          </w:tcPr>
          <w:p w14:paraId="23B8660E">
            <w:pPr>
              <w:spacing w:after="0" w:line="240" w:lineRule="auto"/>
              <w:jc w:val="left"/>
            </w:pPr>
            <w:r>
              <w:rPr>
                <w:rFonts w:ascii="Arial" w:hAnsi="Arial"/>
                <w:b w:val="0"/>
                <w:color w:val="161616"/>
                <w:sz w:val="16"/>
              </w:rPr>
              <w:t>Isolation Forest / sequence anomaly baseline plus operating-state rules</w:t>
            </w:r>
          </w:p>
        </w:tc>
        <w:tc>
          <w:tcPr>
            <w:tcW w:w="1944" w:type="dxa"/>
            <w:shd w:val="clear" w:color="auto" w:fill="F7F7F7"/>
            <w:tcMar>
              <w:top w:w="85" w:type="dxa"/>
              <w:left w:w="100" w:type="dxa"/>
              <w:bottom w:w="85" w:type="dxa"/>
              <w:right w:w="100" w:type="dxa"/>
            </w:tcMar>
            <w:vAlign w:val="center"/>
          </w:tcPr>
          <w:p w14:paraId="682E26FE">
            <w:pPr>
              <w:spacing w:after="0" w:line="240" w:lineRule="auto"/>
              <w:jc w:val="left"/>
            </w:pPr>
            <w:r>
              <w:rPr>
                <w:rFonts w:ascii="Arial" w:hAnsi="Arial"/>
                <w:b w:val="0"/>
                <w:color w:val="161616"/>
                <w:sz w:val="16"/>
              </w:rPr>
              <w:t>scikit-learn / Python</w:t>
            </w:r>
          </w:p>
        </w:tc>
        <w:tc>
          <w:tcPr>
            <w:tcW w:w="3672" w:type="dxa"/>
            <w:shd w:val="clear" w:color="auto" w:fill="F7F7F7"/>
            <w:tcMar>
              <w:top w:w="85" w:type="dxa"/>
              <w:left w:w="100" w:type="dxa"/>
              <w:bottom w:w="85" w:type="dxa"/>
              <w:right w:w="100" w:type="dxa"/>
            </w:tcMar>
            <w:vAlign w:val="center"/>
          </w:tcPr>
          <w:p w14:paraId="1DB5A7E1">
            <w:pPr>
              <w:spacing w:after="0" w:line="240" w:lineRule="auto"/>
              <w:jc w:val="left"/>
            </w:pPr>
            <w:r>
              <w:rPr>
                <w:rFonts w:ascii="Arial" w:hAnsi="Arial"/>
                <w:b w:val="0"/>
                <w:color w:val="161616"/>
                <w:sz w:val="16"/>
              </w:rPr>
              <w:t>Flags unexpected stop, drift, course/speed change, or silence inconsistent with the trip state.</w:t>
            </w:r>
          </w:p>
        </w:tc>
      </w:tr>
      <w:tr w14:paraId="61903204">
        <w:tblPrEx>
          <w:tblCellMar>
            <w:top w:w="0" w:type="dxa"/>
            <w:left w:w="108" w:type="dxa"/>
            <w:bottom w:w="0" w:type="dxa"/>
            <w:right w:w="108" w:type="dxa"/>
          </w:tblCellMar>
        </w:tblPrEx>
        <w:trPr>
          <w:jc w:val="center"/>
        </w:trPr>
        <w:tc>
          <w:tcPr>
            <w:tcW w:w="1440" w:type="dxa"/>
            <w:shd w:val="clear" w:color="auto" w:fill="FFFFFF"/>
            <w:tcMar>
              <w:top w:w="85" w:type="dxa"/>
              <w:left w:w="100" w:type="dxa"/>
              <w:bottom w:w="85" w:type="dxa"/>
              <w:right w:w="100" w:type="dxa"/>
            </w:tcMar>
            <w:vAlign w:val="center"/>
          </w:tcPr>
          <w:p w14:paraId="7675FFC0">
            <w:pPr>
              <w:spacing w:after="0" w:line="240" w:lineRule="auto"/>
              <w:jc w:val="left"/>
            </w:pPr>
            <w:r>
              <w:rPr>
                <w:rFonts w:ascii="Arial" w:hAnsi="Arial"/>
                <w:b w:val="0"/>
                <w:color w:val="161616"/>
                <w:sz w:val="16"/>
              </w:rPr>
              <w:t>Confidence fusion</w:t>
            </w:r>
          </w:p>
        </w:tc>
        <w:tc>
          <w:tcPr>
            <w:tcW w:w="2520" w:type="dxa"/>
            <w:shd w:val="clear" w:color="auto" w:fill="FFFFFF"/>
            <w:tcMar>
              <w:top w:w="85" w:type="dxa"/>
              <w:left w:w="100" w:type="dxa"/>
              <w:bottom w:w="85" w:type="dxa"/>
              <w:right w:w="100" w:type="dxa"/>
            </w:tcMar>
            <w:vAlign w:val="center"/>
          </w:tcPr>
          <w:p w14:paraId="18B3369E">
            <w:pPr>
              <w:spacing w:after="0" w:line="240" w:lineRule="auto"/>
              <w:jc w:val="left"/>
            </w:pPr>
            <w:r>
              <w:rPr>
                <w:rFonts w:ascii="Arial" w:hAnsi="Arial"/>
                <w:b w:val="0"/>
                <w:color w:val="161616"/>
                <w:sz w:val="16"/>
              </w:rPr>
              <w:t>Calibrated logistic/gradient-boosting model plus non-negotiable safety rules</w:t>
            </w:r>
          </w:p>
        </w:tc>
        <w:tc>
          <w:tcPr>
            <w:tcW w:w="1944" w:type="dxa"/>
            <w:shd w:val="clear" w:color="auto" w:fill="FFFFFF"/>
            <w:tcMar>
              <w:top w:w="85" w:type="dxa"/>
              <w:left w:w="100" w:type="dxa"/>
              <w:bottom w:w="85" w:type="dxa"/>
              <w:right w:w="100" w:type="dxa"/>
            </w:tcMar>
            <w:vAlign w:val="center"/>
          </w:tcPr>
          <w:p w14:paraId="7EF818F2">
            <w:pPr>
              <w:spacing w:after="0" w:line="240" w:lineRule="auto"/>
              <w:jc w:val="left"/>
            </w:pPr>
            <w:r>
              <w:rPr>
                <w:rFonts w:ascii="Arial" w:hAnsi="Arial"/>
                <w:b w:val="0"/>
                <w:color w:val="161616"/>
                <w:sz w:val="16"/>
              </w:rPr>
              <w:t>scikit-learn / XGBoost</w:t>
            </w:r>
          </w:p>
        </w:tc>
        <w:tc>
          <w:tcPr>
            <w:tcW w:w="3672" w:type="dxa"/>
            <w:shd w:val="clear" w:color="auto" w:fill="FFFFFF"/>
            <w:tcMar>
              <w:top w:w="85" w:type="dxa"/>
              <w:left w:w="100" w:type="dxa"/>
              <w:bottom w:w="85" w:type="dxa"/>
              <w:right w:w="100" w:type="dxa"/>
            </w:tcMar>
            <w:vAlign w:val="center"/>
          </w:tcPr>
          <w:p w14:paraId="1B697A44">
            <w:pPr>
              <w:spacing w:after="0" w:line="240" w:lineRule="auto"/>
              <w:jc w:val="left"/>
            </w:pPr>
            <w:r>
              <w:rPr>
                <w:rFonts w:ascii="Arial" w:hAnsi="Arial"/>
                <w:b w:val="0"/>
                <w:color w:val="161616"/>
                <w:sz w:val="16"/>
              </w:rPr>
              <w:t>Combines multiple independent signals and neighbor corroboration into an explainable incident score.</w:t>
            </w:r>
          </w:p>
        </w:tc>
      </w:tr>
      <w:tr w14:paraId="2C42DADC">
        <w:tblPrEx>
          <w:tblCellMar>
            <w:top w:w="0" w:type="dxa"/>
            <w:left w:w="108" w:type="dxa"/>
            <w:bottom w:w="0" w:type="dxa"/>
            <w:right w:w="108" w:type="dxa"/>
          </w:tblCellMar>
        </w:tblPrEx>
        <w:trPr>
          <w:jc w:val="center"/>
        </w:trPr>
        <w:tc>
          <w:tcPr>
            <w:tcW w:w="1440" w:type="dxa"/>
            <w:shd w:val="clear" w:color="auto" w:fill="F7F7F7"/>
            <w:tcMar>
              <w:top w:w="85" w:type="dxa"/>
              <w:left w:w="100" w:type="dxa"/>
              <w:bottom w:w="85" w:type="dxa"/>
              <w:right w:w="100" w:type="dxa"/>
            </w:tcMar>
            <w:vAlign w:val="center"/>
          </w:tcPr>
          <w:p w14:paraId="5232F718">
            <w:pPr>
              <w:spacing w:after="0" w:line="240" w:lineRule="auto"/>
              <w:jc w:val="left"/>
            </w:pPr>
            <w:r>
              <w:rPr>
                <w:rFonts w:ascii="Arial" w:hAnsi="Arial"/>
                <w:b w:val="0"/>
                <w:color w:val="161616"/>
                <w:sz w:val="16"/>
              </w:rPr>
              <w:t>Drift prediction</w:t>
            </w:r>
          </w:p>
        </w:tc>
        <w:tc>
          <w:tcPr>
            <w:tcW w:w="2520" w:type="dxa"/>
            <w:shd w:val="clear" w:color="auto" w:fill="F7F7F7"/>
            <w:tcMar>
              <w:top w:w="85" w:type="dxa"/>
              <w:left w:w="100" w:type="dxa"/>
              <w:bottom w:w="85" w:type="dxa"/>
              <w:right w:w="100" w:type="dxa"/>
            </w:tcMar>
            <w:vAlign w:val="center"/>
          </w:tcPr>
          <w:p w14:paraId="236F899C">
            <w:pPr>
              <w:spacing w:after="0" w:line="240" w:lineRule="auto"/>
              <w:jc w:val="left"/>
            </w:pPr>
            <w:r>
              <w:rPr>
                <w:rFonts w:ascii="Arial" w:hAnsi="Arial"/>
                <w:b w:val="0"/>
                <w:color w:val="161616"/>
                <w:sz w:val="16"/>
              </w:rPr>
              <w:t>OpenDrift/Leeway particle ensemble</w:t>
            </w:r>
          </w:p>
        </w:tc>
        <w:tc>
          <w:tcPr>
            <w:tcW w:w="1944" w:type="dxa"/>
            <w:shd w:val="clear" w:color="auto" w:fill="F7F7F7"/>
            <w:tcMar>
              <w:top w:w="85" w:type="dxa"/>
              <w:left w:w="100" w:type="dxa"/>
              <w:bottom w:w="85" w:type="dxa"/>
              <w:right w:w="100" w:type="dxa"/>
            </w:tcMar>
            <w:vAlign w:val="center"/>
          </w:tcPr>
          <w:p w14:paraId="371D81BA">
            <w:pPr>
              <w:spacing w:after="0" w:line="240" w:lineRule="auto"/>
              <w:jc w:val="left"/>
            </w:pPr>
            <w:r>
              <w:rPr>
                <w:rFonts w:ascii="Arial" w:hAnsi="Arial"/>
                <w:b w:val="0"/>
                <w:color w:val="161616"/>
                <w:sz w:val="16"/>
              </w:rPr>
              <w:t>OpenDrift, xarray, NumPy, PostGIS</w:t>
            </w:r>
          </w:p>
        </w:tc>
        <w:tc>
          <w:tcPr>
            <w:tcW w:w="3672" w:type="dxa"/>
            <w:shd w:val="clear" w:color="auto" w:fill="F7F7F7"/>
            <w:tcMar>
              <w:top w:w="85" w:type="dxa"/>
              <w:left w:w="100" w:type="dxa"/>
              <w:bottom w:w="85" w:type="dxa"/>
              <w:right w:w="100" w:type="dxa"/>
            </w:tcMar>
            <w:vAlign w:val="center"/>
          </w:tcPr>
          <w:p w14:paraId="09128394">
            <w:pPr>
              <w:spacing w:after="0" w:line="240" w:lineRule="auto"/>
              <w:jc w:val="left"/>
            </w:pPr>
            <w:r>
              <w:rPr>
                <w:rFonts w:ascii="Arial" w:hAnsi="Arial"/>
                <w:b w:val="0"/>
                <w:color w:val="161616"/>
                <w:sz w:val="16"/>
              </w:rPr>
              <w:t>Produces an uncertainty-aware search probability field from incident state, wind, current, and object class.</w:t>
            </w:r>
          </w:p>
        </w:tc>
      </w:tr>
      <w:tr w14:paraId="1527472E">
        <w:tblPrEx>
          <w:tblCellMar>
            <w:top w:w="0" w:type="dxa"/>
            <w:left w:w="108" w:type="dxa"/>
            <w:bottom w:w="0" w:type="dxa"/>
            <w:right w:w="108" w:type="dxa"/>
          </w:tblCellMar>
        </w:tblPrEx>
        <w:trPr>
          <w:jc w:val="center"/>
        </w:trPr>
        <w:tc>
          <w:tcPr>
            <w:tcW w:w="1440" w:type="dxa"/>
            <w:shd w:val="clear" w:color="auto" w:fill="FFFFFF"/>
            <w:tcMar>
              <w:top w:w="85" w:type="dxa"/>
              <w:left w:w="100" w:type="dxa"/>
              <w:bottom w:w="85" w:type="dxa"/>
              <w:right w:w="100" w:type="dxa"/>
            </w:tcMar>
            <w:vAlign w:val="center"/>
          </w:tcPr>
          <w:p w14:paraId="77455FD8">
            <w:pPr>
              <w:spacing w:after="0" w:line="240" w:lineRule="auto"/>
              <w:jc w:val="left"/>
            </w:pPr>
            <w:r>
              <w:rPr>
                <w:rFonts w:ascii="Arial" w:hAnsi="Arial"/>
                <w:b w:val="0"/>
                <w:color w:val="161616"/>
                <w:sz w:val="16"/>
              </w:rPr>
              <w:t>Local-current correction</w:t>
            </w:r>
          </w:p>
        </w:tc>
        <w:tc>
          <w:tcPr>
            <w:tcW w:w="2520" w:type="dxa"/>
            <w:shd w:val="clear" w:color="auto" w:fill="FFFFFF"/>
            <w:tcMar>
              <w:top w:w="85" w:type="dxa"/>
              <w:left w:w="100" w:type="dxa"/>
              <w:bottom w:w="85" w:type="dxa"/>
              <w:right w:w="100" w:type="dxa"/>
            </w:tcMar>
            <w:vAlign w:val="center"/>
          </w:tcPr>
          <w:p w14:paraId="3501888E">
            <w:pPr>
              <w:spacing w:after="0" w:line="240" w:lineRule="auto"/>
              <w:jc w:val="left"/>
            </w:pPr>
            <w:r>
              <w:rPr>
                <w:rFonts w:ascii="Arial" w:hAnsi="Arial"/>
                <w:b w:val="0"/>
                <w:color w:val="161616"/>
                <w:sz w:val="16"/>
              </w:rPr>
              <w:t>Residual regression or spatiotemporal interpolation trained on filtered mesh observations</w:t>
            </w:r>
          </w:p>
        </w:tc>
        <w:tc>
          <w:tcPr>
            <w:tcW w:w="1944" w:type="dxa"/>
            <w:shd w:val="clear" w:color="auto" w:fill="FFFFFF"/>
            <w:tcMar>
              <w:top w:w="85" w:type="dxa"/>
              <w:left w:w="100" w:type="dxa"/>
              <w:bottom w:w="85" w:type="dxa"/>
              <w:right w:w="100" w:type="dxa"/>
            </w:tcMar>
            <w:vAlign w:val="center"/>
          </w:tcPr>
          <w:p w14:paraId="6BEF37C0">
            <w:pPr>
              <w:spacing w:after="0" w:line="240" w:lineRule="auto"/>
              <w:jc w:val="left"/>
            </w:pPr>
            <w:r>
              <w:rPr>
                <w:rFonts w:ascii="Arial" w:hAnsi="Arial"/>
                <w:b w:val="0"/>
                <w:color w:val="161616"/>
                <w:sz w:val="16"/>
              </w:rPr>
              <w:t>PyTorch/XGBoost; geospatial pipeline</w:t>
            </w:r>
          </w:p>
        </w:tc>
        <w:tc>
          <w:tcPr>
            <w:tcW w:w="3672" w:type="dxa"/>
            <w:shd w:val="clear" w:color="auto" w:fill="FFFFFF"/>
            <w:tcMar>
              <w:top w:w="85" w:type="dxa"/>
              <w:left w:w="100" w:type="dxa"/>
              <w:bottom w:w="85" w:type="dxa"/>
              <w:right w:w="100" w:type="dxa"/>
            </w:tcMar>
            <w:vAlign w:val="center"/>
          </w:tcPr>
          <w:p w14:paraId="122384FE">
            <w:pPr>
              <w:spacing w:after="0" w:line="240" w:lineRule="auto"/>
              <w:jc w:val="left"/>
            </w:pPr>
            <w:r>
              <w:rPr>
                <w:rFonts w:ascii="Arial" w:hAnsi="Arial"/>
                <w:b w:val="0"/>
                <w:color w:val="161616"/>
                <w:sz w:val="16"/>
              </w:rPr>
              <w:t>Corrects coarse current products at nearshore/channel scale only where validation shows improvement.</w:t>
            </w:r>
          </w:p>
        </w:tc>
      </w:tr>
      <w:tr w14:paraId="3A8D0E5A">
        <w:tblPrEx>
          <w:tblCellMar>
            <w:top w:w="0" w:type="dxa"/>
            <w:left w:w="108" w:type="dxa"/>
            <w:bottom w:w="0" w:type="dxa"/>
            <w:right w:w="108" w:type="dxa"/>
          </w:tblCellMar>
        </w:tblPrEx>
        <w:trPr>
          <w:jc w:val="center"/>
        </w:trPr>
        <w:tc>
          <w:tcPr>
            <w:tcW w:w="1440" w:type="dxa"/>
            <w:shd w:val="clear" w:color="auto" w:fill="F7F7F7"/>
            <w:tcMar>
              <w:top w:w="85" w:type="dxa"/>
              <w:left w:w="100" w:type="dxa"/>
              <w:bottom w:w="85" w:type="dxa"/>
              <w:right w:w="100" w:type="dxa"/>
            </w:tcMar>
            <w:vAlign w:val="center"/>
          </w:tcPr>
          <w:p w14:paraId="412A4220">
            <w:pPr>
              <w:spacing w:after="0" w:line="240" w:lineRule="auto"/>
              <w:jc w:val="left"/>
            </w:pPr>
            <w:r>
              <w:rPr>
                <w:rFonts w:ascii="Arial" w:hAnsi="Arial"/>
                <w:b w:val="0"/>
                <w:color w:val="161616"/>
                <w:sz w:val="16"/>
              </w:rPr>
              <w:t>Search allocation</w:t>
            </w:r>
          </w:p>
        </w:tc>
        <w:tc>
          <w:tcPr>
            <w:tcW w:w="2520" w:type="dxa"/>
            <w:shd w:val="clear" w:color="auto" w:fill="F7F7F7"/>
            <w:tcMar>
              <w:top w:w="85" w:type="dxa"/>
              <w:left w:w="100" w:type="dxa"/>
              <w:bottom w:w="85" w:type="dxa"/>
              <w:right w:w="100" w:type="dxa"/>
            </w:tcMar>
            <w:vAlign w:val="center"/>
          </w:tcPr>
          <w:p w14:paraId="0E84DF96">
            <w:pPr>
              <w:spacing w:after="0" w:line="240" w:lineRule="auto"/>
              <w:jc w:val="left"/>
            </w:pPr>
            <w:r>
              <w:rPr>
                <w:rFonts w:ascii="Arial" w:hAnsi="Arial"/>
                <w:b w:val="0"/>
                <w:color w:val="161616"/>
                <w:sz w:val="16"/>
              </w:rPr>
              <w:t>Bayesian posterior update and probability-of-detection logic</w:t>
            </w:r>
          </w:p>
        </w:tc>
        <w:tc>
          <w:tcPr>
            <w:tcW w:w="1944" w:type="dxa"/>
            <w:shd w:val="clear" w:color="auto" w:fill="F7F7F7"/>
            <w:tcMar>
              <w:top w:w="85" w:type="dxa"/>
              <w:left w:w="100" w:type="dxa"/>
              <w:bottom w:w="85" w:type="dxa"/>
              <w:right w:w="100" w:type="dxa"/>
            </w:tcMar>
            <w:vAlign w:val="center"/>
          </w:tcPr>
          <w:p w14:paraId="25CDF3E8">
            <w:pPr>
              <w:spacing w:after="0" w:line="240" w:lineRule="auto"/>
              <w:jc w:val="left"/>
            </w:pPr>
            <w:r>
              <w:rPr>
                <w:rFonts w:ascii="Arial" w:hAnsi="Arial"/>
                <w:b w:val="0"/>
                <w:color w:val="161616"/>
                <w:sz w:val="16"/>
              </w:rPr>
              <w:t>Python/NumPy/PostGIS</w:t>
            </w:r>
          </w:p>
        </w:tc>
        <w:tc>
          <w:tcPr>
            <w:tcW w:w="3672" w:type="dxa"/>
            <w:shd w:val="clear" w:color="auto" w:fill="F7F7F7"/>
            <w:tcMar>
              <w:top w:w="85" w:type="dxa"/>
              <w:left w:w="100" w:type="dxa"/>
              <w:bottom w:w="85" w:type="dxa"/>
              <w:right w:w="100" w:type="dxa"/>
            </w:tcMar>
            <w:vAlign w:val="center"/>
          </w:tcPr>
          <w:p w14:paraId="02C54358">
            <w:pPr>
              <w:spacing w:after="0" w:line="240" w:lineRule="auto"/>
              <w:jc w:val="left"/>
            </w:pPr>
            <w:r>
              <w:rPr>
                <w:rFonts w:ascii="Arial" w:hAnsi="Arial"/>
                <w:b w:val="0"/>
                <w:color w:val="161616"/>
                <w:sz w:val="16"/>
              </w:rPr>
              <w:t>Re-ranks sectors after negative/positive findings and preserves model provenance.</w:t>
            </w:r>
          </w:p>
        </w:tc>
      </w:tr>
    </w:tbl>
    <w:p w14:paraId="0A921334">
      <w:pPr>
        <w:spacing w:after="0"/>
      </w:pPr>
    </w:p>
    <w:p w14:paraId="192B3239">
      <w:pPr>
        <w:keepNext/>
        <w:spacing w:before="220" w:after="100"/>
      </w:pPr>
      <w:r>
        <w:rPr>
          <w:rFonts w:ascii="Arial" w:hAnsi="Arial"/>
          <w:b/>
          <w:color w:val="15858A"/>
          <w:sz w:val="23"/>
        </w:rPr>
        <w:t>3.2 Squall Nowcasting Model</w:t>
      </w:r>
    </w:p>
    <w:p w14:paraId="0A89FC19">
      <w:pPr>
        <w:spacing w:before="0" w:after="120" w:line="259" w:lineRule="auto"/>
        <w:ind w:firstLine="432"/>
      </w:pPr>
      <w:r>
        <w:t>Sudden localized convective squalls can form and strike at a scale regional forecasts do not resolve. AqOne treats each stationary sensor buoy as a fixed pressure station. Observations are time-aligned, checked for sensor drift and implausible jumps, and transformed into pressure tendency, spatial gradient, propagation direction, node density, and freshness features. A graph model is attractive because the fixed stations are spatially irregular; a convolutional-recurrent alternative may be used after interpolation onto water cells if it proves simpler and equally accurate.</w:t>
      </w:r>
    </w:p>
    <w:p w14:paraId="67AF1326">
      <w:pPr>
        <w:spacing w:before="0" w:after="120" w:line="259" w:lineRule="auto"/>
        <w:ind w:firstLine="432"/>
      </w:pPr>
      <w:r>
        <w:rPr>
          <w:rFonts w:ascii="Arial" w:hAnsi="Arial"/>
          <w:b w:val="0"/>
          <w:color w:val="161616"/>
          <w:sz w:val="20"/>
        </w:rPr>
        <w:t>The cold-start dataset combines reanalysis data, physics-derived synthetic pressure fields, controlled deployment observations, and later verified weather outcomes. Training and evaluation splits must be separated by time and geography to prevent neighboring readings from leaking across partitions. Evaluation emphasizes calibrated probability, precision/recall at operational thresholds, Brier score, useful lead-time distribution, missed-event rate, and false alerts per operating day. Official PAGASA warnings remain available regardless of model state, and the console must clearly distinguish official warnings from AqOne model output.</w:t>
      </w:r>
    </w:p>
    <w:p w14:paraId="3B8F9E41">
      <w:pPr>
        <w:keepNext/>
        <w:spacing w:before="220" w:after="100"/>
      </w:pPr>
      <w:r>
        <w:rPr>
          <w:rFonts w:ascii="Arial" w:hAnsi="Arial"/>
          <w:b/>
          <w:color w:val="15858A"/>
          <w:sz w:val="23"/>
        </w:rPr>
        <w:t>3.3 Automatic Distress Detection Model</w:t>
      </w:r>
    </w:p>
    <w:p w14:paraId="034D7804">
      <w:pPr>
        <w:spacing w:before="0" w:after="120" w:line="259" w:lineRule="auto"/>
        <w:ind w:firstLine="432"/>
      </w:pPr>
      <w:r>
        <w:rPr>
          <w:rFonts w:ascii="Arial" w:hAnsi="Arial"/>
          <w:b w:val="0"/>
          <w:color w:val="161616"/>
          <w:sz w:val="20"/>
        </w:rPr>
        <w:t>Automatic detection exists because the most dangerous incident may prevent deliberate activation. The edge classifier consumes short multi-axis IMU windows and derived frequency, orientation, jerk, and duration features. Controlled small-craft trials and physically plausible simulation establish initial examples; normal fishing maneuvers, wave strikes, docking, engine vibration, and node handling are deliberately over-represented as hard negative cases because false alarms are a direct threat to responder trust.</w:t>
      </w:r>
    </w:p>
    <w:p w14:paraId="0E1146A4">
      <w:pPr>
        <w:spacing w:before="0" w:after="120" w:line="259" w:lineRule="auto"/>
        <w:ind w:firstLine="432"/>
      </w:pPr>
      <w:r>
        <w:rPr>
          <w:rFonts w:ascii="Arial" w:hAnsi="Arial"/>
          <w:b w:val="0"/>
          <w:color w:val="161616"/>
          <w:sz w:val="20"/>
        </w:rPr>
        <w:t>A single edge score is not treated as proof. Backend fusion incorporates GPS movement, trip state, elapsed silence, weather, position and evidence age, hardware health, and—most importantly—corroboration from nearby nodes. A manual SOS or strongly corroborated capsize can create a dispatchable alert immediately. Medium-confidence evidence triggers a check-in request and short policy-defined timeout. Low-confidence evidence is monitored without alarming responders unless additional signals accumulate. Every alert displays the contributors and versioned threshold policy.</w:t>
      </w:r>
    </w:p>
    <w:p w14:paraId="4504408B">
      <w:pPr>
        <w:keepNext/>
        <w:spacing w:before="220" w:after="100"/>
      </w:pPr>
      <w:r>
        <w:rPr>
          <w:rFonts w:ascii="Arial" w:hAnsi="Arial"/>
          <w:b/>
          <w:color w:val="15858A"/>
          <w:sz w:val="23"/>
        </w:rPr>
        <w:t>3.4 Drift Prediction and Search Allocation</w:t>
      </w:r>
    </w:p>
    <w:p w14:paraId="37F60B83">
      <w:pPr>
        <w:spacing w:before="0" w:after="120" w:line="259" w:lineRule="auto"/>
        <w:ind w:firstLine="432"/>
      </w:pPr>
      <w:r>
        <w:rPr>
          <w:rFonts w:ascii="Arial" w:hAnsi="Arial"/>
          <w:b w:val="0"/>
          <w:color w:val="161616"/>
          <w:sz w:val="20"/>
        </w:rPr>
        <w:t>A last-known position becomes less useful every minute after an incident. AqOne therefore uses an established OpenDrift/Leeway physical backbone to propagate a particle ensemble across wind and current fields. The registered vessel profile, incident IMU pattern, and distress payload define hypotheses such as person in water, swamped banca, inverted hull, or disabled upright vessel, each with different leeway behavior. The result is a probability density over water, not a guaranteed coordinate.</w:t>
      </w:r>
    </w:p>
    <w:p w14:paraId="4381E49C">
      <w:pPr>
        <w:spacing w:before="0" w:after="120" w:line="259" w:lineRule="auto"/>
        <w:ind w:firstLine="432"/>
      </w:pPr>
      <w:r>
        <w:t>The network can improve this baseline only if its observations are interpreted carefully. A powered or actively fishing boat pod is not a passive drifter, while a stationary sensor buoy provides a fixed environmental reference. The local-current pipeline must separate these roles, compare against environmental forcing, quantify uncertainty, and demonstrate on held-out trajectories that any residual correction outperforms the raw model before production use. As search assets report sectors and findings, Bayesian updates reduce probability in adequately searched areas and reallocate effort toward the highest remaining probability mass. Survivability weighting supports multi-incident prioritization without hiding the unweighted spatial probability.</w:t>
      </w:r>
    </w:p>
    <w:p w14:paraId="1B8BA9D6">
      <w:pPr>
        <w:keepNext/>
        <w:spacing w:before="220" w:after="100"/>
      </w:pPr>
      <w:r>
        <w:rPr>
          <w:rFonts w:ascii="Arial" w:hAnsi="Arial"/>
          <w:b/>
          <w:color w:val="15858A"/>
          <w:sz w:val="23"/>
        </w:rPr>
        <w:t>3.5 Use of Hardware and How Hardware Data Is Used</w:t>
      </w:r>
    </w:p>
    <w:p w14:paraId="7EB62F22">
      <w:pPr>
        <w:spacing w:before="0" w:after="120" w:line="259" w:lineRule="auto"/>
        <w:ind w:firstLine="432"/>
      </w:pPr>
      <w:r>
        <w:t>Hardware is essential, but not every sensor belongs on every node. The boat pod creates the primary communication path, physical SOS event, and optional vessel telemetry. GNSS provides location, course, speed, drift evidence, and event time where fitted. Stationary buoy barometers supply the fixed pressure field for nowcasting; optional IMU/current observations remain location-specific evidence. Heartbeats and radio-route metadata make silence and neighbor corroboration observable. Health flags prevent stale or faulty measurements from being treated as trustworthy evidence.</w:t>
      </w:r>
    </w:p>
    <w:p w14:paraId="4D432208">
      <w:pPr>
        <w:spacing w:before="0" w:after="120" w:line="259" w:lineRule="auto"/>
        <w:ind w:firstLine="432"/>
      </w:pPr>
      <w:r>
        <w:rPr>
          <w:rFonts w:ascii="Arial" w:hAnsi="Arial"/>
          <w:b w:val="0"/>
          <w:color w:val="161616"/>
          <w:sz w:val="20"/>
        </w:rPr>
        <w:t>The proposed firmware separates sensor acquisition, event detection, mesh communication, storage, power management, and secure update tasks. A watchdog and safe brownout recovery protect continuous operation. Critical events are written to nonvolatile storage before transmission. Firmware and TinyML models are signed, versioned, staged, and rollback-capable. The enclosure, power protection, antenna, connector, corrosion resistance, and mounting arrangement require controlled shore, harbor, and open-water validation before any operational claim.</w:t>
      </w:r>
    </w:p>
    <w:p w14:paraId="231BFDD8">
      <w:r>
        <w:br w:type="page"/>
      </w:r>
    </w:p>
    <w:p w14:paraId="4A4A15E7">
      <w:pPr>
        <w:keepNext/>
        <w:spacing w:before="280" w:after="200"/>
      </w:pPr>
      <w:r>
        <w:rPr>
          <w:rFonts w:ascii="Arial" w:hAnsi="Arial"/>
          <w:b/>
          <w:color w:val="123B5D"/>
          <w:sz w:val="28"/>
        </w:rPr>
        <w:t>SECTION 4: DATA STRATEGY &amp; ETHICS</w:t>
      </w:r>
    </w:p>
    <w:p w14:paraId="17A91B1F">
      <w:pPr>
        <w:keepNext/>
        <w:spacing w:before="220" w:after="100"/>
      </w:pPr>
      <w:r>
        <w:rPr>
          <w:rFonts w:ascii="Arial" w:hAnsi="Arial"/>
          <w:b/>
          <w:color w:val="15858A"/>
          <w:sz w:val="23"/>
        </w:rPr>
        <w:t>4.1 Data Sources</w:t>
      </w:r>
    </w:p>
    <w:p w14:paraId="0FBB5E2C">
      <w:pPr>
        <w:spacing w:before="0" w:after="120" w:line="259" w:lineRule="auto"/>
        <w:ind w:firstLine="432"/>
      </w:pPr>
      <w:r>
        <w:rPr>
          <w:rFonts w:ascii="Arial" w:hAnsi="Arial"/>
          <w:b w:val="0"/>
          <w:color w:val="161616"/>
          <w:sz w:val="20"/>
        </w:rPr>
        <w:t>AqOne data is grouped by its safety purpose and sensitivity. Identity and registration data binds a node to the correct vessel and authorized users. Operational telemetry supports communication, detection, nowcasting, drift estimation, and system health. External environmental data provides official alerts and physical-model forcing. Responder-entered observations support incident command and Bayesian search updates. Collection should be limited to what is necessary for these functions, with raw movement history protected because it may reveal livelihood patterns.</w:t>
      </w:r>
    </w:p>
    <w:tbl>
      <w:tblPr>
        <w:tblStyle w:val="12"/>
        <w:tblW w:w="0" w:type="auto"/>
        <w:jc w:val="center"/>
        <w:tblLayout w:type="fixed"/>
        <w:tblCellMar>
          <w:top w:w="0" w:type="dxa"/>
          <w:left w:w="108" w:type="dxa"/>
          <w:bottom w:w="0" w:type="dxa"/>
          <w:right w:w="108" w:type="dxa"/>
        </w:tblCellMar>
      </w:tblPr>
      <w:tblGrid>
        <w:gridCol w:w="3202"/>
        <w:gridCol w:w="3202"/>
        <w:gridCol w:w="3202"/>
      </w:tblGrid>
      <w:tr w14:paraId="19A6925B">
        <w:tblPrEx>
          <w:tblCellMar>
            <w:top w:w="0" w:type="dxa"/>
            <w:left w:w="108" w:type="dxa"/>
            <w:bottom w:w="0" w:type="dxa"/>
            <w:right w:w="108" w:type="dxa"/>
          </w:tblCellMar>
        </w:tblPrEx>
        <w:trPr>
          <w:tblHeader/>
          <w:jc w:val="center"/>
        </w:trPr>
        <w:tc>
          <w:tcPr>
            <w:tcW w:w="1944" w:type="dxa"/>
            <w:shd w:val="clear" w:color="auto" w:fill="123B5D"/>
            <w:tcMar>
              <w:top w:w="85" w:type="dxa"/>
              <w:left w:w="100" w:type="dxa"/>
              <w:bottom w:w="85" w:type="dxa"/>
              <w:right w:w="100" w:type="dxa"/>
            </w:tcMar>
            <w:vAlign w:val="center"/>
          </w:tcPr>
          <w:p w14:paraId="34DCEB41">
            <w:pPr>
              <w:spacing w:after="0" w:line="240" w:lineRule="auto"/>
              <w:jc w:val="left"/>
            </w:pPr>
            <w:r>
              <w:rPr>
                <w:rFonts w:ascii="Arial" w:hAnsi="Arial"/>
                <w:b/>
                <w:color w:val="FFFFFF"/>
                <w:sz w:val="16"/>
              </w:rPr>
              <w:t>Dataset</w:t>
            </w:r>
          </w:p>
        </w:tc>
        <w:tc>
          <w:tcPr>
            <w:tcW w:w="3384" w:type="dxa"/>
            <w:shd w:val="clear" w:color="auto" w:fill="123B5D"/>
            <w:tcMar>
              <w:top w:w="85" w:type="dxa"/>
              <w:left w:w="100" w:type="dxa"/>
              <w:bottom w:w="85" w:type="dxa"/>
              <w:right w:w="100" w:type="dxa"/>
            </w:tcMar>
            <w:vAlign w:val="center"/>
          </w:tcPr>
          <w:p w14:paraId="3C95F0B4">
            <w:pPr>
              <w:spacing w:after="0" w:line="240" w:lineRule="auto"/>
              <w:jc w:val="left"/>
            </w:pPr>
            <w:r>
              <w:rPr>
                <w:rFonts w:ascii="Arial" w:hAnsi="Arial"/>
                <w:b/>
                <w:color w:val="FFFFFF"/>
                <w:sz w:val="16"/>
              </w:rPr>
              <w:t>What It Provides</w:t>
            </w:r>
          </w:p>
        </w:tc>
        <w:tc>
          <w:tcPr>
            <w:tcW w:w="4320" w:type="dxa"/>
            <w:shd w:val="clear" w:color="auto" w:fill="123B5D"/>
            <w:tcMar>
              <w:top w:w="85" w:type="dxa"/>
              <w:left w:w="100" w:type="dxa"/>
              <w:bottom w:w="85" w:type="dxa"/>
              <w:right w:w="100" w:type="dxa"/>
            </w:tcMar>
            <w:vAlign w:val="center"/>
          </w:tcPr>
          <w:p w14:paraId="5A002144">
            <w:pPr>
              <w:spacing w:after="0" w:line="240" w:lineRule="auto"/>
              <w:jc w:val="left"/>
            </w:pPr>
            <w:r>
              <w:rPr>
                <w:rFonts w:ascii="Arial" w:hAnsi="Arial"/>
                <w:b/>
                <w:color w:val="FFFFFF"/>
                <w:sz w:val="16"/>
              </w:rPr>
              <w:t>Why It Is Necessary</w:t>
            </w:r>
          </w:p>
        </w:tc>
      </w:tr>
      <w:tr w14:paraId="2D53D152">
        <w:tblPrEx>
          <w:tblCellMar>
            <w:top w:w="0" w:type="dxa"/>
            <w:left w:w="108" w:type="dxa"/>
            <w:bottom w:w="0" w:type="dxa"/>
            <w:right w:w="108" w:type="dxa"/>
          </w:tblCellMar>
        </w:tblPrEx>
        <w:trPr>
          <w:jc w:val="center"/>
        </w:trPr>
        <w:tc>
          <w:tcPr>
            <w:tcW w:w="1944" w:type="dxa"/>
            <w:shd w:val="clear" w:color="auto" w:fill="FFFFFF"/>
            <w:tcMar>
              <w:top w:w="85" w:type="dxa"/>
              <w:left w:w="100" w:type="dxa"/>
              <w:bottom w:w="85" w:type="dxa"/>
              <w:right w:w="100" w:type="dxa"/>
            </w:tcMar>
            <w:vAlign w:val="center"/>
          </w:tcPr>
          <w:p w14:paraId="459D6EF5">
            <w:pPr>
              <w:spacing w:after="0" w:line="240" w:lineRule="auto"/>
              <w:jc w:val="left"/>
            </w:pPr>
            <w:r>
              <w:rPr>
                <w:rFonts w:ascii="Arial" w:hAnsi="Arial"/>
                <w:b w:val="0"/>
                <w:color w:val="161616"/>
                <w:sz w:val="16"/>
              </w:rPr>
              <w:t>Node GNSS and trip state</w:t>
            </w:r>
          </w:p>
        </w:tc>
        <w:tc>
          <w:tcPr>
            <w:tcW w:w="3384" w:type="dxa"/>
            <w:shd w:val="clear" w:color="auto" w:fill="FFFFFF"/>
            <w:tcMar>
              <w:top w:w="85" w:type="dxa"/>
              <w:left w:w="100" w:type="dxa"/>
              <w:bottom w:w="85" w:type="dxa"/>
              <w:right w:w="100" w:type="dxa"/>
            </w:tcMar>
            <w:vAlign w:val="center"/>
          </w:tcPr>
          <w:p w14:paraId="29B06F22">
            <w:pPr>
              <w:spacing w:after="0" w:line="240" w:lineRule="auto"/>
              <w:jc w:val="left"/>
            </w:pPr>
            <w:r>
              <w:rPr>
                <w:rFonts w:ascii="Arial" w:hAnsi="Arial"/>
                <w:b w:val="0"/>
                <w:color w:val="161616"/>
                <w:sz w:val="16"/>
              </w:rPr>
              <w:t>Position, time, speed, course, fix quality, active/docked state and route history</w:t>
            </w:r>
          </w:p>
        </w:tc>
        <w:tc>
          <w:tcPr>
            <w:tcW w:w="4320" w:type="dxa"/>
            <w:shd w:val="clear" w:color="auto" w:fill="FFFFFF"/>
            <w:tcMar>
              <w:top w:w="85" w:type="dxa"/>
              <w:left w:w="100" w:type="dxa"/>
              <w:bottom w:w="85" w:type="dxa"/>
              <w:right w:w="100" w:type="dxa"/>
            </w:tcMar>
            <w:vAlign w:val="center"/>
          </w:tcPr>
          <w:p w14:paraId="68F6861E">
            <w:pPr>
              <w:spacing w:after="0" w:line="240" w:lineRule="auto"/>
              <w:jc w:val="left"/>
            </w:pPr>
            <w:r>
              <w:rPr>
                <w:rFonts w:ascii="Arial" w:hAnsi="Arial"/>
                <w:b w:val="0"/>
                <w:color w:val="161616"/>
                <w:sz w:val="16"/>
              </w:rPr>
              <w:t>Creates the incident state, heartbeat context, trajectory features, and filtered observations for local-current validation.</w:t>
            </w:r>
          </w:p>
        </w:tc>
      </w:tr>
      <w:tr w14:paraId="440291B1">
        <w:tblPrEx>
          <w:tblCellMar>
            <w:top w:w="0" w:type="dxa"/>
            <w:left w:w="108" w:type="dxa"/>
            <w:bottom w:w="0" w:type="dxa"/>
            <w:right w:w="108" w:type="dxa"/>
          </w:tblCellMar>
        </w:tblPrEx>
        <w:trPr>
          <w:jc w:val="center"/>
        </w:trPr>
        <w:tc>
          <w:tcPr>
            <w:tcW w:w="1944" w:type="dxa"/>
            <w:shd w:val="clear" w:color="auto" w:fill="F7F7F7"/>
            <w:tcMar>
              <w:top w:w="85" w:type="dxa"/>
              <w:left w:w="100" w:type="dxa"/>
              <w:bottom w:w="85" w:type="dxa"/>
              <w:right w:w="100" w:type="dxa"/>
            </w:tcMar>
            <w:vAlign w:val="center"/>
          </w:tcPr>
          <w:p w14:paraId="299B9059">
            <w:pPr>
              <w:spacing w:after="0" w:line="240" w:lineRule="auto"/>
              <w:jc w:val="left"/>
            </w:pPr>
            <w:r>
              <w:rPr>
                <w:rFonts w:ascii="Arial" w:hAnsi="Arial"/>
                <w:b w:val="0"/>
                <w:color w:val="161616"/>
                <w:sz w:val="16"/>
              </w:rPr>
              <w:t>Node IMU</w:t>
            </w:r>
          </w:p>
        </w:tc>
        <w:tc>
          <w:tcPr>
            <w:tcW w:w="3384" w:type="dxa"/>
            <w:shd w:val="clear" w:color="auto" w:fill="F7F7F7"/>
            <w:tcMar>
              <w:top w:w="85" w:type="dxa"/>
              <w:left w:w="100" w:type="dxa"/>
              <w:bottom w:w="85" w:type="dxa"/>
              <w:right w:w="100" w:type="dxa"/>
            </w:tcMar>
            <w:vAlign w:val="center"/>
          </w:tcPr>
          <w:p w14:paraId="695F12E9">
            <w:pPr>
              <w:spacing w:after="0" w:line="240" w:lineRule="auto"/>
              <w:jc w:val="left"/>
            </w:pPr>
            <w:r>
              <w:rPr>
                <w:rFonts w:ascii="Arial" w:hAnsi="Arial"/>
                <w:b w:val="0"/>
                <w:color w:val="161616"/>
                <w:sz w:val="16"/>
              </w:rPr>
              <w:t>High-rate accelerometer/gyroscope event windows and embedded scores</w:t>
            </w:r>
          </w:p>
        </w:tc>
        <w:tc>
          <w:tcPr>
            <w:tcW w:w="4320" w:type="dxa"/>
            <w:shd w:val="clear" w:color="auto" w:fill="F7F7F7"/>
            <w:tcMar>
              <w:top w:w="85" w:type="dxa"/>
              <w:left w:w="100" w:type="dxa"/>
              <w:bottom w:w="85" w:type="dxa"/>
              <w:right w:w="100" w:type="dxa"/>
            </w:tcMar>
            <w:vAlign w:val="center"/>
          </w:tcPr>
          <w:p w14:paraId="321A6B5B">
            <w:pPr>
              <w:spacing w:after="0" w:line="240" w:lineRule="auto"/>
              <w:jc w:val="left"/>
            </w:pPr>
            <w:r>
              <w:rPr>
                <w:rFonts w:ascii="Arial" w:hAnsi="Arial"/>
                <w:b w:val="0"/>
                <w:color w:val="161616"/>
                <w:sz w:val="16"/>
              </w:rPr>
              <w:t>Provides the direct evidence for capsize, impact, and possible man-overboard classification.</w:t>
            </w:r>
          </w:p>
        </w:tc>
      </w:tr>
      <w:tr w14:paraId="1D2C2858">
        <w:tblPrEx>
          <w:tblCellMar>
            <w:top w:w="0" w:type="dxa"/>
            <w:left w:w="108" w:type="dxa"/>
            <w:bottom w:w="0" w:type="dxa"/>
            <w:right w:w="108" w:type="dxa"/>
          </w:tblCellMar>
        </w:tblPrEx>
        <w:trPr>
          <w:jc w:val="center"/>
        </w:trPr>
        <w:tc>
          <w:tcPr>
            <w:tcW w:w="1944" w:type="dxa"/>
            <w:shd w:val="clear" w:color="auto" w:fill="FFFFFF"/>
            <w:tcMar>
              <w:top w:w="85" w:type="dxa"/>
              <w:left w:w="100" w:type="dxa"/>
              <w:bottom w:w="85" w:type="dxa"/>
              <w:right w:w="100" w:type="dxa"/>
            </w:tcMar>
            <w:vAlign w:val="center"/>
          </w:tcPr>
          <w:p w14:paraId="09A7C85F">
            <w:pPr>
              <w:spacing w:after="0" w:line="240" w:lineRule="auto"/>
              <w:jc w:val="left"/>
            </w:pPr>
            <w:r>
              <w:rPr>
                <w:rFonts w:ascii="Arial" w:hAnsi="Arial"/>
                <w:b w:val="0"/>
                <w:color w:val="161616"/>
                <w:sz w:val="16"/>
              </w:rPr>
              <w:t>Node barometer</w:t>
            </w:r>
          </w:p>
        </w:tc>
        <w:tc>
          <w:tcPr>
            <w:tcW w:w="3384" w:type="dxa"/>
            <w:shd w:val="clear" w:color="auto" w:fill="FFFFFF"/>
            <w:tcMar>
              <w:top w:w="85" w:type="dxa"/>
              <w:left w:w="100" w:type="dxa"/>
              <w:bottom w:w="85" w:type="dxa"/>
              <w:right w:w="100" w:type="dxa"/>
            </w:tcMar>
            <w:vAlign w:val="center"/>
          </w:tcPr>
          <w:p w14:paraId="107D43FC">
            <w:pPr>
              <w:spacing w:after="0" w:line="240" w:lineRule="auto"/>
              <w:jc w:val="left"/>
            </w:pPr>
            <w:r>
              <w:rPr>
                <w:rFonts w:ascii="Arial" w:hAnsi="Arial"/>
                <w:b w:val="0"/>
                <w:color w:val="161616"/>
                <w:sz w:val="16"/>
              </w:rPr>
              <w:t>Pressure, trend, calibration and quality state at moving offshore positions</w:t>
            </w:r>
          </w:p>
        </w:tc>
        <w:tc>
          <w:tcPr>
            <w:tcW w:w="4320" w:type="dxa"/>
            <w:shd w:val="clear" w:color="auto" w:fill="FFFFFF"/>
            <w:tcMar>
              <w:top w:w="85" w:type="dxa"/>
              <w:left w:w="100" w:type="dxa"/>
              <w:bottom w:w="85" w:type="dxa"/>
              <w:right w:w="100" w:type="dxa"/>
            </w:tcMar>
            <w:vAlign w:val="center"/>
          </w:tcPr>
          <w:p w14:paraId="6AC4F4EC">
            <w:pPr>
              <w:spacing w:after="0" w:line="240" w:lineRule="auto"/>
              <w:jc w:val="left"/>
            </w:pPr>
            <w:r>
              <w:rPr>
                <w:rFonts w:ascii="Arial" w:hAnsi="Arial"/>
                <w:b w:val="0"/>
                <w:color w:val="161616"/>
                <w:sz w:val="16"/>
              </w:rPr>
              <w:t>Creates a local offshore pressure field for squall onset and propagation prediction.</w:t>
            </w:r>
          </w:p>
        </w:tc>
      </w:tr>
      <w:tr w14:paraId="2A80458D">
        <w:tblPrEx>
          <w:tblCellMar>
            <w:top w:w="0" w:type="dxa"/>
            <w:left w:w="108" w:type="dxa"/>
            <w:bottom w:w="0" w:type="dxa"/>
            <w:right w:w="108" w:type="dxa"/>
          </w:tblCellMar>
        </w:tblPrEx>
        <w:trPr>
          <w:jc w:val="center"/>
        </w:trPr>
        <w:tc>
          <w:tcPr>
            <w:tcW w:w="1944" w:type="dxa"/>
            <w:shd w:val="clear" w:color="auto" w:fill="F7F7F7"/>
            <w:tcMar>
              <w:top w:w="85" w:type="dxa"/>
              <w:left w:w="100" w:type="dxa"/>
              <w:bottom w:w="85" w:type="dxa"/>
              <w:right w:w="100" w:type="dxa"/>
            </w:tcMar>
            <w:vAlign w:val="center"/>
          </w:tcPr>
          <w:p w14:paraId="3D647E1B">
            <w:pPr>
              <w:spacing w:after="0" w:line="240" w:lineRule="auto"/>
              <w:jc w:val="left"/>
            </w:pPr>
            <w:r>
              <w:rPr>
                <w:rFonts w:ascii="Arial" w:hAnsi="Arial"/>
                <w:b w:val="0"/>
                <w:color w:val="161616"/>
                <w:sz w:val="16"/>
              </w:rPr>
              <w:t>Mesh/gateway metadata</w:t>
            </w:r>
          </w:p>
        </w:tc>
        <w:tc>
          <w:tcPr>
            <w:tcW w:w="3384" w:type="dxa"/>
            <w:shd w:val="clear" w:color="auto" w:fill="F7F7F7"/>
            <w:tcMar>
              <w:top w:w="85" w:type="dxa"/>
              <w:left w:w="100" w:type="dxa"/>
              <w:bottom w:w="85" w:type="dxa"/>
              <w:right w:w="100" w:type="dxa"/>
            </w:tcMar>
            <w:vAlign w:val="center"/>
          </w:tcPr>
          <w:p w14:paraId="6FB721A8">
            <w:pPr>
              <w:spacing w:after="0" w:line="240" w:lineRule="auto"/>
              <w:jc w:val="left"/>
            </w:pPr>
            <w:r>
              <w:rPr>
                <w:rFonts w:ascii="Arial" w:hAnsi="Arial"/>
                <w:b w:val="0"/>
                <w:color w:val="161616"/>
                <w:sz w:val="16"/>
              </w:rPr>
              <w:t>Hop count, relay IDs, link quality, message status, queues, gateway/backhaul health</w:t>
            </w:r>
          </w:p>
        </w:tc>
        <w:tc>
          <w:tcPr>
            <w:tcW w:w="4320" w:type="dxa"/>
            <w:shd w:val="clear" w:color="auto" w:fill="F7F7F7"/>
            <w:tcMar>
              <w:top w:w="85" w:type="dxa"/>
              <w:left w:w="100" w:type="dxa"/>
              <w:bottom w:w="85" w:type="dxa"/>
              <w:right w:w="100" w:type="dxa"/>
            </w:tcMar>
            <w:vAlign w:val="center"/>
          </w:tcPr>
          <w:p w14:paraId="2B88357E">
            <w:pPr>
              <w:spacing w:after="0" w:line="240" w:lineRule="auto"/>
              <w:jc w:val="left"/>
            </w:pPr>
            <w:r>
              <w:rPr>
                <w:rFonts w:ascii="Arial" w:hAnsi="Arial"/>
                <w:b w:val="0"/>
                <w:color w:val="161616"/>
                <w:sz w:val="16"/>
              </w:rPr>
              <w:t>Measures coverage, supports corroboration and reliable delivery, and exposes whether silence is a network failure.</w:t>
            </w:r>
          </w:p>
        </w:tc>
      </w:tr>
      <w:tr w14:paraId="54D28719">
        <w:tblPrEx>
          <w:tblCellMar>
            <w:top w:w="0" w:type="dxa"/>
            <w:left w:w="108" w:type="dxa"/>
            <w:bottom w:w="0" w:type="dxa"/>
            <w:right w:w="108" w:type="dxa"/>
          </w:tblCellMar>
        </w:tblPrEx>
        <w:trPr>
          <w:jc w:val="center"/>
        </w:trPr>
        <w:tc>
          <w:tcPr>
            <w:tcW w:w="1944" w:type="dxa"/>
            <w:shd w:val="clear" w:color="auto" w:fill="FFFFFF"/>
            <w:tcMar>
              <w:top w:w="85" w:type="dxa"/>
              <w:left w:w="100" w:type="dxa"/>
              <w:bottom w:w="85" w:type="dxa"/>
              <w:right w:w="100" w:type="dxa"/>
            </w:tcMar>
            <w:vAlign w:val="center"/>
          </w:tcPr>
          <w:p w14:paraId="7F469F44">
            <w:pPr>
              <w:spacing w:after="0" w:line="240" w:lineRule="auto"/>
              <w:jc w:val="left"/>
            </w:pPr>
            <w:r>
              <w:rPr>
                <w:rFonts w:ascii="Arial" w:hAnsi="Arial"/>
                <w:b w:val="0"/>
                <w:color w:val="161616"/>
                <w:sz w:val="16"/>
              </w:rPr>
              <w:t>Vessel/node registry</w:t>
            </w:r>
          </w:p>
        </w:tc>
        <w:tc>
          <w:tcPr>
            <w:tcW w:w="3384" w:type="dxa"/>
            <w:shd w:val="clear" w:color="auto" w:fill="FFFFFF"/>
            <w:tcMar>
              <w:top w:w="85" w:type="dxa"/>
              <w:left w:w="100" w:type="dxa"/>
              <w:bottom w:w="85" w:type="dxa"/>
              <w:right w:w="100" w:type="dxa"/>
            </w:tcMar>
            <w:vAlign w:val="center"/>
          </w:tcPr>
          <w:p w14:paraId="0BE2F84A">
            <w:pPr>
              <w:spacing w:after="0" w:line="240" w:lineRule="auto"/>
              <w:jc w:val="left"/>
            </w:pPr>
            <w:r>
              <w:rPr>
                <w:rFonts w:ascii="Arial" w:hAnsi="Arial"/>
                <w:b w:val="0"/>
                <w:color w:val="161616"/>
                <w:sz w:val="16"/>
              </w:rPr>
              <w:t>Vessel/object profile, installation, keys, firmware, calibration, maintenance and authorized contacts</w:t>
            </w:r>
          </w:p>
        </w:tc>
        <w:tc>
          <w:tcPr>
            <w:tcW w:w="4320" w:type="dxa"/>
            <w:shd w:val="clear" w:color="auto" w:fill="FFFFFF"/>
            <w:tcMar>
              <w:top w:w="85" w:type="dxa"/>
              <w:left w:w="100" w:type="dxa"/>
              <w:bottom w:w="85" w:type="dxa"/>
              <w:right w:w="100" w:type="dxa"/>
            </w:tcMar>
            <w:vAlign w:val="center"/>
          </w:tcPr>
          <w:p w14:paraId="2A5B4B95">
            <w:pPr>
              <w:spacing w:after="0" w:line="240" w:lineRule="auto"/>
              <w:jc w:val="left"/>
            </w:pPr>
            <w:r>
              <w:rPr>
                <w:rFonts w:ascii="Arial" w:hAnsi="Arial"/>
                <w:b w:val="0"/>
                <w:color w:val="161616"/>
                <w:sz w:val="16"/>
              </w:rPr>
              <w:t>Authenticates events, selects drift hypotheses, supports notification, and makes hardware lifecycle auditable.</w:t>
            </w:r>
          </w:p>
        </w:tc>
      </w:tr>
      <w:tr w14:paraId="15761090">
        <w:tblPrEx>
          <w:tblCellMar>
            <w:top w:w="0" w:type="dxa"/>
            <w:left w:w="108" w:type="dxa"/>
            <w:bottom w:w="0" w:type="dxa"/>
            <w:right w:w="108" w:type="dxa"/>
          </w:tblCellMar>
        </w:tblPrEx>
        <w:trPr>
          <w:jc w:val="center"/>
        </w:trPr>
        <w:tc>
          <w:tcPr>
            <w:tcW w:w="1944" w:type="dxa"/>
            <w:shd w:val="clear" w:color="auto" w:fill="F7F7F7"/>
            <w:tcMar>
              <w:top w:w="85" w:type="dxa"/>
              <w:left w:w="100" w:type="dxa"/>
              <w:bottom w:w="85" w:type="dxa"/>
              <w:right w:w="100" w:type="dxa"/>
            </w:tcMar>
            <w:vAlign w:val="center"/>
          </w:tcPr>
          <w:p w14:paraId="6B6D4660">
            <w:pPr>
              <w:spacing w:after="0" w:line="240" w:lineRule="auto"/>
              <w:jc w:val="left"/>
            </w:pPr>
            <w:r>
              <w:rPr>
                <w:rFonts w:ascii="Arial" w:hAnsi="Arial"/>
                <w:b w:val="0"/>
                <w:color w:val="161616"/>
                <w:sz w:val="16"/>
              </w:rPr>
              <w:t>Official weather and warnings</w:t>
            </w:r>
          </w:p>
        </w:tc>
        <w:tc>
          <w:tcPr>
            <w:tcW w:w="3384" w:type="dxa"/>
            <w:shd w:val="clear" w:color="auto" w:fill="F7F7F7"/>
            <w:tcMar>
              <w:top w:w="85" w:type="dxa"/>
              <w:left w:w="100" w:type="dxa"/>
              <w:bottom w:w="85" w:type="dxa"/>
              <w:right w:w="100" w:type="dxa"/>
            </w:tcMar>
            <w:vAlign w:val="center"/>
          </w:tcPr>
          <w:p w14:paraId="29AE67F5">
            <w:pPr>
              <w:spacing w:after="0" w:line="240" w:lineRule="auto"/>
              <w:jc w:val="left"/>
            </w:pPr>
            <w:r>
              <w:rPr>
                <w:rFonts w:ascii="Arial" w:hAnsi="Arial"/>
                <w:b w:val="0"/>
                <w:color w:val="161616"/>
                <w:sz w:val="16"/>
              </w:rPr>
              <w:t>PAGASA advisories and forecasts; wind/sea-state context</w:t>
            </w:r>
          </w:p>
        </w:tc>
        <w:tc>
          <w:tcPr>
            <w:tcW w:w="4320" w:type="dxa"/>
            <w:shd w:val="clear" w:color="auto" w:fill="F7F7F7"/>
            <w:tcMar>
              <w:top w:w="85" w:type="dxa"/>
              <w:left w:w="100" w:type="dxa"/>
              <w:bottom w:w="85" w:type="dxa"/>
              <w:right w:w="100" w:type="dxa"/>
            </w:tcMar>
            <w:vAlign w:val="center"/>
          </w:tcPr>
          <w:p w14:paraId="353B9FA4">
            <w:pPr>
              <w:spacing w:after="0" w:line="240" w:lineRule="auto"/>
              <w:jc w:val="left"/>
            </w:pPr>
            <w:r>
              <w:rPr>
                <w:rFonts w:ascii="Arial" w:hAnsi="Arial"/>
                <w:b w:val="0"/>
                <w:color w:val="161616"/>
                <w:sz w:val="16"/>
              </w:rPr>
              <w:t>Delivers authoritative warnings and supplies context/fallback for nowcasting and incident scoring.</w:t>
            </w:r>
          </w:p>
        </w:tc>
      </w:tr>
      <w:tr w14:paraId="3188C044">
        <w:tblPrEx>
          <w:tblCellMar>
            <w:top w:w="0" w:type="dxa"/>
            <w:left w:w="108" w:type="dxa"/>
            <w:bottom w:w="0" w:type="dxa"/>
            <w:right w:w="108" w:type="dxa"/>
          </w:tblCellMar>
        </w:tblPrEx>
        <w:trPr>
          <w:jc w:val="center"/>
        </w:trPr>
        <w:tc>
          <w:tcPr>
            <w:tcW w:w="1944" w:type="dxa"/>
            <w:shd w:val="clear" w:color="auto" w:fill="FFFFFF"/>
            <w:tcMar>
              <w:top w:w="85" w:type="dxa"/>
              <w:left w:w="100" w:type="dxa"/>
              <w:bottom w:w="85" w:type="dxa"/>
              <w:right w:w="100" w:type="dxa"/>
            </w:tcMar>
            <w:vAlign w:val="center"/>
          </w:tcPr>
          <w:p w14:paraId="69C71A71">
            <w:pPr>
              <w:spacing w:after="0" w:line="240" w:lineRule="auto"/>
              <w:jc w:val="left"/>
            </w:pPr>
            <w:r>
              <w:rPr>
                <w:rFonts w:ascii="Arial" w:hAnsi="Arial"/>
                <w:b w:val="0"/>
                <w:color w:val="161616"/>
                <w:sz w:val="16"/>
              </w:rPr>
              <w:t>Ocean forcing products</w:t>
            </w:r>
          </w:p>
        </w:tc>
        <w:tc>
          <w:tcPr>
            <w:tcW w:w="3384" w:type="dxa"/>
            <w:shd w:val="clear" w:color="auto" w:fill="FFFFFF"/>
            <w:tcMar>
              <w:top w:w="85" w:type="dxa"/>
              <w:left w:w="100" w:type="dxa"/>
              <w:bottom w:w="85" w:type="dxa"/>
              <w:right w:w="100" w:type="dxa"/>
            </w:tcMar>
            <w:vAlign w:val="center"/>
          </w:tcPr>
          <w:p w14:paraId="03E15B14">
            <w:pPr>
              <w:spacing w:after="0" w:line="240" w:lineRule="auto"/>
              <w:jc w:val="left"/>
            </w:pPr>
            <w:r>
              <w:rPr>
                <w:rFonts w:ascii="Arial" w:hAnsi="Arial"/>
                <w:b w:val="0"/>
                <w:color w:val="161616"/>
                <w:sz w:val="16"/>
              </w:rPr>
              <w:t>Coarse wind/current fields and uncertainty</w:t>
            </w:r>
          </w:p>
        </w:tc>
        <w:tc>
          <w:tcPr>
            <w:tcW w:w="4320" w:type="dxa"/>
            <w:shd w:val="clear" w:color="auto" w:fill="FFFFFF"/>
            <w:tcMar>
              <w:top w:w="85" w:type="dxa"/>
              <w:left w:w="100" w:type="dxa"/>
              <w:bottom w:w="85" w:type="dxa"/>
              <w:right w:w="100" w:type="dxa"/>
            </w:tcMar>
            <w:vAlign w:val="center"/>
          </w:tcPr>
          <w:p w14:paraId="0EB02B34">
            <w:pPr>
              <w:spacing w:after="0" w:line="240" w:lineRule="auto"/>
              <w:jc w:val="left"/>
            </w:pPr>
            <w:r>
              <w:rPr>
                <w:rFonts w:ascii="Arial" w:hAnsi="Arial"/>
                <w:b w:val="0"/>
                <w:color w:val="161616"/>
                <w:sz w:val="16"/>
              </w:rPr>
              <w:t>Provides the physical baseline for the OpenDrift/Leeway ensemble.</w:t>
            </w:r>
          </w:p>
        </w:tc>
      </w:tr>
      <w:tr w14:paraId="30D146D4">
        <w:tblPrEx>
          <w:tblCellMar>
            <w:top w:w="0" w:type="dxa"/>
            <w:left w:w="108" w:type="dxa"/>
            <w:bottom w:w="0" w:type="dxa"/>
            <w:right w:w="108" w:type="dxa"/>
          </w:tblCellMar>
        </w:tblPrEx>
        <w:trPr>
          <w:jc w:val="center"/>
        </w:trPr>
        <w:tc>
          <w:tcPr>
            <w:tcW w:w="1944" w:type="dxa"/>
            <w:shd w:val="clear" w:color="auto" w:fill="F7F7F7"/>
            <w:tcMar>
              <w:top w:w="85" w:type="dxa"/>
              <w:left w:w="100" w:type="dxa"/>
              <w:bottom w:w="85" w:type="dxa"/>
              <w:right w:w="100" w:type="dxa"/>
            </w:tcMar>
            <w:vAlign w:val="center"/>
          </w:tcPr>
          <w:p w14:paraId="23A08540">
            <w:pPr>
              <w:spacing w:after="0" w:line="240" w:lineRule="auto"/>
              <w:jc w:val="left"/>
            </w:pPr>
            <w:r>
              <w:rPr>
                <w:rFonts w:ascii="Arial" w:hAnsi="Arial"/>
                <w:b w:val="0"/>
                <w:color w:val="161616"/>
                <w:sz w:val="16"/>
              </w:rPr>
              <w:t>Search observations and outcomes</w:t>
            </w:r>
          </w:p>
        </w:tc>
        <w:tc>
          <w:tcPr>
            <w:tcW w:w="3384" w:type="dxa"/>
            <w:shd w:val="clear" w:color="auto" w:fill="F7F7F7"/>
            <w:tcMar>
              <w:top w:w="85" w:type="dxa"/>
              <w:left w:w="100" w:type="dxa"/>
              <w:bottom w:w="85" w:type="dxa"/>
              <w:right w:w="100" w:type="dxa"/>
            </w:tcMar>
            <w:vAlign w:val="center"/>
          </w:tcPr>
          <w:p w14:paraId="5E0412C0">
            <w:pPr>
              <w:spacing w:after="0" w:line="240" w:lineRule="auto"/>
              <w:jc w:val="left"/>
            </w:pPr>
            <w:r>
              <w:rPr>
                <w:rFonts w:ascii="Arial" w:hAnsi="Arial"/>
                <w:b w:val="0"/>
                <w:color w:val="161616"/>
                <w:sz w:val="16"/>
              </w:rPr>
              <w:t>Searched sector, time, conditions, probability of detection, findings and recovery position</w:t>
            </w:r>
          </w:p>
        </w:tc>
        <w:tc>
          <w:tcPr>
            <w:tcW w:w="4320" w:type="dxa"/>
            <w:shd w:val="clear" w:color="auto" w:fill="F7F7F7"/>
            <w:tcMar>
              <w:top w:w="85" w:type="dxa"/>
              <w:left w:w="100" w:type="dxa"/>
              <w:bottom w:w="85" w:type="dxa"/>
              <w:right w:w="100" w:type="dxa"/>
            </w:tcMar>
            <w:vAlign w:val="center"/>
          </w:tcPr>
          <w:p w14:paraId="594128BC">
            <w:pPr>
              <w:spacing w:after="0" w:line="240" w:lineRule="auto"/>
              <w:jc w:val="left"/>
            </w:pPr>
            <w:r>
              <w:rPr>
                <w:rFonts w:ascii="Arial" w:hAnsi="Arial"/>
                <w:b w:val="0"/>
                <w:color w:val="161616"/>
                <w:sz w:val="16"/>
              </w:rPr>
              <w:t>Updates the Bayesian posterior and supplies labeled residual/error evidence for later evaluation.</w:t>
            </w:r>
          </w:p>
        </w:tc>
      </w:tr>
    </w:tbl>
    <w:p w14:paraId="613874B8">
      <w:pPr>
        <w:spacing w:after="0"/>
      </w:pPr>
    </w:p>
    <w:p w14:paraId="7F0B7ABD">
      <w:pPr>
        <w:keepNext/>
        <w:spacing w:before="220" w:after="100"/>
      </w:pPr>
      <w:r>
        <w:rPr>
          <w:rFonts w:ascii="Arial" w:hAnsi="Arial"/>
          <w:b/>
          <w:color w:val="15858A"/>
          <w:sz w:val="23"/>
        </w:rPr>
        <w:t>4.2 Data Pipeline</w:t>
      </w:r>
    </w:p>
    <w:p w14:paraId="57F7A2AC">
      <w:pPr>
        <w:spacing w:before="0" w:after="120" w:line="259" w:lineRule="auto"/>
        <w:ind w:firstLine="432"/>
      </w:pPr>
      <w:r>
        <w:t>The pipeline begins at a boat pod or stationary field node, where timestamps, calibration, bounded schemas, and quality flags are attached as close to the sensor as possible. Routine data is summarized to conserve airtime, while critical events retain the relevant evidence. Packets receive a unique identity, source/sequence information, priority, expiry, and integrity protection before entering a durable local queue.</w:t>
      </w:r>
    </w:p>
    <w:p w14:paraId="1F21228A">
      <w:pPr>
        <w:spacing w:before="0" w:after="120" w:line="259" w:lineRule="auto"/>
        <w:ind w:firstLine="432"/>
      </w:pPr>
      <w:r>
        <w:rPr>
          <w:rFonts w:ascii="Arial" w:hAnsi="Arial"/>
          <w:b w:val="0"/>
          <w:color w:val="161616"/>
          <w:sz w:val="20"/>
        </w:rPr>
        <w:t>Neighbor nodes and gateways validate what they are authorized to interpret, suppress duplicates and replay, preserve the original event time and source identity, and append route observations. The platform authenticates gateway traffic, validates schemas and ranges, records the immutable raw event, then projects latest fleet state into PostgreSQL/PostGIS. Feature jobs align sensor readings and environmental sources by time and location, retain missingness and provenance, and write versioned model-ready datasets rather than overwriting history.</w:t>
      </w:r>
    </w:p>
    <w:p w14:paraId="501CE63F">
      <w:pPr>
        <w:spacing w:before="0" w:after="120" w:line="259" w:lineRule="auto"/>
        <w:ind w:firstLine="432"/>
      </w:pPr>
      <w:r>
        <w:rPr>
          <w:rFonts w:ascii="Arial" w:hAnsi="Arial"/>
          <w:b w:val="0"/>
          <w:color w:val="161616"/>
          <w:sz w:val="20"/>
        </w:rPr>
        <w:t>The incident engine evaluates new evidence against the active policy and model version. Nowcast jobs construct graph/grid windows and expire output when node density or freshness is inadequate. Drift jobs preserve forcing versions, initial uncertainty, object hypotheses, particles, probability surfaces, and search updates. The console receives current projections but can trace any displayed alert or forecast back to the raw event, transformation version, model/rule version, and responder action.</w:t>
      </w:r>
    </w:p>
    <w:p w14:paraId="4F3C3942">
      <w:pPr>
        <w:keepNext/>
        <w:spacing w:before="220" w:after="100"/>
      </w:pPr>
      <w:r>
        <w:rPr>
          <w:rFonts w:ascii="Arial" w:hAnsi="Arial"/>
          <w:b/>
          <w:color w:val="15858A"/>
          <w:sz w:val="23"/>
        </w:rPr>
        <w:t>4.3 Model Training</w:t>
      </w:r>
    </w:p>
    <w:p w14:paraId="700D1C96">
      <w:pPr>
        <w:spacing w:before="0" w:after="120" w:line="259" w:lineRule="auto"/>
        <w:ind w:firstLine="432"/>
      </w:pPr>
      <w:r>
        <w:rPr>
          <w:rFonts w:ascii="Arial" w:hAnsi="Arial"/>
          <w:b w:val="0"/>
          <w:color w:val="161616"/>
          <w:sz w:val="20"/>
        </w:rPr>
        <w:t>The three learned components require separate validation designs. Squall nowcasting uses time- and geography-separated weather events to measure generalization and alert lead time. Motion classification uses vessel- and trial-separated splits so repeated maneuvers from the same craft do not appear in both training and test sets. Confidence fusion uses incident/candidate groups rather than individual packets as the split unit, preventing multiple fragments of one event from leaking across partitions. The local-current residual is evaluated on held-out trajectories and water areas against the unchanged physical baseline.</w:t>
      </w:r>
    </w:p>
    <w:p w14:paraId="5B5F42E0">
      <w:pPr>
        <w:spacing w:before="0" w:after="120" w:line="259" w:lineRule="auto"/>
        <w:ind w:firstLine="432"/>
      </w:pPr>
      <w:r>
        <w:rPr>
          <w:rFonts w:ascii="Arial" w:hAnsi="Arial"/>
          <w:b w:val="0"/>
          <w:color w:val="161616"/>
          <w:sz w:val="20"/>
        </w:rPr>
        <w:t>Training begins with transparent baselines: persistence/threshold nowcasts, deterministic motion rules, simple calibrated logistic fusion, and raw OpenDrift/Leeway forecasts. More complex models are promoted only when they improve safety-relevant metrics without unacceptable latency, power, calibration, or explainability costs. Hyperparameters are selected on training/validation data; the locked test set is evaluated once for the release candidate. Every artifact includes dataset, code, feature schema, calibration, threshold, hardware/firmware compatibility, and evaluation identifiers.</w:t>
      </w:r>
    </w:p>
    <w:p w14:paraId="2CA8C083">
      <w:pPr>
        <w:spacing w:before="0" w:after="120" w:line="259" w:lineRule="auto"/>
        <w:ind w:firstLine="432"/>
      </w:pPr>
      <w:r>
        <w:rPr>
          <w:rFonts w:ascii="Arial" w:hAnsi="Arial"/>
          <w:b w:val="0"/>
          <w:color w:val="161616"/>
          <w:sz w:val="20"/>
        </w:rPr>
        <w:t>A release requires an approved model card, failure-case review, signed artifact, staged deployment, rollback, and monitoring plan. Production monitoring covers input/score drift, node density, calibration, false alarms, missed events, alert lead time, forecast containment, position error, hardware/firmware segments, and geography. New data can trigger retraining, but promotion remains a reviewed safety decision rather than an automatic pipeline step.</w:t>
      </w:r>
    </w:p>
    <w:p w14:paraId="32E532CD">
      <w:pPr>
        <w:keepNext/>
        <w:spacing w:before="220" w:after="100"/>
      </w:pPr>
      <w:r>
        <w:rPr>
          <w:rFonts w:ascii="Arial" w:hAnsi="Arial"/>
          <w:b/>
          <w:color w:val="15858A"/>
          <w:sz w:val="23"/>
        </w:rPr>
        <w:t>4.4 Data Quality &amp; Cleaning: How will you ensure the data is accurate and relevant?</w:t>
      </w:r>
    </w:p>
    <w:p w14:paraId="18BA21E5">
      <w:pPr>
        <w:spacing w:before="0" w:after="120" w:line="259" w:lineRule="auto"/>
        <w:ind w:firstLine="432"/>
      </w:pPr>
      <w:r>
        <w:rPr>
          <w:rFonts w:ascii="Arial" w:hAnsi="Arial"/>
          <w:b w:val="0"/>
          <w:color w:val="161616"/>
          <w:sz w:val="20"/>
        </w:rPr>
        <w:t>Accuracy is enforced through schema validation, physical range checks, calibration state, timestamp/sequence checks, GNSS quality, cross-sensor consistency, duplicate/replay detection, and explicit freshness. A pressure jump inconsistent with nearby nodes, an impossible coordinate, a GNSS speed jump, an uncalibrated IMU, or a gateway replay is rejected or quarantined rather than silently entering a model dataset. Missing values remain marked with their reason and age; they are never converted into apparently measured values without provenance.</w:t>
      </w:r>
    </w:p>
    <w:p w14:paraId="7C92F8F0">
      <w:pPr>
        <w:spacing w:before="0" w:after="120" w:line="259" w:lineRule="auto"/>
        <w:ind w:firstLine="432"/>
      </w:pPr>
      <w:r>
        <w:rPr>
          <w:rFonts w:ascii="Arial" w:hAnsi="Arial"/>
          <w:b w:val="0"/>
          <w:color w:val="161616"/>
          <w:sz w:val="20"/>
        </w:rPr>
        <w:t>Relevance is enforced by operational context. Routine vessel movement cannot be used as a direct current measurement without filtering for powered motion, fishing activity, windage, and uncertainty. Neighbor corroboration is weighted by distance, time, sensor health, and independence. Weather alerts and forecasts retain their source and issue/expiry time. Search observations include area, time, conditions, asset, and assumed detection probability so a negative report is not treated as certain absence.</w:t>
      </w:r>
    </w:p>
    <w:p w14:paraId="138ABB46">
      <w:pPr>
        <w:spacing w:before="0" w:after="120" w:line="259" w:lineRule="auto"/>
        <w:ind w:firstLine="432"/>
      </w:pPr>
      <w:r>
        <w:rPr>
          <w:rFonts w:ascii="Arial" w:hAnsi="Arial"/>
          <w:b w:val="0"/>
          <w:color w:val="161616"/>
          <w:sz w:val="20"/>
        </w:rPr>
        <w:t>Quality monitoring is continuous. Fleet dashboards expose sensor faults, weak power, old firmware, gateway backlog, unusual packet loss, sparse pressure cells, and stale environmental inputs. Dataset reports compare coverage by municipality, vessel type, weather regime, node/firmware version, and season. When data support is insufficient, the system lowers confidence or withholds a model alert instead of manufacturing precision.</w:t>
      </w:r>
    </w:p>
    <w:p w14:paraId="56EB560F">
      <w:pPr>
        <w:keepNext/>
        <w:spacing w:before="220" w:after="100"/>
      </w:pPr>
      <w:r>
        <w:rPr>
          <w:rFonts w:ascii="Arial" w:hAnsi="Arial"/>
          <w:b/>
          <w:color w:val="15858A"/>
          <w:sz w:val="23"/>
        </w:rPr>
        <w:t>4.5 System Limitations</w:t>
      </w:r>
    </w:p>
    <w:p w14:paraId="3952D4E8">
      <w:pPr>
        <w:spacing w:before="0" w:after="120" w:line="259" w:lineRule="auto"/>
        <w:ind w:firstLine="432"/>
      </w:pPr>
      <w:r>
        <w:t>AqOne depends on pod availability, gateway placement, and measured radio geometry. A pod with no direct or relayed path cannot deliver immediately, although it continues to store and retry critical events. LoRa performance depends on antenna installation, sea state, pod position, optional relay placement, interference, regulatory limits, and the tall gateway's height; realistic offshore range and duty cycle remain field-test questions. A broken power connection, damaged antenna, flooded enclosure, sensor drift, or outdated firmware can create a coverage and detection gap despite software health checks.</w:t>
      </w:r>
    </w:p>
    <w:p w14:paraId="1EE59E82">
      <w:pPr>
        <w:spacing w:before="0" w:after="120" w:line="259" w:lineRule="auto"/>
        <w:ind w:firstLine="432"/>
      </w:pPr>
      <w:r>
        <w:rPr>
          <w:rFonts w:ascii="Arial" w:hAnsi="Arial"/>
          <w:b w:val="0"/>
          <w:color w:val="161616"/>
          <w:sz w:val="20"/>
        </w:rPr>
        <w:t>Automatic distress detection is probabilistic and may confuse extreme normal maneuvers with emergencies or miss unfamiliar incidents. Squall nowcasting is supplementary to official warnings until validated across representative weather seasons and densities. Drift forecasts narrow a search but cannot pinpoint a person: object class, wind/current error, uncertain incident time, and sub-kilometre coastal dynamics cause the distribution to spread. GPS traces improve local currents only after powered behavior is filtered and independent validation demonstrates benefit.</w:t>
      </w:r>
    </w:p>
    <w:p w14:paraId="108EDE60">
      <w:pPr>
        <w:spacing w:before="0" w:after="120" w:line="259" w:lineRule="auto"/>
        <w:ind w:firstLine="432"/>
      </w:pPr>
      <w:r>
        <w:rPr>
          <w:rFonts w:ascii="Arial" w:hAnsi="Arial"/>
          <w:b w:val="0"/>
          <w:color w:val="161616"/>
          <w:sz w:val="20"/>
        </w:rPr>
        <w:t>AqOne does not guarantee delivery, rescue, weather prediction, or survival; it supports earlier awareness and better-informed tasking. PCG retains incident command, and users must continue carrying required safety equipment and using available VHF, EPIRB, and official channels. The console must always show data age, uncertainty, coverage gaps, and degraded services so operators do not confuse an unavailable signal with a safe condition.</w:t>
      </w:r>
    </w:p>
    <w:p w14:paraId="50AB17EB">
      <w:pPr>
        <w:keepNext/>
        <w:spacing w:before="220" w:after="100"/>
      </w:pPr>
      <w:r>
        <w:rPr>
          <w:rFonts w:ascii="Arial" w:hAnsi="Arial"/>
          <w:b/>
          <w:color w:val="15858A"/>
          <w:sz w:val="23"/>
        </w:rPr>
        <w:t>4.6 Licensing &amp; Legality</w:t>
      </w:r>
    </w:p>
    <w:p w14:paraId="037A642E">
      <w:pPr>
        <w:spacing w:before="0" w:after="120" w:line="259" w:lineRule="auto"/>
        <w:ind w:firstLine="432"/>
      </w:pPr>
      <w:r>
        <w:rPr>
          <w:rFonts w:ascii="Arial" w:hAnsi="Arial"/>
          <w:b w:val="0"/>
          <w:color w:val="161616"/>
          <w:sz w:val="20"/>
        </w:rPr>
        <w:t>Production deployment requires confirmation of Philippine radio-frequency allocation, allowable power and duty cycle, equipment certification, maritime installation requirements, PCG/BFAR/LGU operating authority, and the licenses/terms for every weather, ocean, map, and notification source. The PRD's cited OpenDrift/Leeway framework and public information sources provide a technical starting point, not blanket permission for every operational use.</w:t>
      </w:r>
    </w:p>
    <w:p w14:paraId="6437C088">
      <w:pPr>
        <w:spacing w:before="0" w:after="120" w:line="259" w:lineRule="auto"/>
        <w:ind w:firstLine="432"/>
      </w:pPr>
      <w:r>
        <w:rPr>
          <w:rFonts w:ascii="Arial" w:hAnsi="Arial"/>
          <w:b w:val="0"/>
          <w:color w:val="161616"/>
          <w:sz w:val="20"/>
        </w:rPr>
        <w:t>Location and incident records are processed under the Philippine Data Privacy Act of 2012 principles of transparency, legitimate purpose, proportionality, security, and data-subject rights. AqOne should complete a privacy impact assessment, define legal bases and institutional roles, execute data-sharing agreements, minimize collection, separate identity from telemetry where practical, restrict raw-track access, define category-specific retention, encrypt appropriate data in transit and at rest, and document breach and deletion procedures. Family visibility must be explicit, limited, and revocable.</w:t>
      </w:r>
    </w:p>
    <w:p w14:paraId="624E8563">
      <w:pPr>
        <w:keepNext/>
        <w:spacing w:before="220" w:after="100"/>
      </w:pPr>
      <w:r>
        <w:rPr>
          <w:rFonts w:ascii="Arial" w:hAnsi="Arial"/>
          <w:b/>
          <w:color w:val="15858A"/>
          <w:sz w:val="23"/>
        </w:rPr>
        <w:t>4.7 Bias Mitigation &amp; Fairness</w:t>
      </w:r>
    </w:p>
    <w:p w14:paraId="43192AEC">
      <w:pPr>
        <w:spacing w:before="0" w:after="120" w:line="259" w:lineRule="auto"/>
        <w:ind w:firstLine="432"/>
      </w:pPr>
      <w:r>
        <w:rPr>
          <w:rFonts w:ascii="Arial" w:hAnsi="Arial"/>
          <w:b w:val="0"/>
          <w:color w:val="161616"/>
          <w:sz w:val="20"/>
        </w:rPr>
        <w:t>The principal fairness risk is unequal network and dataset density. Municipalities with fewer deployed nodes, weaker gateways, fewer controlled trials, or less environmental coverage may receive slower delivery, weaker corroboration, poorer nowcasts, and less accurate local-current correction. Hardware placement and maintenance differences can create a second layer of bias: a model may appear worse for a community when the actual cause is antenna installation, power reliability, firmware age, or gateway geometry.</w:t>
      </w:r>
    </w:p>
    <w:p w14:paraId="6D64DC05">
      <w:pPr>
        <w:spacing w:before="0" w:after="120" w:line="259" w:lineRule="auto"/>
        <w:ind w:firstLine="432"/>
      </w:pPr>
      <w:r>
        <w:rPr>
          <w:rFonts w:ascii="Arial" w:hAnsi="Arial"/>
          <w:b w:val="0"/>
          <w:color w:val="161616"/>
          <w:sz w:val="20"/>
        </w:rPr>
        <w:t>Mitigation therefore combines engineering and model governance. Pilot selection should include varied vessel types, coastal geography, weather regimes, and operator practices. Performance is reported by municipality, water cell, density, vessel class, hardware/firmware, and coverage state, not only as one national average. Confidence reflects data support and freshness; sparse areas receive explicit lower-confidence or unavailable states. Procurement and deployment are organized by fleet cluster to avoid leaving individual low-income fishers with isolated, ineffective nodes.</w:t>
      </w:r>
    </w:p>
    <w:p w14:paraId="64DFE7CA">
      <w:pPr>
        <w:keepNext/>
        <w:spacing w:before="220" w:after="100"/>
      </w:pPr>
      <w:r>
        <w:rPr>
          <w:rFonts w:ascii="Arial" w:hAnsi="Arial"/>
          <w:b/>
          <w:color w:val="15858A"/>
          <w:sz w:val="23"/>
        </w:rPr>
        <w:t>4.8 Ethics and Risk Register</w:t>
      </w:r>
    </w:p>
    <w:tbl>
      <w:tblPr>
        <w:tblStyle w:val="12"/>
        <w:tblW w:w="0" w:type="auto"/>
        <w:jc w:val="center"/>
        <w:tblLayout w:type="fixed"/>
        <w:tblCellMar>
          <w:top w:w="0" w:type="dxa"/>
          <w:left w:w="108" w:type="dxa"/>
          <w:bottom w:w="0" w:type="dxa"/>
          <w:right w:w="108" w:type="dxa"/>
        </w:tblCellMar>
      </w:tblPr>
      <w:tblGrid>
        <w:gridCol w:w="2401"/>
        <w:gridCol w:w="2401"/>
        <w:gridCol w:w="2401"/>
        <w:gridCol w:w="2401"/>
      </w:tblGrid>
      <w:tr w14:paraId="0FC1AFFC">
        <w:tblPrEx>
          <w:tblCellMar>
            <w:top w:w="0" w:type="dxa"/>
            <w:left w:w="108" w:type="dxa"/>
            <w:bottom w:w="0" w:type="dxa"/>
            <w:right w:w="108" w:type="dxa"/>
          </w:tblCellMar>
        </w:tblPrEx>
        <w:trPr>
          <w:tblHeader/>
          <w:jc w:val="center"/>
        </w:trPr>
        <w:tc>
          <w:tcPr>
            <w:tcW w:w="1656" w:type="dxa"/>
            <w:shd w:val="clear" w:color="auto" w:fill="123B5D"/>
            <w:tcMar>
              <w:top w:w="85" w:type="dxa"/>
              <w:left w:w="100" w:type="dxa"/>
              <w:bottom w:w="85" w:type="dxa"/>
              <w:right w:w="100" w:type="dxa"/>
            </w:tcMar>
            <w:vAlign w:val="center"/>
          </w:tcPr>
          <w:p w14:paraId="28B84E33">
            <w:pPr>
              <w:spacing w:after="0" w:line="240" w:lineRule="auto"/>
              <w:jc w:val="left"/>
            </w:pPr>
            <w:r>
              <w:rPr>
                <w:rFonts w:ascii="Arial" w:hAnsi="Arial"/>
                <w:b/>
                <w:color w:val="FFFFFF"/>
                <w:sz w:val="16"/>
              </w:rPr>
              <w:t>Risk</w:t>
            </w:r>
          </w:p>
        </w:tc>
        <w:tc>
          <w:tcPr>
            <w:tcW w:w="2448" w:type="dxa"/>
            <w:shd w:val="clear" w:color="auto" w:fill="123B5D"/>
            <w:tcMar>
              <w:top w:w="85" w:type="dxa"/>
              <w:left w:w="100" w:type="dxa"/>
              <w:bottom w:w="85" w:type="dxa"/>
              <w:right w:w="100" w:type="dxa"/>
            </w:tcMar>
            <w:vAlign w:val="center"/>
          </w:tcPr>
          <w:p w14:paraId="4BCD55BD">
            <w:pPr>
              <w:spacing w:after="0" w:line="240" w:lineRule="auto"/>
              <w:jc w:val="left"/>
            </w:pPr>
            <w:r>
              <w:rPr>
                <w:rFonts w:ascii="Arial" w:hAnsi="Arial"/>
                <w:b/>
                <w:color w:val="FFFFFF"/>
                <w:sz w:val="16"/>
              </w:rPr>
              <w:t>Why It Exists</w:t>
            </w:r>
          </w:p>
        </w:tc>
        <w:tc>
          <w:tcPr>
            <w:tcW w:w="2232" w:type="dxa"/>
            <w:shd w:val="clear" w:color="auto" w:fill="123B5D"/>
            <w:tcMar>
              <w:top w:w="85" w:type="dxa"/>
              <w:left w:w="100" w:type="dxa"/>
              <w:bottom w:w="85" w:type="dxa"/>
              <w:right w:w="100" w:type="dxa"/>
            </w:tcMar>
            <w:vAlign w:val="center"/>
          </w:tcPr>
          <w:p w14:paraId="4C2EA294">
            <w:pPr>
              <w:spacing w:after="0" w:line="240" w:lineRule="auto"/>
              <w:jc w:val="left"/>
            </w:pPr>
            <w:r>
              <w:rPr>
                <w:rFonts w:ascii="Arial" w:hAnsi="Arial"/>
                <w:b/>
                <w:color w:val="FFFFFF"/>
                <w:sz w:val="16"/>
              </w:rPr>
              <w:t>Impact</w:t>
            </w:r>
          </w:p>
        </w:tc>
        <w:tc>
          <w:tcPr>
            <w:tcW w:w="3240" w:type="dxa"/>
            <w:shd w:val="clear" w:color="auto" w:fill="123B5D"/>
            <w:tcMar>
              <w:top w:w="85" w:type="dxa"/>
              <w:left w:w="100" w:type="dxa"/>
              <w:bottom w:w="85" w:type="dxa"/>
              <w:right w:w="100" w:type="dxa"/>
            </w:tcMar>
            <w:vAlign w:val="center"/>
          </w:tcPr>
          <w:p w14:paraId="4E07DF48">
            <w:pPr>
              <w:spacing w:after="0" w:line="240" w:lineRule="auto"/>
              <w:jc w:val="left"/>
            </w:pPr>
            <w:r>
              <w:rPr>
                <w:rFonts w:ascii="Arial" w:hAnsi="Arial"/>
                <w:b/>
                <w:color w:val="FFFFFF"/>
                <w:sz w:val="16"/>
              </w:rPr>
              <w:t>Mitigation</w:t>
            </w:r>
          </w:p>
        </w:tc>
      </w:tr>
      <w:tr w14:paraId="5DAD52FF">
        <w:tblPrEx>
          <w:tblCellMar>
            <w:top w:w="0" w:type="dxa"/>
            <w:left w:w="108" w:type="dxa"/>
            <w:bottom w:w="0" w:type="dxa"/>
            <w:right w:w="108" w:type="dxa"/>
          </w:tblCellMar>
        </w:tblPrEx>
        <w:trPr>
          <w:jc w:val="center"/>
        </w:trPr>
        <w:tc>
          <w:tcPr>
            <w:tcW w:w="1656" w:type="dxa"/>
            <w:shd w:val="clear" w:color="auto" w:fill="FFFFFF"/>
            <w:tcMar>
              <w:top w:w="85" w:type="dxa"/>
              <w:left w:w="100" w:type="dxa"/>
              <w:bottom w:w="85" w:type="dxa"/>
              <w:right w:w="100" w:type="dxa"/>
            </w:tcMar>
            <w:vAlign w:val="center"/>
          </w:tcPr>
          <w:p w14:paraId="43EAFF67">
            <w:pPr>
              <w:spacing w:after="0" w:line="240" w:lineRule="auto"/>
              <w:jc w:val="left"/>
            </w:pPr>
            <w:r>
              <w:rPr>
                <w:rFonts w:ascii="Arial" w:hAnsi="Arial"/>
                <w:b w:val="0"/>
                <w:color w:val="161616"/>
                <w:sz w:val="16"/>
              </w:rPr>
              <w:t>Insufficient mesh density</w:t>
            </w:r>
          </w:p>
        </w:tc>
        <w:tc>
          <w:tcPr>
            <w:tcW w:w="2448" w:type="dxa"/>
            <w:shd w:val="clear" w:color="auto" w:fill="FFFFFF"/>
            <w:tcMar>
              <w:top w:w="85" w:type="dxa"/>
              <w:left w:w="100" w:type="dxa"/>
              <w:bottom w:w="85" w:type="dxa"/>
              <w:right w:w="100" w:type="dxa"/>
            </w:tcMar>
            <w:vAlign w:val="center"/>
          </w:tcPr>
          <w:p w14:paraId="18162A99">
            <w:pPr>
              <w:spacing w:after="0" w:line="240" w:lineRule="auto"/>
              <w:jc w:val="left"/>
            </w:pPr>
            <w:r>
              <w:rPr>
                <w:rFonts w:ascii="Arial" w:hAnsi="Arial"/>
                <w:b w:val="0"/>
                <w:color w:val="161616"/>
                <w:sz w:val="16"/>
              </w:rPr>
              <w:t>Coverage depends on moving fleet geometry and gateway reach</w:t>
            </w:r>
          </w:p>
        </w:tc>
        <w:tc>
          <w:tcPr>
            <w:tcW w:w="2232" w:type="dxa"/>
            <w:shd w:val="clear" w:color="auto" w:fill="FFFFFF"/>
            <w:tcMar>
              <w:top w:w="85" w:type="dxa"/>
              <w:left w:w="100" w:type="dxa"/>
              <w:bottom w:w="85" w:type="dxa"/>
              <w:right w:w="100" w:type="dxa"/>
            </w:tcMar>
            <w:vAlign w:val="center"/>
          </w:tcPr>
          <w:p w14:paraId="220FB565">
            <w:pPr>
              <w:spacing w:after="0" w:line="240" w:lineRule="auto"/>
              <w:jc w:val="left"/>
            </w:pPr>
            <w:r>
              <w:rPr>
                <w:rFonts w:ascii="Arial" w:hAnsi="Arial"/>
                <w:b w:val="0"/>
                <w:color w:val="161616"/>
                <w:sz w:val="16"/>
              </w:rPr>
              <w:t>Delayed or unavailable messages and weaker sensor fields</w:t>
            </w:r>
          </w:p>
        </w:tc>
        <w:tc>
          <w:tcPr>
            <w:tcW w:w="3240" w:type="dxa"/>
            <w:shd w:val="clear" w:color="auto" w:fill="FFFFFF"/>
            <w:tcMar>
              <w:top w:w="85" w:type="dxa"/>
              <w:left w:w="100" w:type="dxa"/>
              <w:bottom w:w="85" w:type="dxa"/>
              <w:right w:w="100" w:type="dxa"/>
            </w:tcMar>
            <w:vAlign w:val="center"/>
          </w:tcPr>
          <w:p w14:paraId="7A26423F">
            <w:pPr>
              <w:spacing w:after="0" w:line="240" w:lineRule="auto"/>
              <w:jc w:val="left"/>
            </w:pPr>
            <w:r>
              <w:rPr>
                <w:rFonts w:ascii="Arial" w:hAnsi="Arial"/>
                <w:b w:val="0"/>
                <w:color w:val="161616"/>
                <w:sz w:val="16"/>
              </w:rPr>
              <w:t>Fleet-cluster deployment; overlapping gateways; density/range trials; truthful coverage display and offline retry.</w:t>
            </w:r>
          </w:p>
        </w:tc>
      </w:tr>
      <w:tr w14:paraId="5CC6EE1E">
        <w:tblPrEx>
          <w:tblCellMar>
            <w:top w:w="0" w:type="dxa"/>
            <w:left w:w="108" w:type="dxa"/>
            <w:bottom w:w="0" w:type="dxa"/>
            <w:right w:w="108" w:type="dxa"/>
          </w:tblCellMar>
        </w:tblPrEx>
        <w:trPr>
          <w:jc w:val="center"/>
        </w:trPr>
        <w:tc>
          <w:tcPr>
            <w:tcW w:w="1656" w:type="dxa"/>
            <w:shd w:val="clear" w:color="auto" w:fill="F7F7F7"/>
            <w:tcMar>
              <w:top w:w="85" w:type="dxa"/>
              <w:left w:w="100" w:type="dxa"/>
              <w:bottom w:w="85" w:type="dxa"/>
              <w:right w:w="100" w:type="dxa"/>
            </w:tcMar>
            <w:vAlign w:val="center"/>
          </w:tcPr>
          <w:p w14:paraId="653F7706">
            <w:pPr>
              <w:spacing w:after="0" w:line="240" w:lineRule="auto"/>
              <w:jc w:val="left"/>
            </w:pPr>
            <w:r>
              <w:rPr>
                <w:rFonts w:ascii="Arial" w:hAnsi="Arial"/>
                <w:b w:val="0"/>
                <w:color w:val="161616"/>
                <w:sz w:val="16"/>
              </w:rPr>
              <w:t>False distress alarm</w:t>
            </w:r>
          </w:p>
        </w:tc>
        <w:tc>
          <w:tcPr>
            <w:tcW w:w="2448" w:type="dxa"/>
            <w:shd w:val="clear" w:color="auto" w:fill="F7F7F7"/>
            <w:tcMar>
              <w:top w:w="85" w:type="dxa"/>
              <w:left w:w="100" w:type="dxa"/>
              <w:bottom w:w="85" w:type="dxa"/>
              <w:right w:w="100" w:type="dxa"/>
            </w:tcMar>
            <w:vAlign w:val="center"/>
          </w:tcPr>
          <w:p w14:paraId="4E92CC10">
            <w:pPr>
              <w:spacing w:after="0" w:line="240" w:lineRule="auto"/>
              <w:jc w:val="left"/>
            </w:pPr>
            <w:r>
              <w:rPr>
                <w:rFonts w:ascii="Arial" w:hAnsi="Arial"/>
                <w:b w:val="0"/>
                <w:color w:val="161616"/>
                <w:sz w:val="16"/>
              </w:rPr>
              <w:t>Normal motion, weather or radio loss resembles an incident</w:t>
            </w:r>
          </w:p>
        </w:tc>
        <w:tc>
          <w:tcPr>
            <w:tcW w:w="2232" w:type="dxa"/>
            <w:shd w:val="clear" w:color="auto" w:fill="F7F7F7"/>
            <w:tcMar>
              <w:top w:w="85" w:type="dxa"/>
              <w:left w:w="100" w:type="dxa"/>
              <w:bottom w:w="85" w:type="dxa"/>
              <w:right w:w="100" w:type="dxa"/>
            </w:tcMar>
            <w:vAlign w:val="center"/>
          </w:tcPr>
          <w:p w14:paraId="764CDA21">
            <w:pPr>
              <w:spacing w:after="0" w:line="240" w:lineRule="auto"/>
              <w:jc w:val="left"/>
            </w:pPr>
            <w:r>
              <w:rPr>
                <w:rFonts w:ascii="Arial" w:hAnsi="Arial"/>
                <w:b w:val="0"/>
                <w:color w:val="161616"/>
                <w:sz w:val="16"/>
              </w:rPr>
              <w:t>Responder fatigue and eventual loss of trust</w:t>
            </w:r>
          </w:p>
        </w:tc>
        <w:tc>
          <w:tcPr>
            <w:tcW w:w="3240" w:type="dxa"/>
            <w:shd w:val="clear" w:color="auto" w:fill="F7F7F7"/>
            <w:tcMar>
              <w:top w:w="85" w:type="dxa"/>
              <w:left w:w="100" w:type="dxa"/>
              <w:bottom w:w="85" w:type="dxa"/>
              <w:right w:w="100" w:type="dxa"/>
            </w:tcMar>
            <w:vAlign w:val="center"/>
          </w:tcPr>
          <w:p w14:paraId="213DC505">
            <w:pPr>
              <w:spacing w:after="0" w:line="240" w:lineRule="auto"/>
              <w:jc w:val="left"/>
            </w:pPr>
            <w:r>
              <w:rPr>
                <w:rFonts w:ascii="Arial" w:hAnsi="Arial"/>
                <w:b w:val="0"/>
                <w:color w:val="161616"/>
                <w:sz w:val="16"/>
              </w:rPr>
              <w:t>Multi-signal confidence fusion; neighbor corroboration; check-in before medium-confidence dispatch; tracked false-alarm budget.</w:t>
            </w:r>
          </w:p>
        </w:tc>
      </w:tr>
      <w:tr w14:paraId="059F7AA9">
        <w:tblPrEx>
          <w:tblCellMar>
            <w:top w:w="0" w:type="dxa"/>
            <w:left w:w="108" w:type="dxa"/>
            <w:bottom w:w="0" w:type="dxa"/>
            <w:right w:w="108" w:type="dxa"/>
          </w:tblCellMar>
        </w:tblPrEx>
        <w:trPr>
          <w:jc w:val="center"/>
        </w:trPr>
        <w:tc>
          <w:tcPr>
            <w:tcW w:w="1656" w:type="dxa"/>
            <w:shd w:val="clear" w:color="auto" w:fill="FFFFFF"/>
            <w:tcMar>
              <w:top w:w="85" w:type="dxa"/>
              <w:left w:w="100" w:type="dxa"/>
              <w:bottom w:w="85" w:type="dxa"/>
              <w:right w:w="100" w:type="dxa"/>
            </w:tcMar>
            <w:vAlign w:val="center"/>
          </w:tcPr>
          <w:p w14:paraId="764633A7">
            <w:pPr>
              <w:spacing w:after="0" w:line="240" w:lineRule="auto"/>
              <w:jc w:val="left"/>
            </w:pPr>
            <w:r>
              <w:rPr>
                <w:rFonts w:ascii="Arial" w:hAnsi="Arial"/>
                <w:b w:val="0"/>
                <w:color w:val="161616"/>
                <w:sz w:val="16"/>
              </w:rPr>
              <w:t>Missed distress event</w:t>
            </w:r>
          </w:p>
        </w:tc>
        <w:tc>
          <w:tcPr>
            <w:tcW w:w="2448" w:type="dxa"/>
            <w:shd w:val="clear" w:color="auto" w:fill="FFFFFF"/>
            <w:tcMar>
              <w:top w:w="85" w:type="dxa"/>
              <w:left w:w="100" w:type="dxa"/>
              <w:bottom w:w="85" w:type="dxa"/>
              <w:right w:w="100" w:type="dxa"/>
            </w:tcMar>
            <w:vAlign w:val="center"/>
          </w:tcPr>
          <w:p w14:paraId="0A07E26F">
            <w:pPr>
              <w:spacing w:after="0" w:line="240" w:lineRule="auto"/>
              <w:jc w:val="left"/>
            </w:pPr>
            <w:r>
              <w:rPr>
                <w:rFonts w:ascii="Arial" w:hAnsi="Arial"/>
                <w:b w:val="0"/>
                <w:color w:val="161616"/>
                <w:sz w:val="16"/>
              </w:rPr>
              <w:t>Unknown motion pattern, sensor/power failure or unavailable route</w:t>
            </w:r>
          </w:p>
        </w:tc>
        <w:tc>
          <w:tcPr>
            <w:tcW w:w="2232" w:type="dxa"/>
            <w:shd w:val="clear" w:color="auto" w:fill="FFFFFF"/>
            <w:tcMar>
              <w:top w:w="85" w:type="dxa"/>
              <w:left w:w="100" w:type="dxa"/>
              <w:bottom w:w="85" w:type="dxa"/>
              <w:right w:w="100" w:type="dxa"/>
            </w:tcMar>
            <w:vAlign w:val="center"/>
          </w:tcPr>
          <w:p w14:paraId="04E252C2">
            <w:pPr>
              <w:spacing w:after="0" w:line="240" w:lineRule="auto"/>
              <w:jc w:val="left"/>
            </w:pPr>
            <w:r>
              <w:rPr>
                <w:rFonts w:ascii="Arial" w:hAnsi="Arial"/>
                <w:b w:val="0"/>
                <w:color w:val="161616"/>
                <w:sz w:val="16"/>
              </w:rPr>
              <w:t>Delayed rescue and potential loss of life</w:t>
            </w:r>
          </w:p>
        </w:tc>
        <w:tc>
          <w:tcPr>
            <w:tcW w:w="3240" w:type="dxa"/>
            <w:shd w:val="clear" w:color="auto" w:fill="FFFFFF"/>
            <w:tcMar>
              <w:top w:w="85" w:type="dxa"/>
              <w:left w:w="100" w:type="dxa"/>
              <w:bottom w:w="85" w:type="dxa"/>
              <w:right w:w="100" w:type="dxa"/>
            </w:tcMar>
            <w:vAlign w:val="center"/>
          </w:tcPr>
          <w:p w14:paraId="6B979942">
            <w:pPr>
              <w:spacing w:after="0" w:line="240" w:lineRule="auto"/>
              <w:jc w:val="left"/>
            </w:pPr>
            <w:r>
              <w:rPr>
                <w:rFonts w:ascii="Arial" w:hAnsi="Arial"/>
                <w:b w:val="0"/>
                <w:color w:val="161616"/>
                <w:sz w:val="16"/>
              </w:rPr>
              <w:t>Guarded manual SOS; multiple detection paths; self-test/health alerts; hard-negative trials; maintenance and failure review.</w:t>
            </w:r>
          </w:p>
        </w:tc>
      </w:tr>
      <w:tr w14:paraId="180ECCCB">
        <w:tblPrEx>
          <w:tblCellMar>
            <w:top w:w="0" w:type="dxa"/>
            <w:left w:w="108" w:type="dxa"/>
            <w:bottom w:w="0" w:type="dxa"/>
            <w:right w:w="108" w:type="dxa"/>
          </w:tblCellMar>
        </w:tblPrEx>
        <w:trPr>
          <w:jc w:val="center"/>
        </w:trPr>
        <w:tc>
          <w:tcPr>
            <w:tcW w:w="1656" w:type="dxa"/>
            <w:shd w:val="clear" w:color="auto" w:fill="F7F7F7"/>
            <w:tcMar>
              <w:top w:w="85" w:type="dxa"/>
              <w:left w:w="100" w:type="dxa"/>
              <w:bottom w:w="85" w:type="dxa"/>
              <w:right w:w="100" w:type="dxa"/>
            </w:tcMar>
            <w:vAlign w:val="center"/>
          </w:tcPr>
          <w:p w14:paraId="63B40967">
            <w:pPr>
              <w:spacing w:after="0" w:line="240" w:lineRule="auto"/>
              <w:jc w:val="left"/>
            </w:pPr>
            <w:r>
              <w:rPr>
                <w:rFonts w:ascii="Arial" w:hAnsi="Arial"/>
                <w:b w:val="0"/>
                <w:color w:val="161616"/>
                <w:sz w:val="16"/>
              </w:rPr>
              <w:t>Drift forecast error</w:t>
            </w:r>
          </w:p>
        </w:tc>
        <w:tc>
          <w:tcPr>
            <w:tcW w:w="2448" w:type="dxa"/>
            <w:shd w:val="clear" w:color="auto" w:fill="F7F7F7"/>
            <w:tcMar>
              <w:top w:w="85" w:type="dxa"/>
              <w:left w:w="100" w:type="dxa"/>
              <w:bottom w:w="85" w:type="dxa"/>
              <w:right w:w="100" w:type="dxa"/>
            </w:tcMar>
            <w:vAlign w:val="center"/>
          </w:tcPr>
          <w:p w14:paraId="4E4AC88A">
            <w:pPr>
              <w:spacing w:after="0" w:line="240" w:lineRule="auto"/>
              <w:jc w:val="left"/>
            </w:pPr>
            <w:r>
              <w:rPr>
                <w:rFonts w:ascii="Arial" w:hAnsi="Arial"/>
                <w:b w:val="0"/>
                <w:color w:val="161616"/>
                <w:sz w:val="16"/>
              </w:rPr>
              <w:t>Uncertain object class, coarse currents and incident state</w:t>
            </w:r>
          </w:p>
        </w:tc>
        <w:tc>
          <w:tcPr>
            <w:tcW w:w="2232" w:type="dxa"/>
            <w:shd w:val="clear" w:color="auto" w:fill="F7F7F7"/>
            <w:tcMar>
              <w:top w:w="85" w:type="dxa"/>
              <w:left w:w="100" w:type="dxa"/>
              <w:bottom w:w="85" w:type="dxa"/>
              <w:right w:w="100" w:type="dxa"/>
            </w:tcMar>
            <w:vAlign w:val="center"/>
          </w:tcPr>
          <w:p w14:paraId="5EC58FD0">
            <w:pPr>
              <w:spacing w:after="0" w:line="240" w:lineRule="auto"/>
              <w:jc w:val="left"/>
            </w:pPr>
            <w:r>
              <w:rPr>
                <w:rFonts w:ascii="Arial" w:hAnsi="Arial"/>
                <w:b w:val="0"/>
                <w:color w:val="161616"/>
                <w:sz w:val="16"/>
              </w:rPr>
              <w:t>Search assets assigned to low-probability water</w:t>
            </w:r>
          </w:p>
        </w:tc>
        <w:tc>
          <w:tcPr>
            <w:tcW w:w="3240" w:type="dxa"/>
            <w:shd w:val="clear" w:color="auto" w:fill="F7F7F7"/>
            <w:tcMar>
              <w:top w:w="85" w:type="dxa"/>
              <w:left w:w="100" w:type="dxa"/>
              <w:bottom w:w="85" w:type="dxa"/>
              <w:right w:w="100" w:type="dxa"/>
            </w:tcMar>
            <w:vAlign w:val="center"/>
          </w:tcPr>
          <w:p w14:paraId="4EF4C46B">
            <w:pPr>
              <w:spacing w:after="0" w:line="240" w:lineRule="auto"/>
              <w:jc w:val="left"/>
            </w:pPr>
            <w:r>
              <w:rPr>
                <w:rFonts w:ascii="Arial" w:hAnsi="Arial"/>
                <w:b w:val="0"/>
                <w:color w:val="161616"/>
                <w:sz w:val="16"/>
              </w:rPr>
              <w:t>Physical baseline; ensembles and uncertainty; validated local residual only; responder override; recovery-position evaluation.</w:t>
            </w:r>
          </w:p>
        </w:tc>
      </w:tr>
      <w:tr w14:paraId="7DA1DEE0">
        <w:tblPrEx>
          <w:tblCellMar>
            <w:top w:w="0" w:type="dxa"/>
            <w:left w:w="108" w:type="dxa"/>
            <w:bottom w:w="0" w:type="dxa"/>
            <w:right w:w="108" w:type="dxa"/>
          </w:tblCellMar>
        </w:tblPrEx>
        <w:trPr>
          <w:jc w:val="center"/>
        </w:trPr>
        <w:tc>
          <w:tcPr>
            <w:tcW w:w="1656" w:type="dxa"/>
            <w:shd w:val="clear" w:color="auto" w:fill="FFFFFF"/>
            <w:tcMar>
              <w:top w:w="85" w:type="dxa"/>
              <w:left w:w="100" w:type="dxa"/>
              <w:bottom w:w="85" w:type="dxa"/>
              <w:right w:w="100" w:type="dxa"/>
            </w:tcMar>
            <w:vAlign w:val="center"/>
          </w:tcPr>
          <w:p w14:paraId="79D3265F">
            <w:pPr>
              <w:spacing w:after="0" w:line="240" w:lineRule="auto"/>
              <w:jc w:val="left"/>
            </w:pPr>
            <w:r>
              <w:rPr>
                <w:rFonts w:ascii="Arial" w:hAnsi="Arial"/>
                <w:b w:val="0"/>
                <w:color w:val="161616"/>
                <w:sz w:val="16"/>
              </w:rPr>
              <w:t>Security compromise</w:t>
            </w:r>
          </w:p>
        </w:tc>
        <w:tc>
          <w:tcPr>
            <w:tcW w:w="2448" w:type="dxa"/>
            <w:shd w:val="clear" w:color="auto" w:fill="FFFFFF"/>
            <w:tcMar>
              <w:top w:w="85" w:type="dxa"/>
              <w:left w:w="100" w:type="dxa"/>
              <w:bottom w:w="85" w:type="dxa"/>
              <w:right w:w="100" w:type="dxa"/>
            </w:tcMar>
            <w:vAlign w:val="center"/>
          </w:tcPr>
          <w:p w14:paraId="1FE23DCE">
            <w:pPr>
              <w:spacing w:after="0" w:line="240" w:lineRule="auto"/>
              <w:jc w:val="left"/>
            </w:pPr>
            <w:r>
              <w:rPr>
                <w:rFonts w:ascii="Arial" w:hAnsi="Arial"/>
                <w:b w:val="0"/>
                <w:color w:val="161616"/>
                <w:sz w:val="16"/>
              </w:rPr>
              <w:t>A forged node or malicious update can create alerts or expose tracks</w:t>
            </w:r>
          </w:p>
        </w:tc>
        <w:tc>
          <w:tcPr>
            <w:tcW w:w="2232" w:type="dxa"/>
            <w:shd w:val="clear" w:color="auto" w:fill="FFFFFF"/>
            <w:tcMar>
              <w:top w:w="85" w:type="dxa"/>
              <w:left w:w="100" w:type="dxa"/>
              <w:bottom w:w="85" w:type="dxa"/>
              <w:right w:w="100" w:type="dxa"/>
            </w:tcMar>
            <w:vAlign w:val="center"/>
          </w:tcPr>
          <w:p w14:paraId="1249DB41">
            <w:pPr>
              <w:spacing w:after="0" w:line="240" w:lineRule="auto"/>
              <w:jc w:val="left"/>
            </w:pPr>
            <w:r>
              <w:rPr>
                <w:rFonts w:ascii="Arial" w:hAnsi="Arial"/>
                <w:b w:val="0"/>
                <w:color w:val="161616"/>
                <w:sz w:val="16"/>
              </w:rPr>
              <w:t>False dispatch, surveillance or network disruption</w:t>
            </w:r>
          </w:p>
        </w:tc>
        <w:tc>
          <w:tcPr>
            <w:tcW w:w="3240" w:type="dxa"/>
            <w:shd w:val="clear" w:color="auto" w:fill="FFFFFF"/>
            <w:tcMar>
              <w:top w:w="85" w:type="dxa"/>
              <w:left w:w="100" w:type="dxa"/>
              <w:bottom w:w="85" w:type="dxa"/>
              <w:right w:w="100" w:type="dxa"/>
            </w:tcMar>
            <w:vAlign w:val="center"/>
          </w:tcPr>
          <w:p w14:paraId="18E4148F">
            <w:pPr>
              <w:spacing w:after="0" w:line="240" w:lineRule="auto"/>
              <w:jc w:val="left"/>
            </w:pPr>
            <w:r>
              <w:rPr>
                <w:rFonts w:ascii="Arial" w:hAnsi="Arial"/>
                <w:b w:val="0"/>
                <w:color w:val="161616"/>
                <w:sz w:val="16"/>
              </w:rPr>
              <w:t>Provisioned identity; packet authentication/replay protection; signed firmware; revocation; least privilege; audit and security testing.</w:t>
            </w:r>
          </w:p>
        </w:tc>
      </w:tr>
      <w:tr w14:paraId="0498B73C">
        <w:tblPrEx>
          <w:tblCellMar>
            <w:top w:w="0" w:type="dxa"/>
            <w:left w:w="108" w:type="dxa"/>
            <w:bottom w:w="0" w:type="dxa"/>
            <w:right w:w="108" w:type="dxa"/>
          </w:tblCellMar>
        </w:tblPrEx>
        <w:trPr>
          <w:jc w:val="center"/>
        </w:trPr>
        <w:tc>
          <w:tcPr>
            <w:tcW w:w="1656" w:type="dxa"/>
            <w:shd w:val="clear" w:color="auto" w:fill="F7F7F7"/>
            <w:tcMar>
              <w:top w:w="85" w:type="dxa"/>
              <w:left w:w="100" w:type="dxa"/>
              <w:bottom w:w="85" w:type="dxa"/>
              <w:right w:w="100" w:type="dxa"/>
            </w:tcMar>
            <w:vAlign w:val="center"/>
          </w:tcPr>
          <w:p w14:paraId="67B237E3">
            <w:pPr>
              <w:spacing w:after="0" w:line="240" w:lineRule="auto"/>
              <w:jc w:val="left"/>
            </w:pPr>
            <w:r>
              <w:rPr>
                <w:rFonts w:ascii="Arial" w:hAnsi="Arial"/>
                <w:b w:val="0"/>
                <w:color w:val="161616"/>
                <w:sz w:val="16"/>
              </w:rPr>
              <w:t>Privacy/surveillance misuse</w:t>
            </w:r>
          </w:p>
        </w:tc>
        <w:tc>
          <w:tcPr>
            <w:tcW w:w="2448" w:type="dxa"/>
            <w:shd w:val="clear" w:color="auto" w:fill="F7F7F7"/>
            <w:tcMar>
              <w:top w:w="85" w:type="dxa"/>
              <w:left w:w="100" w:type="dxa"/>
              <w:bottom w:w="85" w:type="dxa"/>
              <w:right w:w="100" w:type="dxa"/>
            </w:tcMar>
            <w:vAlign w:val="center"/>
          </w:tcPr>
          <w:p w14:paraId="7A3273FE">
            <w:pPr>
              <w:spacing w:after="0" w:line="240" w:lineRule="auto"/>
              <w:jc w:val="left"/>
            </w:pPr>
            <w:r>
              <w:rPr>
                <w:rFonts w:ascii="Arial" w:hAnsi="Arial"/>
                <w:b w:val="0"/>
                <w:color w:val="161616"/>
                <w:sz w:val="16"/>
              </w:rPr>
              <w:t>Geotagged safety data reveals fishing and livelihood patterns</w:t>
            </w:r>
          </w:p>
        </w:tc>
        <w:tc>
          <w:tcPr>
            <w:tcW w:w="2232" w:type="dxa"/>
            <w:shd w:val="clear" w:color="auto" w:fill="F7F7F7"/>
            <w:tcMar>
              <w:top w:w="85" w:type="dxa"/>
              <w:left w:w="100" w:type="dxa"/>
              <w:bottom w:w="85" w:type="dxa"/>
              <w:right w:w="100" w:type="dxa"/>
            </w:tcMar>
            <w:vAlign w:val="center"/>
          </w:tcPr>
          <w:p w14:paraId="72825416">
            <w:pPr>
              <w:spacing w:after="0" w:line="240" w:lineRule="auto"/>
              <w:jc w:val="left"/>
            </w:pPr>
            <w:r>
              <w:rPr>
                <w:rFonts w:ascii="Arial" w:hAnsi="Arial"/>
                <w:b w:val="0"/>
                <w:color w:val="161616"/>
                <w:sz w:val="16"/>
              </w:rPr>
              <w:t>Fisher harm, low adoption and legal exposure</w:t>
            </w:r>
          </w:p>
        </w:tc>
        <w:tc>
          <w:tcPr>
            <w:tcW w:w="3240" w:type="dxa"/>
            <w:shd w:val="clear" w:color="auto" w:fill="F7F7F7"/>
            <w:tcMar>
              <w:top w:w="85" w:type="dxa"/>
              <w:left w:w="100" w:type="dxa"/>
              <w:bottom w:w="85" w:type="dxa"/>
              <w:right w:w="100" w:type="dxa"/>
            </w:tcMar>
            <w:vAlign w:val="center"/>
          </w:tcPr>
          <w:p w14:paraId="197F15D9">
            <w:pPr>
              <w:spacing w:after="0" w:line="240" w:lineRule="auto"/>
              <w:jc w:val="left"/>
            </w:pPr>
            <w:r>
              <w:rPr>
                <w:rFonts w:ascii="Arial" w:hAnsi="Arial"/>
                <w:b w:val="0"/>
                <w:color w:val="161616"/>
                <w:sz w:val="16"/>
              </w:rPr>
              <w:t>Purpose limitation; no fisheries enforcement in v1; minimization, restricted access, retention, oversight and privacy assessment.</w:t>
            </w:r>
          </w:p>
        </w:tc>
      </w:tr>
      <w:tr w14:paraId="3AB929B9">
        <w:tblPrEx>
          <w:tblCellMar>
            <w:top w:w="0" w:type="dxa"/>
            <w:left w:w="108" w:type="dxa"/>
            <w:bottom w:w="0" w:type="dxa"/>
            <w:right w:w="108" w:type="dxa"/>
          </w:tblCellMar>
        </w:tblPrEx>
        <w:trPr>
          <w:jc w:val="center"/>
        </w:trPr>
        <w:tc>
          <w:tcPr>
            <w:tcW w:w="1656" w:type="dxa"/>
            <w:shd w:val="clear" w:color="auto" w:fill="FFFFFF"/>
            <w:tcMar>
              <w:top w:w="85" w:type="dxa"/>
              <w:left w:w="100" w:type="dxa"/>
              <w:bottom w:w="85" w:type="dxa"/>
              <w:right w:w="100" w:type="dxa"/>
            </w:tcMar>
            <w:vAlign w:val="center"/>
          </w:tcPr>
          <w:p w14:paraId="5D40BE11">
            <w:pPr>
              <w:spacing w:after="0" w:line="240" w:lineRule="auto"/>
              <w:jc w:val="left"/>
            </w:pPr>
            <w:r>
              <w:rPr>
                <w:rFonts w:ascii="Arial" w:hAnsi="Arial"/>
                <w:b w:val="0"/>
                <w:color w:val="161616"/>
                <w:sz w:val="16"/>
              </w:rPr>
              <w:t>Unequal performance</w:t>
            </w:r>
          </w:p>
        </w:tc>
        <w:tc>
          <w:tcPr>
            <w:tcW w:w="2448" w:type="dxa"/>
            <w:shd w:val="clear" w:color="auto" w:fill="FFFFFF"/>
            <w:tcMar>
              <w:top w:w="85" w:type="dxa"/>
              <w:left w:w="100" w:type="dxa"/>
              <w:bottom w:w="85" w:type="dxa"/>
              <w:right w:w="100" w:type="dxa"/>
            </w:tcMar>
            <w:vAlign w:val="center"/>
          </w:tcPr>
          <w:p w14:paraId="295798FC">
            <w:pPr>
              <w:spacing w:after="0" w:line="240" w:lineRule="auto"/>
              <w:jc w:val="left"/>
            </w:pPr>
            <w:r>
              <w:rPr>
                <w:rFonts w:ascii="Arial" w:hAnsi="Arial"/>
                <w:b w:val="0"/>
                <w:color w:val="161616"/>
                <w:sz w:val="16"/>
              </w:rPr>
              <w:t>Sparse deployments and fewer labeled trials in some regions</w:t>
            </w:r>
          </w:p>
        </w:tc>
        <w:tc>
          <w:tcPr>
            <w:tcW w:w="2232" w:type="dxa"/>
            <w:shd w:val="clear" w:color="auto" w:fill="FFFFFF"/>
            <w:tcMar>
              <w:top w:w="85" w:type="dxa"/>
              <w:left w:w="100" w:type="dxa"/>
              <w:bottom w:w="85" w:type="dxa"/>
              <w:right w:w="100" w:type="dxa"/>
            </w:tcMar>
            <w:vAlign w:val="center"/>
          </w:tcPr>
          <w:p w14:paraId="7DB2DBE3">
            <w:pPr>
              <w:spacing w:after="0" w:line="240" w:lineRule="auto"/>
              <w:jc w:val="left"/>
            </w:pPr>
            <w:r>
              <w:rPr>
                <w:rFonts w:ascii="Arial" w:hAnsi="Arial"/>
                <w:b w:val="0"/>
                <w:color w:val="161616"/>
                <w:sz w:val="16"/>
              </w:rPr>
              <w:t>Lower safety benefit for less-connected fleets</w:t>
            </w:r>
          </w:p>
        </w:tc>
        <w:tc>
          <w:tcPr>
            <w:tcW w:w="3240" w:type="dxa"/>
            <w:shd w:val="clear" w:color="auto" w:fill="FFFFFF"/>
            <w:tcMar>
              <w:top w:w="85" w:type="dxa"/>
              <w:left w:w="100" w:type="dxa"/>
              <w:bottom w:w="85" w:type="dxa"/>
              <w:right w:w="100" w:type="dxa"/>
            </w:tcMar>
            <w:vAlign w:val="center"/>
          </w:tcPr>
          <w:p w14:paraId="659C55BB">
            <w:pPr>
              <w:spacing w:after="0" w:line="240" w:lineRule="auto"/>
              <w:jc w:val="left"/>
            </w:pPr>
            <w:r>
              <w:rPr>
                <w:rFonts w:ascii="Arial" w:hAnsi="Arial"/>
                <w:b w:val="0"/>
                <w:color w:val="161616"/>
                <w:sz w:val="16"/>
              </w:rPr>
              <w:t>Representative pilots; subgroup/coverage reporting; confidence withholding; institutional fleet deployment and maintenance support.</w:t>
            </w:r>
          </w:p>
        </w:tc>
      </w:tr>
      <w:tr w14:paraId="5CFB3C0A">
        <w:tblPrEx>
          <w:tblCellMar>
            <w:top w:w="0" w:type="dxa"/>
            <w:left w:w="108" w:type="dxa"/>
            <w:bottom w:w="0" w:type="dxa"/>
            <w:right w:w="108" w:type="dxa"/>
          </w:tblCellMar>
        </w:tblPrEx>
        <w:trPr>
          <w:jc w:val="center"/>
        </w:trPr>
        <w:tc>
          <w:tcPr>
            <w:tcW w:w="1656" w:type="dxa"/>
            <w:shd w:val="clear" w:color="auto" w:fill="F7F7F7"/>
            <w:tcMar>
              <w:top w:w="85" w:type="dxa"/>
              <w:left w:w="100" w:type="dxa"/>
              <w:bottom w:w="85" w:type="dxa"/>
              <w:right w:w="100" w:type="dxa"/>
            </w:tcMar>
            <w:vAlign w:val="center"/>
          </w:tcPr>
          <w:p w14:paraId="482E9D49">
            <w:pPr>
              <w:spacing w:after="0" w:line="240" w:lineRule="auto"/>
              <w:jc w:val="left"/>
            </w:pPr>
            <w:r>
              <w:rPr>
                <w:rFonts w:ascii="Arial" w:hAnsi="Arial"/>
                <w:b w:val="0"/>
                <w:color w:val="161616"/>
                <w:sz w:val="16"/>
              </w:rPr>
              <w:t>Institutional workflow mismatch</w:t>
            </w:r>
          </w:p>
        </w:tc>
        <w:tc>
          <w:tcPr>
            <w:tcW w:w="2448" w:type="dxa"/>
            <w:shd w:val="clear" w:color="auto" w:fill="F7F7F7"/>
            <w:tcMar>
              <w:top w:w="85" w:type="dxa"/>
              <w:left w:w="100" w:type="dxa"/>
              <w:bottom w:w="85" w:type="dxa"/>
              <w:right w:w="100" w:type="dxa"/>
            </w:tcMar>
            <w:vAlign w:val="center"/>
          </w:tcPr>
          <w:p w14:paraId="78C11BB8">
            <w:pPr>
              <w:spacing w:after="0" w:line="240" w:lineRule="auto"/>
              <w:jc w:val="left"/>
            </w:pPr>
            <w:r>
              <w:rPr>
                <w:rFonts w:ascii="Arial" w:hAnsi="Arial"/>
                <w:b w:val="0"/>
                <w:color w:val="161616"/>
                <w:sz w:val="16"/>
              </w:rPr>
              <w:t>A technically valid alert may not match dispatch procedures</w:t>
            </w:r>
          </w:p>
        </w:tc>
        <w:tc>
          <w:tcPr>
            <w:tcW w:w="2232" w:type="dxa"/>
            <w:shd w:val="clear" w:color="auto" w:fill="F7F7F7"/>
            <w:tcMar>
              <w:top w:w="85" w:type="dxa"/>
              <w:left w:w="100" w:type="dxa"/>
              <w:bottom w:w="85" w:type="dxa"/>
              <w:right w:w="100" w:type="dxa"/>
            </w:tcMar>
            <w:vAlign w:val="center"/>
          </w:tcPr>
          <w:p w14:paraId="30FBE79A">
            <w:pPr>
              <w:spacing w:after="0" w:line="240" w:lineRule="auto"/>
              <w:jc w:val="left"/>
            </w:pPr>
            <w:r>
              <w:rPr>
                <w:rFonts w:ascii="Arial" w:hAnsi="Arial"/>
                <w:b w:val="0"/>
                <w:color w:val="161616"/>
                <w:sz w:val="16"/>
              </w:rPr>
              <w:t>Unacknowledged alerts and failed operational adoption</w:t>
            </w:r>
          </w:p>
        </w:tc>
        <w:tc>
          <w:tcPr>
            <w:tcW w:w="3240" w:type="dxa"/>
            <w:shd w:val="clear" w:color="auto" w:fill="F7F7F7"/>
            <w:tcMar>
              <w:top w:w="85" w:type="dxa"/>
              <w:left w:w="100" w:type="dxa"/>
              <w:bottom w:w="85" w:type="dxa"/>
              <w:right w:w="100" w:type="dxa"/>
            </w:tcMar>
            <w:vAlign w:val="center"/>
          </w:tcPr>
          <w:p w14:paraId="18A0E6D3">
            <w:pPr>
              <w:spacing w:after="0" w:line="240" w:lineRule="auto"/>
              <w:jc w:val="left"/>
            </w:pPr>
            <w:r>
              <w:rPr>
                <w:rFonts w:ascii="Arial" w:hAnsi="Arial"/>
                <w:b w:val="0"/>
                <w:color w:val="161616"/>
                <w:sz w:val="16"/>
              </w:rPr>
              <w:t>Co-design thresholds and states with PCG/BFAR/LGU; drills; named ownership; audit and post-incident review.</w:t>
            </w:r>
          </w:p>
        </w:tc>
      </w:tr>
    </w:tbl>
    <w:p w14:paraId="516B4CDD">
      <w:pPr>
        <w:spacing w:after="0"/>
      </w:pPr>
    </w:p>
    <w:p w14:paraId="7358BF98">
      <w:pPr>
        <w:keepNext/>
        <w:spacing w:before="220" w:after="100"/>
      </w:pPr>
      <w:r>
        <w:rPr>
          <w:rFonts w:ascii="Arial" w:hAnsi="Arial"/>
          <w:b/>
          <w:color w:val="15858A"/>
          <w:sz w:val="23"/>
        </w:rPr>
        <w:t>References</w:t>
      </w:r>
    </w:p>
    <w:p w14:paraId="55E5DAA4">
      <w:pPr>
        <w:pStyle w:val="23"/>
        <w:spacing w:after="60" w:line="252" w:lineRule="auto"/>
      </w:pPr>
      <w:r>
        <w:rPr>
          <w:rFonts w:ascii="Arial" w:hAnsi="Arial"/>
          <w:b w:val="0"/>
          <w:color w:val="161616"/>
          <w:sz w:val="19"/>
        </w:rPr>
        <w:t>Aqone. “Product Requirements Document.” Version 1.0, August 2026.</w:t>
      </w:r>
    </w:p>
    <w:p w14:paraId="2F636511">
      <w:pPr>
        <w:pStyle w:val="23"/>
        <w:spacing w:after="60" w:line="252" w:lineRule="auto"/>
      </w:pPr>
      <w:r>
        <w:rPr>
          <w:rFonts w:ascii="Arial" w:hAnsi="Arial"/>
          <w:b w:val="0"/>
          <w:color w:val="161616"/>
          <w:sz w:val="19"/>
        </w:rPr>
        <w:t>Bureau of Fisheries and Aquatic Resources. “Philippine Fisheries Profile 2022.” https://www.bfar.da.gov.ph/wp-content/uploads/2024/02/2022-Philippine-Fisheries-Profile.pdf</w:t>
      </w:r>
    </w:p>
    <w:p w14:paraId="00D2B463">
      <w:pPr>
        <w:pStyle w:val="23"/>
        <w:spacing w:after="60" w:line="252" w:lineRule="auto"/>
      </w:pPr>
      <w:r>
        <w:rPr>
          <w:rFonts w:ascii="Arial" w:hAnsi="Arial"/>
          <w:b w:val="0"/>
          <w:color w:val="161616"/>
          <w:sz w:val="19"/>
        </w:rPr>
        <w:t>Philippine Coast Guard. “Maritime Search and Rescue.” https://www.coastguard.gov.ph/index.php/transparency/functions/marsar</w:t>
      </w:r>
    </w:p>
    <w:p w14:paraId="71762476">
      <w:pPr>
        <w:pStyle w:val="23"/>
        <w:spacing w:after="60" w:line="252" w:lineRule="auto"/>
      </w:pPr>
      <w:r>
        <w:rPr>
          <w:rFonts w:ascii="Arial" w:hAnsi="Arial"/>
          <w:b w:val="0"/>
          <w:color w:val="161616"/>
          <w:sz w:val="19"/>
        </w:rPr>
        <w:t>OpenDrift. “Leeway Model Documentation.” https://opendrift.github.io/autoapi/opendrift/models/leeway/index.html</w:t>
      </w:r>
    </w:p>
    <w:p w14:paraId="658DAA71">
      <w:pPr>
        <w:pStyle w:val="23"/>
        <w:spacing w:after="60" w:line="252" w:lineRule="auto"/>
      </w:pPr>
      <w:r>
        <w:rPr>
          <w:rFonts w:ascii="Arial" w:hAnsi="Arial"/>
          <w:b w:val="0"/>
          <w:color w:val="161616"/>
          <w:sz w:val="19"/>
        </w:rPr>
        <w:t>Republic of the Philippines. “Republic Act No. 10173: Data Privacy Act of 2012.” https://privacy.gov.ph/data-privacy-act/</w:t>
      </w:r>
    </w:p>
    <w:p w14:paraId="2D152C54">
      <w:pPr>
        <w:pStyle w:val="23"/>
        <w:spacing w:after="60" w:line="252" w:lineRule="auto"/>
      </w:pPr>
      <w:r>
        <w:rPr>
          <w:rFonts w:ascii="Arial" w:hAnsi="Arial"/>
          <w:b w:val="0"/>
          <w:color w:val="161616"/>
          <w:sz w:val="19"/>
        </w:rPr>
        <w:t>Philippine Atmospheric, Geophysical and Astronomical Services Administration. https://www.pagasa.dost.gov.ph/</w:t>
      </w:r>
    </w:p>
    <w:p w14:paraId="7BE1E06D">
      <w:pPr>
        <w:pStyle w:val="23"/>
        <w:spacing w:after="60" w:line="252" w:lineRule="auto"/>
      </w:pPr>
      <w:r>
        <w:rPr>
          <w:rFonts w:ascii="Arial" w:hAnsi="Arial"/>
          <w:b w:val="0"/>
          <w:color w:val="161616"/>
          <w:sz w:val="19"/>
        </w:rPr>
        <w:t>Manila Bulletin. “PCG: Three Missing Fishermen Rescued, One Dead after Drifting at Sea for 5 Days.” 15 February 2026.</w:t>
      </w:r>
    </w:p>
    <w:p w14:paraId="4B8582D8">
      <w:pPr>
        <w:pStyle w:val="23"/>
        <w:spacing w:after="60" w:line="252" w:lineRule="auto"/>
      </w:pPr>
      <w:r>
        <w:rPr>
          <w:rFonts w:ascii="Arial" w:hAnsi="Arial"/>
          <w:b w:val="0"/>
          <w:color w:val="161616"/>
          <w:sz w:val="19"/>
        </w:rPr>
        <w:t>Baird Maritime. “Filipino Fisherman Rescued after Three Days Adrift in South China Sea.”</w:t>
      </w:r>
    </w:p>
    <w:p w14:paraId="4E02EB37">
      <w:pPr>
        <w:pStyle w:val="23"/>
        <w:spacing w:after="60" w:line="252" w:lineRule="auto"/>
      </w:pPr>
      <w:r>
        <w:rPr>
          <w:rFonts w:ascii="Arial" w:hAnsi="Arial"/>
          <w:b w:val="0"/>
          <w:color w:val="161616"/>
          <w:sz w:val="19"/>
        </w:rPr>
        <w:t>Baird Maritime. “Seven Dead after Fishing Boat Capsizes in Bad Weather off Cagayan.”</w:t>
      </w:r>
    </w:p>
    <w:sectPr>
      <w:headerReference r:id="rId5" w:type="default"/>
      <w:footerReference r:id="rId6" w:type="default"/>
      <w:pgSz w:w="11909" w:h="16834"/>
      <w:pgMar w:top="1008" w:right="1152" w:bottom="936" w:left="1152"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D0E52">
    <w:pPr>
      <w:pStyle w:val="18"/>
      <w:jc w:val="center"/>
    </w:pPr>
    <w:r>
      <w:rPr>
        <w:rFonts w:ascii="Arial" w:hAnsi="Arial"/>
        <w:b w:val="0"/>
        <w:color w:val="555555"/>
        <w:sz w:val="15"/>
      </w:rPr>
      <w:t>Team Aquanons  |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F8F94">
    <w:pPr>
      <w:pStyle w:val="19"/>
      <w:jc w:val="right"/>
    </w:pP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2A49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59" w:lineRule="auto"/>
    </w:pPr>
    <w:rPr>
      <w:rFonts w:ascii="Arial" w:hAnsi="Arial" w:eastAsiaTheme="minorEastAsia" w:cstheme="minorBidi"/>
      <w:color w:val="161616"/>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spacing w:after="60" w:line="252" w:lineRule="auto"/>
      <w:contextualSpacing/>
    </w:pPr>
    <w:rPr>
      <w:rFonts w:ascii="Arial" w:hAnsi="Arial"/>
      <w:sz w:val="19"/>
    </w:rPr>
  </w:style>
  <w:style w:type="paragraph" w:styleId="24">
    <w:name w:val="List Bullet 2"/>
    <w:basedOn w:val="1"/>
    <w:unhideWhenUsed/>
    <w:uiPriority w:val="99"/>
    <w:pPr>
      <w:numPr>
        <w:ilvl w:val="0"/>
        <w:numId w:val="2"/>
      </w:numPr>
      <w:spacing w:after="60" w:line="252" w:lineRule="auto"/>
      <w:contextualSpacing/>
    </w:pPr>
    <w:rPr>
      <w:rFonts w:ascii="Arial" w:hAnsi="Arial"/>
      <w:sz w:val="19"/>
    </w:r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4006</Words>
  <Characters>27020</Characters>
  <Lines>0</Lines>
  <Paragraphs>0</Paragraphs>
  <TotalTime>1</TotalTime>
  <ScaleCrop>false</ScaleCrop>
  <LinksUpToDate>false</LinksUpToDate>
  <CharactersWithSpaces>30824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Team Aquanons</dc:creator>
  <dc:description>Structured to follow the Culay Technical Profile submission format; content based on Aqone PRD v1.0.</dc:description>
  <cp:lastModifiedBy>Jade Salvador</cp:lastModifiedBy>
  <dcterms:modified xsi:type="dcterms:W3CDTF">2026-08-04T02:59:48Z</dcterms:modified>
  <dc:subject>Maritime mesh network and AI search-and-rescue system</dc:subject>
  <dc:title>AqOne Technical Profile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eyJoZGlkIjoiOWM4ZDY4MmI3MDRkNmJlNzVlOTUzOTI0NjFhMDhlY2QiLCJ1c2VySWQiOiI2ODcxOTgyMzQ5NTUifQ==</vt:lpwstr>
  </property>
  <property fmtid="{D5CDD505-2E9C-101B-9397-08002B2CF9AE}" pid="3" name="KSOProductBuildVer">
    <vt:lpwstr>1033-12.1.0.28032</vt:lpwstr>
  </property>
  <property fmtid="{D5CDD505-2E9C-101B-9397-08002B2CF9AE}" pid="4" name="ICV">
    <vt:lpwstr>EE141B9016104250A69320278A5805D7_12</vt:lpwstr>
  </property>
</Properties>
</file>