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="240" w:lineRule="auto"/>
        <w:jc w:val="left"/>
      </w:pPr>
      <w:r>
        <w:rPr>
          <w:rFonts w:ascii="Arial" w:hAnsi="Arial"/>
          <w:b/>
          <w:i w:val="0"/>
          <w:color w:val="000000"/>
          <w:sz w:val="42"/>
        </w:rPr>
        <w:t>My Customer Test Card</w:t>
      </w:r>
    </w:p>
    <w:p>
      <w:pPr>
        <w:spacing w:before="0" w:after="160" w:line="240" w:lineRule="auto"/>
      </w:pPr>
      <w:r>
        <w:rPr>
          <w:rFonts w:ascii="Arial" w:hAnsi="Arial"/>
          <w:b/>
          <w:i w:val="0"/>
          <w:color w:val="1F3B93"/>
          <w:sz w:val="20"/>
        </w:rPr>
        <w:t>AqOne | New Washington Aklan pilot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8568"/>
      </w:tblGrid>
      <w:tr>
        <w:trPr>
          <w:tblHeader w:val="true"/>
        </w:trPr>
        <w:tc>
          <w:tcPr>
            <w:tcW w:type="dxa" w:w="5227"/>
            <w:shd w:fill="5668D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8" w:space="0" w:color="BFC4D7"/>
              <w:left w:val="single" w:sz="8" w:space="0" w:color="BFC4D7"/>
              <w:bottom w:val="single" w:sz="8" w:space="0" w:color="BFC4D7"/>
              <w:right w:val="single" w:sz="8" w:space="0" w:color="BFC4D7"/>
              <w:insideH w:val="single" w:sz="8" w:space="0" w:color="BFC4D7"/>
              <w:insideV w:val="single" w:sz="8" w:space="0" w:color="BFC4D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5227"/>
            <w:shd w:fill="5668D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8" w:space="0" w:color="BFC4D7"/>
              <w:left w:val="single" w:sz="8" w:space="0" w:color="BFC4D7"/>
              <w:bottom w:val="single" w:sz="8" w:space="0" w:color="BFC4D7"/>
              <w:right w:val="single" w:sz="8" w:space="0" w:color="BFC4D7"/>
              <w:insideH w:val="single" w:sz="8" w:space="0" w:color="BFC4D7"/>
              <w:insideV w:val="single" w:sz="8" w:space="0" w:color="BFC4D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Complete the statement</w:t>
            </w:r>
          </w:p>
        </w:tc>
      </w:tr>
      <w:tr>
        <w:tc>
          <w:tcPr>
            <w:tcW w:type="dxa" w:w="2635"/>
            <w:shd w:fill="F4F6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202020"/>
                <w:sz w:val="17"/>
              </w:rPr>
              <w:t>Specific customer</w:t>
            </w:r>
          </w:p>
        </w:tc>
        <w:tc>
          <w:tcPr>
            <w:tcW w:type="dxa" w:w="8568"/>
            <w:shd w:fill="F4F6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My primary customer is the coastal municipal LGU of New Washington, Aklan, with the MDRRMO as the likely day-to-day operator. Fishers are the primary users.</w:t>
            </w:r>
          </w:p>
        </w:tc>
      </w:tr>
      <w:tr>
        <w:tc>
          <w:tcPr>
            <w:tcW w:type="dxa" w:w="26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202020"/>
                <w:sz w:val="17"/>
              </w:rPr>
              <w:t>Customer job</w:t>
            </w:r>
          </w:p>
        </w:tc>
        <w:tc>
          <w:tcPr>
            <w:tcW w:type="dxa" w:w="85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The customer is trying to coordinate faster, better-informed responses when local fishing boats send an SOS or fail to return.</w:t>
            </w:r>
          </w:p>
        </w:tc>
      </w:tr>
      <w:tr>
        <w:tc>
          <w:tcPr>
            <w:tcW w:type="dxa" w:w="2635"/>
            <w:shd w:fill="F4F6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202020"/>
                <w:sz w:val="17"/>
              </w:rPr>
              <w:t>Priority pain</w:t>
            </w:r>
          </w:p>
        </w:tc>
        <w:tc>
          <w:tcPr>
            <w:tcW w:type="dxa" w:w="8568"/>
            <w:shd w:fill="F4F6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The greatest difficulty is that fishers lose cellular coverage at sea, so distress reports arrive late and responders may begin searching with only an approximate location.</w:t>
            </w:r>
          </w:p>
        </w:tc>
      </w:tr>
      <w:tr>
        <w:tc>
          <w:tcPr>
            <w:tcW w:type="dxa" w:w="26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202020"/>
                <w:sz w:val="17"/>
              </w:rPr>
              <w:t>Desired gain</w:t>
            </w:r>
          </w:p>
        </w:tc>
        <w:tc>
          <w:tcPr>
            <w:tcW w:type="dxa" w:w="85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The customer wants earlier, traceable alerts with last-known position, honest delivery status, responder acknowledgement, and better information for rescue planning.</w:t>
            </w:r>
          </w:p>
        </w:tc>
      </w:tr>
      <w:tr>
        <w:tc>
          <w:tcPr>
            <w:tcW w:type="dxa" w:w="2635"/>
            <w:shd w:fill="F4F6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202020"/>
                <w:sz w:val="17"/>
              </w:rPr>
              <w:t>Current evidence</w:t>
            </w:r>
          </w:p>
        </w:tc>
        <w:tc>
          <w:tcPr>
            <w:tcW w:type="dxa" w:w="8568"/>
            <w:shd w:fill="F4F6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I know this because New Washington field interviews identified loss of cellular contact as a central concern, while the project already has the phone-pod-gateway-backend-dashboard workflow designed and software-tested. Physical open-water performance is still pending validation.</w:t>
            </w:r>
          </w:p>
        </w:tc>
      </w:tr>
      <w:tr>
        <w:tc>
          <w:tcPr>
            <w:tcW w:type="dxa" w:w="26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202020"/>
                <w:sz w:val="17"/>
              </w:rPr>
              <w:t>Critical assumption</w:t>
            </w:r>
          </w:p>
        </w:tc>
        <w:tc>
          <w:tcPr>
            <w:tcW w:type="dxa" w:w="85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I still assume that the LGU/MDRRMO will find enough operational value in a shared, institution-funded pod and buoy network to participate in a supervised pilot and consider adopting it.</w:t>
            </w:r>
          </w:p>
        </w:tc>
      </w:tr>
      <w:tr>
        <w:tc>
          <w:tcPr>
            <w:tcW w:type="dxa" w:w="2635"/>
            <w:shd w:fill="F4F6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202020"/>
                <w:sz w:val="17"/>
              </w:rPr>
              <w:t>Seven-day test</w:t>
            </w:r>
          </w:p>
        </w:tc>
        <w:tc>
          <w:tcPr>
            <w:tcW w:type="dxa" w:w="8568"/>
            <w:shd w:fill="F4F6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Within seven days, I will run a supervised SOS drill with the LGU/MDRRMO workflow: phone in airplane mode -&gt; boat pod -&gt; LoRa/gateway -&gt; backend -&gt; dashboard acknowledgement, while recording delivery time, range, failures, and responder feedback.</w:t>
            </w:r>
          </w:p>
        </w:tc>
      </w:tr>
      <w:tr>
        <w:tc>
          <w:tcPr>
            <w:tcW w:type="dxa" w:w="26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202020"/>
                <w:sz w:val="17"/>
              </w:rPr>
              <w:t>Success threshold</w:t>
            </w:r>
          </w:p>
        </w:tc>
        <w:tc>
          <w:tcPr>
            <w:tcW w:type="dxa" w:w="85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The assumption is supported if the MDRRMO confirms the workflow addresses a real response problem, the end-to-end drill completes successfully, acknowledgement persists after reload, and the customer agrees to continue pilot validation.</w:t>
            </w:r>
          </w:p>
        </w:tc>
      </w:tr>
    </w:tbl>
    <w:p>
      <w:pPr>
        <w:spacing w:before="120" w:after="0" w:line="240" w:lineRule="auto"/>
      </w:pPr>
      <w:r>
        <w:rPr>
          <w:rFonts w:ascii="Arial" w:hAnsi="Arial"/>
          <w:b w:val="0"/>
          <w:i/>
          <w:color w:val="666666"/>
          <w:sz w:val="15"/>
        </w:rPr>
        <w:t>Project basis: AqOne PRD v3.0 and AqOne Philippine Startup Challenge concept note.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 w:val="0"/>
        <w:i w:val="0"/>
        <w:color w:val="777777"/>
        <w:sz w:val="14"/>
      </w:rPr>
      <w:t>AqOne customer validation worksheet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