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AqOne Profitability and Grant Ask Update</w:t>
      </w:r>
    </w:p>
    <w:p>
      <w:pPr>
        <w:spacing w:after="240"/>
      </w:pPr>
      <w:r>
        <w:rPr>
          <w:rFonts w:ascii="Aptos" w:hAnsi="Aptos"/>
          <w:i/>
          <w:color w:val="505050"/>
          <w:sz w:val="21"/>
        </w:rPr>
        <w:t>Planning case based on the AqOne business model and startup financing worksheet</w:t>
      </w:r>
    </w:p>
    <w:p>
      <w:pPr>
        <w:spacing w:after="120" w:line="259" w:lineRule="auto"/>
      </w:pPr>
      <w:r>
        <w:rPr>
          <w:rFonts w:ascii="Aptos" w:hAnsi="Aptos"/>
          <w:sz w:val="21"/>
        </w:rPr>
        <w:t>AqOne should not present the original one-deployment case as financially sustainable. The original worksheet produced a PHP 77,500 operating loss. This update sets a more viable planning case: two institutional deployments, a deployment target of approximately PHP 650,000, and two annual service contracts at PHP 120,000 each. Under those assumptions, the model produces PHP 405,000 operating profit and a 26.3% net margin.</w:t>
      </w:r>
    </w:p>
    <w:p>
      <w:pPr>
        <w:pStyle w:val="Heading1"/>
        <w:spacing w:before="200" w:after="80"/>
      </w:pPr>
      <w:r>
        <w:rPr>
          <w:rFonts w:ascii="Aptos Display" w:hAnsi="Aptos Display"/>
          <w:color w:val="000000"/>
        </w:rPr>
        <w:t>1. Financial conclusion</w:t>
      </w:r>
    </w:p>
    <w:tbl>
      <w:tblPr>
        <w:tblW w:type="auto" w:w="0"/>
        <w:tblLayout w:type="fixed"/>
        <w:tblLook w:firstColumn="1" w:firstRow="1" w:lastColumn="0" w:lastRow="0" w:noHBand="0" w:noVBand="1" w:val="04A0"/>
      </w:tblPr>
      <w:tblGrid>
        <w:gridCol w:w="3360"/>
        <w:gridCol w:w="3360"/>
        <w:gridCol w:w="3360"/>
      </w:tblGrid>
      <w:tr>
        <w:trPr>
          <w:tblHeader w:val="true"/>
        </w:trPr>
        <w:tc>
          <w:tcPr>
            <w:tcW w:type="dxa" w:w="3384"/>
            <w:vAlign w:val="center"/>
            <w:shd w:fill="17365D"/>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color w:val="FFFFFF"/>
                <w:sz w:val="18"/>
              </w:rPr>
              <w:t>Measure</w:t>
            </w:r>
          </w:p>
        </w:tc>
        <w:tc>
          <w:tcPr>
            <w:tcW w:type="dxa" w:w="3096"/>
            <w:vAlign w:val="center"/>
            <w:shd w:fill="17365D"/>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color w:val="FFFFFF"/>
                <w:sz w:val="18"/>
              </w:rPr>
              <w:t>Original planning case</w:t>
            </w:r>
          </w:p>
        </w:tc>
        <w:tc>
          <w:tcPr>
            <w:tcW w:type="dxa" w:w="3672"/>
            <w:vAlign w:val="center"/>
            <w:shd w:fill="17365D"/>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color w:val="FFFFFF"/>
                <w:sz w:val="18"/>
              </w:rPr>
              <w:t>Revised profitable case</w:t>
            </w:r>
          </w:p>
        </w:tc>
      </w:tr>
      <w:tr>
        <w:tc>
          <w:tcPr>
            <w:tcW w:type="dxa" w:w="3384"/>
            <w:vAlign w:val="center"/>
            <w:shd w:fill="EAF2F8"/>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Year 1 revenue</w:t>
            </w:r>
          </w:p>
        </w:tc>
        <w:tc>
          <w:tcPr>
            <w:tcW w:type="dxa" w:w="3096"/>
            <w:vAlign w:val="center"/>
            <w:shd w:fill="EAF2F8"/>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PHP 620,000</w:t>
            </w:r>
          </w:p>
        </w:tc>
        <w:tc>
          <w:tcPr>
            <w:tcW w:type="dxa" w:w="3672"/>
            <w:vAlign w:val="center"/>
            <w:shd w:fill="EAF2F8"/>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PHP 1,540,000</w:t>
            </w:r>
          </w:p>
        </w:tc>
      </w:tr>
      <w:tr>
        <w:tc>
          <w:tcPr>
            <w:tcW w:type="dxa" w:w="3384"/>
            <w:vAlign w:val="center"/>
            <w:shd w:fill="FFFFFF"/>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Direct and operating costs</w:t>
            </w:r>
          </w:p>
        </w:tc>
        <w:tc>
          <w:tcPr>
            <w:tcW w:type="dxa" w:w="3096"/>
            <w:vAlign w:val="center"/>
            <w:shd w:fill="FFFFFF"/>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PHP 697,500</w:t>
            </w:r>
          </w:p>
        </w:tc>
        <w:tc>
          <w:tcPr>
            <w:tcW w:type="dxa" w:w="3672"/>
            <w:vAlign w:val="center"/>
            <w:shd w:fill="FFFFFF"/>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PHP 1,135,000</w:t>
            </w:r>
          </w:p>
        </w:tc>
      </w:tr>
      <w:tr>
        <w:tc>
          <w:tcPr>
            <w:tcW w:type="dxa" w:w="3384"/>
            <w:vAlign w:val="center"/>
            <w:shd w:fill="EAF2F8"/>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Operating result</w:t>
            </w:r>
          </w:p>
        </w:tc>
        <w:tc>
          <w:tcPr>
            <w:tcW w:type="dxa" w:w="3096"/>
            <w:vAlign w:val="center"/>
            <w:shd w:fill="EAF2F8"/>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PHP (77,500)</w:t>
            </w:r>
          </w:p>
        </w:tc>
        <w:tc>
          <w:tcPr>
            <w:tcW w:type="dxa" w:w="3672"/>
            <w:vAlign w:val="center"/>
            <w:shd w:fill="EAF2F8"/>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PHP 405,000</w:t>
            </w:r>
          </w:p>
        </w:tc>
      </w:tr>
      <w:tr>
        <w:tc>
          <w:tcPr>
            <w:tcW w:type="dxa" w:w="3384"/>
            <w:vAlign w:val="center"/>
            <w:shd w:fill="FFFFFF"/>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Net margin</w:t>
            </w:r>
          </w:p>
        </w:tc>
        <w:tc>
          <w:tcPr>
            <w:tcW w:type="dxa" w:w="3096"/>
            <w:vAlign w:val="center"/>
            <w:shd w:fill="FFFFFF"/>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-12.5%</w:t>
            </w:r>
          </w:p>
        </w:tc>
        <w:tc>
          <w:tcPr>
            <w:tcW w:type="dxa" w:w="3672"/>
            <w:vAlign w:val="center"/>
            <w:shd w:fill="FFFFFF"/>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26.3%</w:t>
            </w:r>
          </w:p>
        </w:tc>
      </w:tr>
      <w:tr>
        <w:tc>
          <w:tcPr>
            <w:tcW w:type="dxa" w:w="3384"/>
            <w:vAlign w:val="center"/>
            <w:shd w:fill="EAF2F8"/>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Break-even estimate</w:t>
            </w:r>
          </w:p>
        </w:tc>
        <w:tc>
          <w:tcPr>
            <w:tcW w:type="dxa" w:w="3096"/>
            <w:vAlign w:val="center"/>
            <w:shd w:fill="EAF2F8"/>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Not covered</w:t>
            </w:r>
          </w:p>
        </w:tc>
        <w:tc>
          <w:tcPr>
            <w:tcW w:type="dxa" w:w="3672"/>
            <w:vAlign w:val="center"/>
            <w:shd w:fill="EAF2F8"/>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1.61 deployments / PHP 1,053,218</w:t>
            </w:r>
          </w:p>
        </w:tc>
      </w:tr>
    </w:tbl>
    <w:p>
      <w:pPr>
        <w:spacing w:after="40"/>
      </w:pPr>
    </w:p>
    <w:p>
      <w:pPr>
        <w:spacing w:after="120" w:line="259" w:lineRule="auto"/>
      </w:pPr>
      <w:r>
        <w:rPr>
          <w:rFonts w:ascii="Aptos" w:hAnsi="Aptos"/>
          <w:sz w:val="21"/>
        </w:rPr>
        <w:t>The revised case is profitable on paper, but only if the sales targets are achieved. The PHP 1,018,463.55 ending cash balance includes PHP 808,448.55 of grant or institutional capital, so cash balance must not be described as profit.</w:t>
      </w:r>
    </w:p>
    <w:p>
      <w:pPr>
        <w:pStyle w:val="Heading1"/>
        <w:spacing w:before="200" w:after="80"/>
      </w:pPr>
      <w:r>
        <w:rPr>
          <w:rFonts w:ascii="Aptos Display" w:hAnsi="Aptos Display"/>
          <w:color w:val="000000"/>
        </w:rPr>
        <w:t>2. What changed</w:t>
      </w:r>
    </w:p>
    <w:tbl>
      <w:tblPr>
        <w:tblW w:type="auto" w:w="0"/>
        <w:tblLayout w:type="fixed"/>
        <w:tblLook w:firstColumn="1" w:firstRow="1" w:lastColumn="0" w:lastRow="0" w:noHBand="0" w:noVBand="1" w:val="04A0"/>
      </w:tblPr>
      <w:tblGrid>
        <w:gridCol w:w="3360"/>
        <w:gridCol w:w="3360"/>
        <w:gridCol w:w="3360"/>
      </w:tblGrid>
      <w:tr>
        <w:trPr>
          <w:tblHeader w:val="true"/>
        </w:trPr>
        <w:tc>
          <w:tcPr>
            <w:tcW w:type="dxa" w:w="2880"/>
            <w:vAlign w:val="center"/>
            <w:shd w:fill="17365D"/>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color w:val="FFFFFF"/>
                <w:sz w:val="18"/>
              </w:rPr>
              <w:t>Assumption</w:t>
            </w:r>
          </w:p>
        </w:tc>
        <w:tc>
          <w:tcPr>
            <w:tcW w:type="dxa" w:w="3024"/>
            <w:vAlign w:val="center"/>
            <w:shd w:fill="17365D"/>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color w:val="FFFFFF"/>
                <w:sz w:val="18"/>
              </w:rPr>
              <w:t>Revised planning input</w:t>
            </w:r>
          </w:p>
        </w:tc>
        <w:tc>
          <w:tcPr>
            <w:tcW w:type="dxa" w:w="4248"/>
            <w:vAlign w:val="center"/>
            <w:shd w:fill="17365D"/>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color w:val="FFFFFF"/>
                <w:sz w:val="18"/>
              </w:rPr>
              <w:t>Reason</w:t>
            </w:r>
          </w:p>
        </w:tc>
      </w:tr>
      <w:tr>
        <w:tc>
          <w:tcPr>
            <w:tcW w:type="dxa" w:w="2880"/>
            <w:vAlign w:val="center"/>
            <w:shd w:fill="EAF2F8"/>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Institutional deployments</w:t>
            </w:r>
          </w:p>
        </w:tc>
        <w:tc>
          <w:tcPr>
            <w:tcW w:type="dxa" w:w="3024"/>
            <w:vAlign w:val="center"/>
            <w:shd w:fill="EAF2F8"/>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2 in Year 1</w:t>
            </w:r>
          </w:p>
        </w:tc>
        <w:tc>
          <w:tcPr>
            <w:tcW w:type="dxa" w:w="4248"/>
            <w:vAlign w:val="center"/>
            <w:shd w:fill="EAF2F8"/>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A single municipality cannot absorb the fixed operating burden.</w:t>
            </w:r>
          </w:p>
        </w:tc>
      </w:tr>
      <w:tr>
        <w:tc>
          <w:tcPr>
            <w:tcW w:type="dxa" w:w="2880"/>
            <w:vAlign w:val="center"/>
            <w:shd w:fill="FFFFFF"/>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Deployment price</w:t>
            </w:r>
          </w:p>
        </w:tc>
        <w:tc>
          <w:tcPr>
            <w:tcW w:type="dxa" w:w="3024"/>
            <w:vAlign w:val="center"/>
            <w:shd w:fill="FFFFFF"/>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Approximately PHP 650,000</w:t>
            </w:r>
          </w:p>
        </w:tc>
        <w:tc>
          <w:tcPr>
            <w:tcW w:type="dxa" w:w="4248"/>
            <w:vAlign w:val="center"/>
            <w:shd w:fill="FFFFFF"/>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Raises the contract value above the original PHP 500,000 preliminary estimate.</w:t>
            </w:r>
          </w:p>
        </w:tc>
      </w:tr>
      <w:tr>
        <w:tc>
          <w:tcPr>
            <w:tcW w:type="dxa" w:w="2880"/>
            <w:vAlign w:val="center"/>
            <w:shd w:fill="EAF2F8"/>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Annual service contract</w:t>
            </w:r>
          </w:p>
        </w:tc>
        <w:tc>
          <w:tcPr>
            <w:tcW w:type="dxa" w:w="3024"/>
            <w:vAlign w:val="center"/>
            <w:shd w:fill="EAF2F8"/>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PHP 120,000 per municipality</w:t>
            </w:r>
          </w:p>
        </w:tc>
        <w:tc>
          <w:tcPr>
            <w:tcW w:type="dxa" w:w="4248"/>
            <w:vAlign w:val="center"/>
            <w:shd w:fill="EAF2F8"/>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Creates recurring revenue for cloud, monitoring, support, and maintenance.</w:t>
            </w:r>
          </w:p>
        </w:tc>
      </w:tr>
      <w:tr>
        <w:tc>
          <w:tcPr>
            <w:tcW w:type="dxa" w:w="2880"/>
            <w:vAlign w:val="center"/>
            <w:shd w:fill="FFFFFF"/>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Fisher access fee</w:t>
            </w:r>
          </w:p>
        </w:tc>
        <w:tc>
          <w:tcPr>
            <w:tcW w:type="dxa" w:w="3024"/>
            <w:vAlign w:val="center"/>
            <w:shd w:fill="FFFFFF"/>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PHP 0</w:t>
            </w:r>
          </w:p>
        </w:tc>
        <w:tc>
          <w:tcPr>
            <w:tcW w:type="dxa" w:w="4248"/>
            <w:vAlign w:val="center"/>
            <w:shd w:fill="FFFFFF"/>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The institutional buyer funds shared safety infrastructure.</w:t>
            </w:r>
          </w:p>
        </w:tc>
      </w:tr>
      <w:tr>
        <w:tc>
          <w:tcPr>
            <w:tcW w:type="dxa" w:w="2880"/>
            <w:vAlign w:val="center"/>
            <w:shd w:fill="EAF2F8"/>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Targeted markup</w:t>
            </w:r>
          </w:p>
        </w:tc>
        <w:tc>
          <w:tcPr>
            <w:tcW w:type="dxa" w:w="3024"/>
            <w:vAlign w:val="center"/>
            <w:shd w:fill="EAF2F8"/>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10% on full modeled cost</w:t>
            </w:r>
          </w:p>
        </w:tc>
        <w:tc>
          <w:tcPr>
            <w:tcW w:type="dxa" w:w="4248"/>
            <w:vAlign w:val="center"/>
            <w:shd w:fill="EAF2F8"/>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Produces a worksheet selling price of PHP 654,500.</w:t>
            </w:r>
          </w:p>
        </w:tc>
      </w:tr>
    </w:tbl>
    <w:p>
      <w:pPr>
        <w:spacing w:after="40"/>
      </w:pPr>
    </w:p>
    <w:p>
      <w:pPr>
        <w:spacing w:after="120" w:line="259" w:lineRule="auto"/>
      </w:pPr>
      <w:r>
        <w:rPr>
          <w:rFonts w:ascii="Aptos" w:hAnsi="Aptos"/>
          <w:sz w:val="21"/>
        </w:rPr>
        <w:t>The revised case is a business model hypothesis, not evidence that two municipalities have agreed to buy. The price and deployment count must be validated through procurement conversations, letters of intent, and supplier quotations.</w:t>
      </w:r>
    </w:p>
    <w:p>
      <w:pPr>
        <w:pStyle w:val="Heading1"/>
        <w:spacing w:before="200" w:after="80"/>
      </w:pPr>
      <w:r>
        <w:rPr>
          <w:rFonts w:ascii="Aptos Display" w:hAnsi="Aptos Display"/>
          <w:color w:val="000000"/>
        </w:rPr>
        <w:t>3. Grant ask recommendation</w:t>
      </w:r>
    </w:p>
    <w:p>
      <w:pPr>
        <w:spacing w:after="120" w:line="259" w:lineRule="auto"/>
      </w:pPr>
      <w:r>
        <w:rPr>
          <w:rFonts w:ascii="Aptos" w:hAnsi="Aptos"/>
          <w:sz w:val="21"/>
        </w:rPr>
        <w:t>Keep the current PHP 808,448.55 grant or institutional funding request as a separate R&amp;D and validation budget. Do not increase the grant ask simply to conceal a commercial operating loss. The grant should pay for prototype development, field validation, hardware testing, and the first reference deployment. Commercial revenue should be evaluated separately.</w:t>
      </w:r>
    </w:p>
    <w:tbl>
      <w:tblPr>
        <w:tblW w:type="auto" w:w="0"/>
        <w:tblLayout w:type="fixed"/>
        <w:tblLook w:firstColumn="1" w:firstRow="1" w:lastColumn="0" w:lastRow="0" w:noHBand="0" w:noVBand="1" w:val="04A0"/>
      </w:tblPr>
      <w:tblGrid>
        <w:gridCol w:w="5040"/>
        <w:gridCol w:w="5040"/>
      </w:tblGrid>
      <w:tr>
        <w:trPr>
          <w:tblHeader w:val="true"/>
        </w:trPr>
        <w:tc>
          <w:tcPr>
            <w:tcW w:type="dxa" w:w="3240"/>
            <w:vAlign w:val="center"/>
            <w:shd w:fill="17365D"/>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color w:val="FFFFFF"/>
                <w:sz w:val="18"/>
              </w:rPr>
              <w:t>Funding use</w:t>
            </w:r>
          </w:p>
        </w:tc>
        <w:tc>
          <w:tcPr>
            <w:tcW w:type="dxa" w:w="6912"/>
            <w:vAlign w:val="center"/>
            <w:shd w:fill="17365D"/>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color w:val="FFFFFF"/>
                <w:sz w:val="18"/>
              </w:rPr>
              <w:t>Recommended treatment</w:t>
            </w:r>
          </w:p>
        </w:tc>
      </w:tr>
      <w:tr>
        <w:tc>
          <w:tcPr>
            <w:tcW w:type="dxa" w:w="3240"/>
            <w:vAlign w:val="center"/>
            <w:shd w:fill="EAF2F8"/>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R&amp;D and field validation</w:t>
            </w:r>
          </w:p>
        </w:tc>
        <w:tc>
          <w:tcPr>
            <w:tcW w:type="dxa" w:w="6912"/>
            <w:vAlign w:val="center"/>
            <w:shd w:fill="EAF2F8"/>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Retain in the PHP 808,448.55 grant request, with supplier quotes and a contingency line.</w:t>
            </w:r>
          </w:p>
        </w:tc>
      </w:tr>
      <w:tr>
        <w:tc>
          <w:tcPr>
            <w:tcW w:type="dxa" w:w="3240"/>
            <w:vAlign w:val="center"/>
            <w:shd w:fill="FFFFFF"/>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Commercial deployment</w:t>
            </w:r>
          </w:p>
        </w:tc>
        <w:tc>
          <w:tcPr>
            <w:tcW w:type="dxa" w:w="6912"/>
            <w:vAlign w:val="center"/>
            <w:shd w:fill="FFFFFF"/>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Fund through paid municipal contracts or a separately approved commercialization facility.</w:t>
            </w:r>
          </w:p>
        </w:tc>
      </w:tr>
      <w:tr>
        <w:tc>
          <w:tcPr>
            <w:tcW w:type="dxa" w:w="3240"/>
            <w:vAlign w:val="center"/>
            <w:shd w:fill="EAF2F8"/>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Working capital</w:t>
            </w:r>
          </w:p>
        </w:tc>
        <w:tc>
          <w:tcPr>
            <w:tcW w:type="dxa" w:w="6912"/>
            <w:vAlign w:val="center"/>
            <w:shd w:fill="EAF2F8"/>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Request only after a customer commitment and a verified delivery budget exist.</w:t>
            </w:r>
          </w:p>
        </w:tc>
      </w:tr>
      <w:tr>
        <w:tc>
          <w:tcPr>
            <w:tcW w:type="dxa" w:w="3240"/>
            <w:vAlign w:val="center"/>
            <w:shd w:fill="FFFFFF"/>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Recurring operations</w:t>
            </w:r>
          </w:p>
        </w:tc>
        <w:tc>
          <w:tcPr>
            <w:tcW w:type="dxa" w:w="6912"/>
            <w:vAlign w:val="center"/>
            <w:shd w:fill="FFFFFF"/>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Recover through the annual PHP 120,000 service contract rather than grant dependence.</w:t>
            </w:r>
          </w:p>
        </w:tc>
      </w:tr>
    </w:tbl>
    <w:p>
      <w:pPr>
        <w:spacing w:after="40"/>
      </w:pPr>
    </w:p>
    <w:p>
      <w:pPr>
        <w:pStyle w:val="Heading1"/>
        <w:spacing w:before="200" w:after="80"/>
      </w:pPr>
      <w:r>
        <w:rPr>
          <w:rFonts w:ascii="Aptos Display" w:hAnsi="Aptos Display"/>
          <w:color w:val="000000"/>
        </w:rPr>
        <w:t>4. Business model update</w:t>
      </w:r>
    </w:p>
    <w:p>
      <w:pPr>
        <w:pStyle w:val="ListBullet"/>
        <w:spacing w:after="60"/>
      </w:pPr>
      <w:r>
        <w:rPr>
          <w:rFonts w:ascii="Aptos" w:hAnsi="Aptos"/>
          <w:sz w:val="21"/>
        </w:rPr>
        <w:t>Position AqOne as managed maritime-safety infrastructure for LGUs, MDRRMO, BFAR, PCG, and related institutional partners.</w:t>
      </w:r>
    </w:p>
    <w:p>
      <w:pPr>
        <w:pStyle w:val="ListBullet"/>
        <w:spacing w:after="60"/>
      </w:pPr>
      <w:r>
        <w:rPr>
          <w:rFonts w:ascii="Aptos" w:hAnsi="Aptos"/>
          <w:sz w:val="21"/>
        </w:rPr>
        <w:t>Sell a deployment package that includes equipment, installation, commissioning, training, and initial software setup.</w:t>
      </w:r>
    </w:p>
    <w:p>
      <w:pPr>
        <w:pStyle w:val="ListBullet"/>
        <w:spacing w:after="60"/>
      </w:pPr>
      <w:r>
        <w:rPr>
          <w:rFonts w:ascii="Aptos" w:hAnsi="Aptos"/>
          <w:sz w:val="21"/>
        </w:rPr>
        <w:t>Renew each deployment through an annual service contract covering monitoring, updates, technical support, and preventive maintenance.</w:t>
      </w:r>
    </w:p>
    <w:p>
      <w:pPr>
        <w:pStyle w:val="ListBullet"/>
        <w:spacing w:after="60"/>
      </w:pPr>
      <w:r>
        <w:rPr>
          <w:rFonts w:ascii="Aptos" w:hAnsi="Aptos"/>
          <w:sz w:val="21"/>
        </w:rPr>
        <w:t>Keep fisher access free at the point of use so adoption is not blocked by individual payment requirements.</w:t>
      </w:r>
    </w:p>
    <w:p>
      <w:pPr>
        <w:pStyle w:val="ListBullet"/>
        <w:spacing w:after="60"/>
      </w:pPr>
      <w:r>
        <w:rPr>
          <w:rFonts w:ascii="Aptos" w:hAnsi="Aptos"/>
          <w:sz w:val="21"/>
        </w:rPr>
        <w:t>Use the New Washington pilot as a reference deployment, then replicate the standardized package across coastal municipalities.</w:t>
      </w:r>
    </w:p>
    <w:p>
      <w:pPr>
        <w:pStyle w:val="Heading1"/>
        <w:spacing w:before="200" w:after="80"/>
      </w:pPr>
      <w:r>
        <w:rPr>
          <w:rFonts w:ascii="Aptos Display" w:hAnsi="Aptos Display"/>
          <w:color w:val="000000"/>
        </w:rPr>
        <w:t>5. Conditions for the profitable case</w:t>
      </w:r>
    </w:p>
    <w:tbl>
      <w:tblPr>
        <w:tblW w:type="auto" w:w="0"/>
        <w:tblLayout w:type="fixed"/>
        <w:tblLook w:firstColumn="1" w:firstRow="1" w:lastColumn="0" w:lastRow="0" w:noHBand="0" w:noVBand="1" w:val="04A0"/>
      </w:tblPr>
      <w:tblGrid>
        <w:gridCol w:w="5040"/>
        <w:gridCol w:w="5040"/>
      </w:tblGrid>
      <w:tr>
        <w:trPr>
          <w:tblHeader w:val="true"/>
        </w:trPr>
        <w:tc>
          <w:tcPr>
            <w:tcW w:type="dxa" w:w="3456"/>
            <w:vAlign w:val="center"/>
            <w:shd w:fill="17365D"/>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color w:val="FFFFFF"/>
                <w:sz w:val="18"/>
              </w:rPr>
              <w:t>Condition</w:t>
            </w:r>
          </w:p>
        </w:tc>
        <w:tc>
          <w:tcPr>
            <w:tcW w:type="dxa" w:w="6696"/>
            <w:vAlign w:val="center"/>
            <w:shd w:fill="17365D"/>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color w:val="FFFFFF"/>
                <w:sz w:val="18"/>
              </w:rPr>
              <w:t>Minimum evidence before relying on it</w:t>
            </w:r>
          </w:p>
        </w:tc>
      </w:tr>
      <w:tr>
        <w:tc>
          <w:tcPr>
            <w:tcW w:type="dxa" w:w="3456"/>
            <w:vAlign w:val="center"/>
            <w:shd w:fill="EAF2F8"/>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Two deployments</w:t>
            </w:r>
          </w:p>
        </w:tc>
        <w:tc>
          <w:tcPr>
            <w:tcW w:type="dxa" w:w="6696"/>
            <w:vAlign w:val="center"/>
            <w:shd w:fill="EAF2F8"/>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Two institutional commitments, purchase orders, or signed letters of intent.</w:t>
            </w:r>
          </w:p>
        </w:tc>
      </w:tr>
      <w:tr>
        <w:tc>
          <w:tcPr>
            <w:tcW w:type="dxa" w:w="3456"/>
            <w:vAlign w:val="center"/>
            <w:shd w:fill="FFFFFF"/>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PHP 650,000 deployment price</w:t>
            </w:r>
          </w:p>
        </w:tc>
        <w:tc>
          <w:tcPr>
            <w:tcW w:type="dxa" w:w="6696"/>
            <w:vAlign w:val="center"/>
            <w:shd w:fill="FFFFFF"/>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Supplier quotes, installation labor estimate, and buyer confirmation that the price fits procurement limits.</w:t>
            </w:r>
          </w:p>
        </w:tc>
      </w:tr>
      <w:tr>
        <w:tc>
          <w:tcPr>
            <w:tcW w:type="dxa" w:w="3456"/>
            <w:vAlign w:val="center"/>
            <w:shd w:fill="EAF2F8"/>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PHP 120,000 annual service fee</w:t>
            </w:r>
          </w:p>
        </w:tc>
        <w:tc>
          <w:tcPr>
            <w:tcW w:type="dxa" w:w="6696"/>
            <w:vAlign w:val="center"/>
            <w:shd w:fill="EAF2F8"/>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Responder and LGU acceptance of the monitoring, support, and maintenance scope.</w:t>
            </w:r>
          </w:p>
        </w:tc>
      </w:tr>
      <w:tr>
        <w:tc>
          <w:tcPr>
            <w:tcW w:type="dxa" w:w="3456"/>
            <w:vAlign w:val="center"/>
            <w:shd w:fill="FFFFFF"/>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Direct cost estimate</w:t>
            </w:r>
          </w:p>
        </w:tc>
        <w:tc>
          <w:tcPr>
            <w:tcW w:type="dxa" w:w="6696"/>
            <w:vAlign w:val="center"/>
            <w:shd w:fill="FFFFFF"/>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Actual hardware, enclosure, gateway, installation, travel, and replacement-reserve costs.</w:t>
            </w:r>
          </w:p>
        </w:tc>
      </w:tr>
      <w:tr>
        <w:tc>
          <w:tcPr>
            <w:tcW w:type="dxa" w:w="3456"/>
            <w:vAlign w:val="center"/>
            <w:shd w:fill="EAF2F8"/>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Operating margin</w:t>
            </w:r>
          </w:p>
        </w:tc>
        <w:tc>
          <w:tcPr>
            <w:tcW w:type="dxa" w:w="6696"/>
            <w:vAlign w:val="center"/>
            <w:shd w:fill="EAF2F8"/>
            <w:tcBorders>
              <w:top w:val="single" w:sz="6" w:space="0" w:color="B7C3D0"/>
              <w:left w:val="single" w:sz="6" w:space="0" w:color="B7C3D0"/>
              <w:bottom w:val="single" w:sz="6" w:space="0" w:color="B7C3D0"/>
              <w:right w:val="single" w:sz="6" w:space="0" w:color="B7C3D0"/>
              <w:insideH w:val="single" w:sz="6" w:space="0" w:color="B7C3D0"/>
              <w:insideV w:val="single" w:sz="6" w:space="0" w:color="B7C3D0"/>
            </w:tcBorders>
          </w:tcPr>
          <w:p>
            <w:pPr>
              <w:spacing w:after="0"/>
            </w:pPr>
            <w:r/>
            <w:r>
              <w:rPr>
                <w:rFonts w:ascii="Aptos" w:hAnsi="Aptos"/>
                <w:b w:val="0"/>
                <w:color w:val="000000"/>
                <w:sz w:val="18"/>
              </w:rPr>
              <w:t>Separate accounting for grant-funded R&amp;D, deployment gross margin, recurring support costs, and taxes.</w:t>
            </w:r>
          </w:p>
        </w:tc>
      </w:tr>
    </w:tbl>
    <w:p>
      <w:pPr>
        <w:spacing w:after="40"/>
      </w:pPr>
    </w:p>
    <w:p>
      <w:pPr>
        <w:pStyle w:val="Heading1"/>
        <w:spacing w:before="200" w:after="80"/>
      </w:pPr>
      <w:r>
        <w:rPr>
          <w:rFonts w:ascii="Aptos Display" w:hAnsi="Aptos Display"/>
          <w:color w:val="000000"/>
        </w:rPr>
        <w:t>6. Immediate actions</w:t>
      </w:r>
    </w:p>
    <w:p>
      <w:pPr>
        <w:pStyle w:val="ListBullet"/>
        <w:spacing w:after="60"/>
      </w:pPr>
      <w:r>
        <w:rPr>
          <w:rFonts w:ascii="Aptos" w:hAnsi="Aptos"/>
          <w:sz w:val="21"/>
        </w:rPr>
        <w:t>Obtain three supplier quotations for the buoy, gateway, enclosure, power system, installation, and replacement parts.</w:t>
      </w:r>
    </w:p>
    <w:p>
      <w:pPr>
        <w:pStyle w:val="ListBullet"/>
        <w:spacing w:after="60"/>
      </w:pPr>
      <w:r>
        <w:rPr>
          <w:rFonts w:ascii="Aptos" w:hAnsi="Aptos"/>
          <w:sz w:val="21"/>
        </w:rPr>
        <w:t>Ask at least three target institutions whether PHP 650,000 for deployment and PHP 120,000 per year for support fit their procurement pathway.</w:t>
      </w:r>
    </w:p>
    <w:p>
      <w:pPr>
        <w:pStyle w:val="ListBullet"/>
        <w:spacing w:after="60"/>
      </w:pPr>
      <w:r>
        <w:rPr>
          <w:rFonts w:ascii="Aptos" w:hAnsi="Aptos"/>
          <w:sz w:val="21"/>
        </w:rPr>
        <w:t>Prepare a one-page paid pilot offer with deliverables, acceptance criteria, maintenance responsibilities, and renewal terms.</w:t>
      </w:r>
    </w:p>
    <w:p>
      <w:pPr>
        <w:pStyle w:val="ListBullet"/>
        <w:spacing w:after="60"/>
      </w:pPr>
      <w:r>
        <w:rPr>
          <w:rFonts w:ascii="Aptos" w:hAnsi="Aptos"/>
          <w:sz w:val="21"/>
        </w:rPr>
        <w:t>Update the grant budget so each line is identified as R&amp;D, deployment, recurring service, or working capital.</w:t>
      </w:r>
    </w:p>
    <w:p>
      <w:pPr>
        <w:pStyle w:val="ListBullet"/>
        <w:spacing w:after="60"/>
      </w:pPr>
      <w:r>
        <w:rPr>
          <w:rFonts w:ascii="Aptos" w:hAnsi="Aptos"/>
          <w:sz w:val="21"/>
        </w:rPr>
        <w:t>Replace the hypothetical workbook inputs with contracted prices and measured field costs before using the model in a formal funding submission.</w:t>
      </w:r>
    </w:p>
    <w:p>
      <w:pPr>
        <w:pStyle w:val="Heading1"/>
        <w:spacing w:before="200" w:after="80"/>
      </w:pPr>
      <w:r>
        <w:rPr>
          <w:rFonts w:ascii="Aptos Display" w:hAnsi="Aptos Display"/>
          <w:color w:val="000000"/>
        </w:rPr>
        <w:t>7. Limitation</w:t>
      </w:r>
    </w:p>
    <w:p>
      <w:pPr>
        <w:spacing w:after="120" w:line="259" w:lineRule="auto"/>
      </w:pPr>
      <w:r>
        <w:rPr>
          <w:rFonts w:ascii="Aptos" w:hAnsi="Aptos"/>
          <w:sz w:val="21"/>
        </w:rPr>
        <w:t>This is an illustrative planning case based on the supplied AqOne business model and financing worksheet. It does not establish actual demand, procurement approval, radio performance, tax treatment, or customer willingness to pay. The profitable result becomes credible only after the conditions above are validated.</w:t>
      </w:r>
    </w:p>
    <w:sectPr>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AqOne Profitability and Grant Ask Update</dc:title>
  <dc:subject>Revised planning case for AqOne commercialization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