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ata-processing-agreement"/>
    <w:p>
      <w:pPr>
        <w:pStyle w:val="Heading1"/>
      </w:pPr>
      <w:r>
        <w:t xml:space="preserve">Data Processing Agreement</w:t>
      </w:r>
    </w:p>
    <w:p>
      <w:pPr>
        <w:pStyle w:val="FirstParagraph"/>
      </w:pPr>
      <w:r>
        <w:rPr>
          <w:bCs/>
          <w:b/>
        </w:rPr>
        <w:t xml:space="preserve">Version:</w:t>
      </w:r>
      <w:r>
        <w:t xml:space="preserve"> </w:t>
      </w:r>
      <w:r>
        <w:t xml:space="preserve">1.0</w:t>
      </w:r>
      <w:r>
        <w:br/>
      </w:r>
      <w:r>
        <w:rPr>
          <w:bCs/>
          <w:b/>
        </w:rPr>
        <w:t xml:space="preserve">Effective Date:</w:t>
      </w:r>
      <w:r>
        <w:t xml:space="preserve"> </w:t>
      </w:r>
      <w:r>
        <w:t xml:space="preserve">[Effective Date]</w:t>
      </w:r>
      <w:r>
        <w:br/>
      </w:r>
      <w:r>
        <w:rPr>
          <w:bCs/>
          <w:b/>
        </w:rPr>
        <w:t xml:space="preserve">Last Updated:</w:t>
      </w:r>
      <w:r>
        <w:t xml:space="preserve"> </w:t>
      </w:r>
      <w:r>
        <w:t xml:space="preserve">[DATE]</w:t>
      </w:r>
    </w:p>
    <w:p>
      <w:pPr>
        <w:pStyle w:val="BodyText"/>
      </w:pPr>
      <w:r>
        <w:t xml:space="preserve">This Data Processing Agreement (</w:t>
      </w:r>
      <w:r>
        <w:t xml:space="preserve">“</w:t>
      </w:r>
      <w:r>
        <w:rPr>
          <w:bCs/>
          <w:b/>
        </w:rPr>
        <w:t xml:space="preserve">DPA</w:t>
      </w:r>
      <w:r>
        <w:t xml:space="preserve">”</w:t>
      </w:r>
      <w:r>
        <w:t xml:space="preserve">) forms part of, and is incorporated into, the Terms of Service or other written agreement governing the use of the AquaRunner247 services (the</w:t>
      </w:r>
      <w:r>
        <w:t xml:space="preserve"> </w:t>
      </w:r>
      <w:r>
        <w:t xml:space="preserve">“</w:t>
      </w:r>
      <w:r>
        <w:rPr>
          <w:bCs/>
          <w:b/>
        </w:rPr>
        <w:t xml:space="preserve">Agreement</w:t>
      </w:r>
      <w:r>
        <w:t xml:space="preserve">”</w:t>
      </w:r>
      <w:r>
        <w:t xml:space="preserve">) between</w:t>
      </w:r>
      <w:r>
        <w:t xml:space="preserve"> </w:t>
      </w:r>
      <w:r>
        <w:rPr>
          <w:bCs/>
          <w:b/>
        </w:rPr>
        <w:t xml:space="preserve">AquaRunner247 LLC</w:t>
      </w:r>
      <w:r>
        <w:t xml:space="preserve">, with its address at</w:t>
      </w:r>
      <w:r>
        <w:t xml:space="preserve"> </w:t>
      </w:r>
      <w:r>
        <w:rPr>
          <w:bCs/>
          <w:b/>
        </w:rPr>
        <w:t xml:space="preserve">[AquaRunner247 notice address]</w:t>
      </w:r>
      <w:r>
        <w:t xml:space="preserve"> </w:t>
      </w:r>
      <w:r>
        <w:t xml:space="preserve">(</w:t>
      </w:r>
      <w:r>
        <w:t xml:space="preserve">“</w:t>
      </w:r>
      <w:r>
        <w:rPr>
          <w:bCs/>
          <w:b/>
        </w:rPr>
        <w:t xml:space="preserve">AquaRunner247</w:t>
      </w:r>
      <w:r>
        <w:t xml:space="preserve">”</w:t>
      </w:r>
      <w:r>
        <w:t xml:space="preserve">), and the customer identified in the Agreement (</w:t>
      </w:r>
      <w:r>
        <w:t xml:space="preserve">“</w:t>
      </w:r>
      <w:r>
        <w:rPr>
          <w:bCs/>
          <w:b/>
        </w:rPr>
        <w:t xml:space="preserve">Customer</w:t>
      </w:r>
      <w:r>
        <w:t xml:space="preserve">”</w:t>
      </w:r>
      <w:r>
        <w:t xml:space="preserve">). This DPA applies when AquaRunner247 Processes Personal Data on Customer’s behalf.</w:t>
      </w:r>
    </w:p>
    <w:p>
      <w:pPr>
        <w:pStyle w:val="BodyText"/>
      </w:pPr>
      <w:r>
        <w:t xml:space="preserve">AquaRunner247 and Customer may each be called a</w:t>
      </w:r>
      <w:r>
        <w:t xml:space="preserve"> </w:t>
      </w:r>
      <w:r>
        <w:t xml:space="preserve">“</w:t>
      </w:r>
      <w:r>
        <w:rPr>
          <w:bCs/>
          <w:b/>
        </w:rPr>
        <w:t xml:space="preserve">Party</w:t>
      </w:r>
      <w:r>
        <w:t xml:space="preserve">”</w:t>
      </w:r>
      <w:r>
        <w:t xml:space="preserve"> </w:t>
      </w:r>
      <w:r>
        <w:t xml:space="preserve">and together the</w:t>
      </w:r>
      <w:r>
        <w:t xml:space="preserve"> </w:t>
      </w:r>
      <w:r>
        <w:t xml:space="preserve">“</w:t>
      </w:r>
      <w:r>
        <w:rPr>
          <w:bCs/>
          <w:b/>
        </w:rPr>
        <w:t xml:space="preserve">Parties</w:t>
      </w:r>
      <w:r>
        <w:t xml:space="preserve">.</w:t>
      </w:r>
      <w:r>
        <w:t xml:space="preserve">”</w:t>
      </w:r>
      <w:r>
        <w:t xml:space="preserve"> </w:t>
      </w:r>
      <w:r>
        <w:t xml:space="preserve">Capitalized terms not defined in this DPA have the meanings given in the Agreement.</w:t>
      </w:r>
    </w:p>
    <w:bookmarkStart w:id="20" w:name="definitions"/>
    <w:p>
      <w:pPr>
        <w:pStyle w:val="Heading2"/>
      </w:pPr>
      <w:r>
        <w:t xml:space="preserve">1. Definitions</w:t>
      </w:r>
    </w:p>
    <w:p>
      <w:pPr>
        <w:pStyle w:val="FirstParagraph"/>
      </w:pPr>
      <w:r>
        <w:t xml:space="preserve">1.1</w:t>
      </w:r>
      <w:r>
        <w:t xml:space="preserve"> </w:t>
      </w:r>
      <w:r>
        <w:rPr>
          <w:bCs/>
          <w:b/>
        </w:rPr>
        <w:t xml:space="preserve">“</w:t>
      </w:r>
      <w:r>
        <w:rPr>
          <w:bCs/>
          <w:b/>
        </w:rPr>
        <w:t xml:space="preserve">Applicable Data Protection Law</w:t>
      </w:r>
      <w:r>
        <w:rPr>
          <w:bCs/>
          <w:b/>
        </w:rPr>
        <w:t xml:space="preserve">”</w:t>
      </w:r>
      <w:r>
        <w:t xml:space="preserve"> </w:t>
      </w:r>
      <w:r>
        <w:t xml:space="preserve">means all data protection and privacy laws applicable to the Processing under this DPA, including, where applicable, the California Consumer Privacy Act as amended by the California Privacy Rights Act (</w:t>
      </w:r>
      <w:r>
        <w:t xml:space="preserve">“</w:t>
      </w:r>
      <w:r>
        <w:rPr>
          <w:bCs/>
          <w:b/>
        </w:rPr>
        <w:t xml:space="preserve">CCPA</w:t>
      </w:r>
      <w:r>
        <w:t xml:space="preserve">”</w:t>
      </w:r>
      <w:r>
        <w:t xml:space="preserve">), other applicable U.S. state privacy laws, the EU GDPR, the UK GDPR, and the UK Data Protection Act 2018.</w:t>
      </w:r>
    </w:p>
    <w:p>
      <w:pPr>
        <w:pStyle w:val="BodyText"/>
      </w:pPr>
      <w:r>
        <w:t xml:space="preserve">1.2</w:t>
      </w:r>
      <w:r>
        <w:t xml:space="preserve"> </w:t>
      </w:r>
      <w:r>
        <w:rPr>
          <w:bCs/>
          <w:b/>
        </w:rPr>
        <w:t xml:space="preserve">“</w:t>
      </w:r>
      <w:r>
        <w:rPr>
          <w:bCs/>
          <w:b/>
        </w:rPr>
        <w:t xml:space="preserve">Controller</w:t>
      </w:r>
      <w:r>
        <w:rPr>
          <w:bCs/>
          <w:b/>
        </w:rPr>
        <w:t xml:space="preserve">”</w:t>
      </w:r>
      <w:r>
        <w:t xml:space="preserve"> </w:t>
      </w:r>
      <w:r>
        <w:t xml:space="preserve">means the person or entity that determines the purposes and means of Processing Personal Data, or the equivalent term under Applicable Data Protection Law.</w:t>
      </w:r>
    </w:p>
    <w:p>
      <w:pPr>
        <w:pStyle w:val="BodyText"/>
      </w:pPr>
      <w:r>
        <w:t xml:space="preserve">1.3</w:t>
      </w:r>
      <w:r>
        <w:t xml:space="preserve"> </w:t>
      </w:r>
      <w:r>
        <w:rPr>
          <w:bCs/>
          <w:b/>
        </w:rPr>
        <w:t xml:space="preserve">“</w:t>
      </w:r>
      <w:r>
        <w:rPr>
          <w:bCs/>
          <w:b/>
        </w:rPr>
        <w:t xml:space="preserve">Data Subject</w:t>
      </w:r>
      <w:r>
        <w:rPr>
          <w:bCs/>
          <w:b/>
        </w:rPr>
        <w:t xml:space="preserve">”</w:t>
      </w:r>
      <w:r>
        <w:t xml:space="preserve"> </w:t>
      </w:r>
      <w:r>
        <w:t xml:space="preserve">means an identified or identifiable individual to whom Personal Data relates, or the equivalent term under Applicable Data Protection Law.</w:t>
      </w:r>
    </w:p>
    <w:p>
      <w:pPr>
        <w:pStyle w:val="BodyText"/>
      </w:pPr>
      <w:r>
        <w:t xml:space="preserve">1.4</w:t>
      </w:r>
      <w:r>
        <w:t xml:space="preserve"> </w:t>
      </w:r>
      <w:r>
        <w:rPr>
          <w:bCs/>
          <w:b/>
        </w:rPr>
        <w:t xml:space="preserve">“</w:t>
      </w:r>
      <w:r>
        <w:rPr>
          <w:bCs/>
          <w:b/>
        </w:rPr>
        <w:t xml:space="preserve">EU GDPR</w:t>
      </w:r>
      <w:r>
        <w:rPr>
          <w:bCs/>
          <w:b/>
        </w:rPr>
        <w:t xml:space="preserve">”</w:t>
      </w:r>
      <w:r>
        <w:t xml:space="preserve"> </w:t>
      </w:r>
      <w:r>
        <w:t xml:space="preserve">means Regulation (EU) 2016/679.</w:t>
      </w:r>
    </w:p>
    <w:p>
      <w:pPr>
        <w:pStyle w:val="BodyText"/>
      </w:pPr>
      <w:r>
        <w:t xml:space="preserve">1.5</w:t>
      </w:r>
      <w:r>
        <w:t xml:space="preserve"> </w:t>
      </w:r>
      <w:r>
        <w:rPr>
          <w:bCs/>
          <w:b/>
        </w:rPr>
        <w:t xml:space="preserve">“</w:t>
      </w:r>
      <w:r>
        <w:rPr>
          <w:bCs/>
          <w:b/>
        </w:rPr>
        <w:t xml:space="preserve">Personal Data</w:t>
      </w:r>
      <w:r>
        <w:rPr>
          <w:bCs/>
          <w:b/>
        </w:rPr>
        <w:t xml:space="preserve">”</w:t>
      </w:r>
      <w:r>
        <w:t xml:space="preserve"> </w:t>
      </w:r>
      <w:r>
        <w:t xml:space="preserve">means information relating to an identified or identifiable natural person, or the equivalent term under Applicable Data Protection Law.</w:t>
      </w:r>
    </w:p>
    <w:p>
      <w:pPr>
        <w:pStyle w:val="BodyText"/>
      </w:pPr>
      <w:r>
        <w:t xml:space="preserve">1.6</w:t>
      </w:r>
      <w:r>
        <w:t xml:space="preserve"> </w:t>
      </w:r>
      <w:r>
        <w:rPr>
          <w:bCs/>
          <w:b/>
        </w:rPr>
        <w:t xml:space="preserve">“</w:t>
      </w:r>
      <w:r>
        <w:rPr>
          <w:bCs/>
          <w:b/>
        </w:rPr>
        <w:t xml:space="preserve">Personal Data Breach</w:t>
      </w:r>
      <w:r>
        <w:rPr>
          <w:bCs/>
          <w:b/>
        </w:rPr>
        <w:t xml:space="preserve">”</w:t>
      </w:r>
      <w:r>
        <w:t xml:space="preserve"> </w:t>
      </w:r>
      <w:r>
        <w:t xml:space="preserve">means a breach of security leading to the accidental or unlawful destruction, loss, alteration, unauthorized disclosure of, or access to Personal Data Processed under this DPA.</w:t>
      </w:r>
    </w:p>
    <w:p>
      <w:pPr>
        <w:pStyle w:val="BodyText"/>
      </w:pPr>
      <w:r>
        <w:t xml:space="preserve">1.7</w:t>
      </w:r>
      <w:r>
        <w:t xml:space="preserve"> </w:t>
      </w:r>
      <w:r>
        <w:rPr>
          <w:bCs/>
          <w:b/>
        </w:rPr>
        <w:t xml:space="preserve">“</w:t>
      </w:r>
      <w:r>
        <w:rPr>
          <w:bCs/>
          <w:b/>
        </w:rPr>
        <w:t xml:space="preserve">Process</w:t>
      </w:r>
      <w:r>
        <w:rPr>
          <w:bCs/>
          <w:b/>
        </w:rPr>
        <w:t xml:space="preserve">”</w:t>
      </w:r>
      <w:r>
        <w:t xml:space="preserve"> </w:t>
      </w:r>
      <w:r>
        <w:t xml:space="preserve">or</w:t>
      </w:r>
      <w:r>
        <w:t xml:space="preserve"> </w:t>
      </w:r>
      <w:r>
        <w:rPr>
          <w:bCs/>
          <w:b/>
        </w:rPr>
        <w:t xml:space="preserve">“</w:t>
      </w:r>
      <w:r>
        <w:rPr>
          <w:bCs/>
          <w:b/>
        </w:rPr>
        <w:t xml:space="preserve">Processing</w:t>
      </w:r>
      <w:r>
        <w:rPr>
          <w:bCs/>
          <w:b/>
        </w:rPr>
        <w:t xml:space="preserve">”</w:t>
      </w:r>
      <w:r>
        <w:t xml:space="preserve"> </w:t>
      </w:r>
      <w:r>
        <w:t xml:space="preserve">means any operation performed on Personal Data, including its collection, recording, storage, use, disclosure, retrieval, alteration, restriction, deletion, or destruction.</w:t>
      </w:r>
    </w:p>
    <w:p>
      <w:pPr>
        <w:pStyle w:val="BodyText"/>
      </w:pPr>
      <w:r>
        <w:t xml:space="preserve">1.8</w:t>
      </w:r>
      <w:r>
        <w:t xml:space="preserve"> </w:t>
      </w:r>
      <w:r>
        <w:rPr>
          <w:bCs/>
          <w:b/>
        </w:rPr>
        <w:t xml:space="preserve">“</w:t>
      </w:r>
      <w:r>
        <w:rPr>
          <w:bCs/>
          <w:b/>
        </w:rPr>
        <w:t xml:space="preserve">Processor</w:t>
      </w:r>
      <w:r>
        <w:rPr>
          <w:bCs/>
          <w:b/>
        </w:rPr>
        <w:t xml:space="preserve">”</w:t>
      </w:r>
      <w:r>
        <w:t xml:space="preserve"> </w:t>
      </w:r>
      <w:r>
        <w:t xml:space="preserve">means a person or entity that Processes Personal Data on behalf of a Controller, or the equivalent term under Applicable Data Protection Law.</w:t>
      </w:r>
    </w:p>
    <w:p>
      <w:pPr>
        <w:pStyle w:val="BodyText"/>
      </w:pPr>
      <w:r>
        <w:t xml:space="preserve">1.9</w:t>
      </w:r>
      <w:r>
        <w:t xml:space="preserve"> </w:t>
      </w:r>
      <w:r>
        <w:rPr>
          <w:bCs/>
          <w:b/>
        </w:rPr>
        <w:t xml:space="preserve">“</w:t>
      </w:r>
      <w:r>
        <w:rPr>
          <w:bCs/>
          <w:b/>
        </w:rPr>
        <w:t xml:space="preserve">Restricted Transfer</w:t>
      </w:r>
      <w:r>
        <w:rPr>
          <w:bCs/>
          <w:b/>
        </w:rPr>
        <w:t xml:space="preserve">”</w:t>
      </w:r>
      <w:r>
        <w:t xml:space="preserve"> </w:t>
      </w:r>
      <w:r>
        <w:t xml:space="preserve">means a transfer of Personal Data subject to restrictions on international transfers under Applicable Data Protection Law.</w:t>
      </w:r>
    </w:p>
    <w:p>
      <w:pPr>
        <w:pStyle w:val="BodyText"/>
      </w:pPr>
      <w:r>
        <w:t xml:space="preserve">1.10</w:t>
      </w:r>
      <w:r>
        <w:t xml:space="preserve"> </w:t>
      </w:r>
      <w:r>
        <w:rPr>
          <w:bCs/>
          <w:b/>
        </w:rPr>
        <w:t xml:space="preserve">“</w:t>
      </w:r>
      <w:r>
        <w:rPr>
          <w:bCs/>
          <w:b/>
        </w:rPr>
        <w:t xml:space="preserve">Security Incident</w:t>
      </w:r>
      <w:r>
        <w:rPr>
          <w:bCs/>
          <w:b/>
        </w:rPr>
        <w:t xml:space="preserve">”</w:t>
      </w:r>
      <w:r>
        <w:t xml:space="preserve"> </w:t>
      </w:r>
      <w:r>
        <w:t xml:space="preserve">means a confirmed breach of AquaRunner247’s security that results in accidental or unlawful destruction, loss, alteration, unauthorized disclosure of, or access to Customer Personal Data. A failed or unsuccessful attempt that does not compromise Customer Personal Data is not, by itself, a Security Incident.</w:t>
      </w:r>
    </w:p>
    <w:p>
      <w:pPr>
        <w:pStyle w:val="BodyText"/>
      </w:pPr>
      <w:r>
        <w:t xml:space="preserve">1.11</w:t>
      </w:r>
      <w:r>
        <w:t xml:space="preserve"> </w:t>
      </w:r>
      <w:r>
        <w:rPr>
          <w:bCs/>
          <w:b/>
        </w:rPr>
        <w:t xml:space="preserve">“</w:t>
      </w:r>
      <w:r>
        <w:rPr>
          <w:bCs/>
          <w:b/>
        </w:rPr>
        <w:t xml:space="preserve">Standard Contractual Clauses</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SCCs</w:t>
      </w:r>
      <w:r>
        <w:rPr>
          <w:bCs/>
          <w:b/>
        </w:rPr>
        <w:t xml:space="preserve">”</w:t>
      </w:r>
      <w:r>
        <w:t xml:space="preserve"> </w:t>
      </w:r>
      <w:r>
        <w:t xml:space="preserve">means the European Commission’s standard contractual clauses adopted by Commission Implementing Decision (EU) 2021/914, as amended or replaced, and, where applicable, the UK International Data Transfer Addendum to the EU Commission Standard Contractual Clauses issued by the UK Information Commissioner’s Office.</w:t>
      </w:r>
    </w:p>
    <w:p>
      <w:pPr>
        <w:pStyle w:val="BodyText"/>
      </w:pPr>
      <w:r>
        <w:t xml:space="preserve">1.12</w:t>
      </w:r>
      <w:r>
        <w:t xml:space="preserve"> </w:t>
      </w:r>
      <w:r>
        <w:rPr>
          <w:bCs/>
          <w:b/>
        </w:rPr>
        <w:t xml:space="preserve">“</w:t>
      </w:r>
      <w:r>
        <w:rPr>
          <w:bCs/>
          <w:b/>
        </w:rPr>
        <w:t xml:space="preserve">Subprocessor</w:t>
      </w:r>
      <w:r>
        <w:rPr>
          <w:bCs/>
          <w:b/>
        </w:rPr>
        <w:t xml:space="preserve">”</w:t>
      </w:r>
      <w:r>
        <w:t xml:space="preserve"> </w:t>
      </w:r>
      <w:r>
        <w:t xml:space="preserve">means a third party engaged by AquaRunner247 to Process Customer Personal Data on AquaRunner247’s behalf in connection with the Services.</w:t>
      </w:r>
    </w:p>
    <w:p>
      <w:pPr>
        <w:pStyle w:val="BodyText"/>
      </w:pPr>
      <w:r>
        <w:t xml:space="preserve">1.13</w:t>
      </w:r>
      <w:r>
        <w:t xml:space="preserve"> </w:t>
      </w:r>
      <w:r>
        <w:rPr>
          <w:bCs/>
          <w:b/>
        </w:rPr>
        <w:t xml:space="preserve">“</w:t>
      </w:r>
      <w:r>
        <w:rPr>
          <w:bCs/>
          <w:b/>
        </w:rPr>
        <w:t xml:space="preserve">Supervisory Authority</w:t>
      </w:r>
      <w:r>
        <w:rPr>
          <w:bCs/>
          <w:b/>
        </w:rPr>
        <w:t xml:space="preserve">”</w:t>
      </w:r>
      <w:r>
        <w:t xml:space="preserve"> </w:t>
      </w:r>
      <w:r>
        <w:t xml:space="preserve">means an independent public authority responsible for enforcing Applicable Data Protection Law.</w:t>
      </w:r>
    </w:p>
    <w:p>
      <w:pPr>
        <w:pStyle w:val="BodyText"/>
      </w:pPr>
      <w:r>
        <w:t xml:space="preserve">1.14</w:t>
      </w:r>
      <w:r>
        <w:t xml:space="preserve"> </w:t>
      </w:r>
      <w:r>
        <w:rPr>
          <w:bCs/>
          <w:b/>
        </w:rPr>
        <w:t xml:space="preserve">“</w:t>
      </w:r>
      <w:r>
        <w:rPr>
          <w:bCs/>
          <w:b/>
        </w:rPr>
        <w:t xml:space="preserve">UK GDPR</w:t>
      </w:r>
      <w:r>
        <w:rPr>
          <w:bCs/>
          <w:b/>
        </w:rPr>
        <w:t xml:space="preserve">”</w:t>
      </w:r>
      <w:r>
        <w:t xml:space="preserve"> </w:t>
      </w:r>
      <w:r>
        <w:t xml:space="preserve">means the UK General Data Protection Regulation, as it forms part of the law of the United Kingdom.</w:t>
      </w:r>
    </w:p>
    <w:bookmarkEnd w:id="20"/>
    <w:bookmarkStart w:id="21" w:name="scope-roles-and-term"/>
    <w:p>
      <w:pPr>
        <w:pStyle w:val="Heading2"/>
      </w:pPr>
      <w:r>
        <w:t xml:space="preserve">2. Scope, Roles, and Term</w:t>
      </w:r>
    </w:p>
    <w:p>
      <w:pPr>
        <w:pStyle w:val="FirstParagraph"/>
      </w:pPr>
      <w:r>
        <w:t xml:space="preserve">2.1</w:t>
      </w:r>
      <w:r>
        <w:t xml:space="preserve"> </w:t>
      </w:r>
      <w:r>
        <w:rPr>
          <w:bCs/>
          <w:b/>
        </w:rPr>
        <w:t xml:space="preserve">Scope.</w:t>
      </w:r>
      <w:r>
        <w:t xml:space="preserve"> </w:t>
      </w:r>
      <w:r>
        <w:t xml:space="preserve">This DPA applies to AquaRunner247’s Processing of Personal Data on behalf of Customer through the Services. The nature, purposes, categories of Personal Data, categories of Data Subjects, and frequency of Processing are described in</w:t>
      </w:r>
      <w:r>
        <w:t xml:space="preserve"> </w:t>
      </w:r>
      <w:r>
        <w:rPr>
          <w:bCs/>
          <w:b/>
        </w:rPr>
        <w:t xml:space="preserve">Annex 1</w:t>
      </w:r>
      <w:r>
        <w:t xml:space="preserve">.</w:t>
      </w:r>
    </w:p>
    <w:p>
      <w:pPr>
        <w:pStyle w:val="BodyText"/>
      </w:pPr>
      <w:r>
        <w:t xml:space="preserve">2.2</w:t>
      </w:r>
      <w:r>
        <w:t xml:space="preserve"> </w:t>
      </w:r>
      <w:r>
        <w:rPr>
          <w:bCs/>
          <w:b/>
        </w:rPr>
        <w:t xml:space="preserve">Roles; dual framing.</w:t>
      </w:r>
      <w:r>
        <w:t xml:space="preserve"> </w:t>
      </w:r>
      <w:r>
        <w:t xml:space="preserve">For Personal Data Customer or its authorized users submit to the Services about Customer’s technicians, staff, End Customers, properties, pools, and operations, Customer acts as Controller or business and AquaRunner247 acts as Processor or service provider. This DPA is intended to satisfy both the GDPR Article 28 processor-term requirements and the CCPA service-provider contract-term requirements: AquaRunner247 processes Customer Personal Data only on Customer’s documented instructions, does not sell or share it as those terms are defined under the CCPA, and does not retain, use, or disclose it for any purpose other than providing the Services, except as permitted by Applicable Data Protection Law. The Parties acknowledge that their roles may differ for particular Processing where Applicable Data Protection Law so requires. Nothing in this DPA makes AquaRunner247 the Controller of Personal Data that AquaRunner247 Processes solely on Customer’s documented instructions.</w:t>
      </w:r>
    </w:p>
    <w:p>
      <w:pPr>
        <w:pStyle w:val="BodyText"/>
      </w:pPr>
      <w:r>
        <w:t xml:space="preserve">2.3</w:t>
      </w:r>
      <w:r>
        <w:t xml:space="preserve"> </w:t>
      </w:r>
      <w:r>
        <w:rPr>
          <w:bCs/>
          <w:b/>
        </w:rPr>
        <w:t xml:space="preserve">Term.</w:t>
      </w:r>
      <w:r>
        <w:t xml:space="preserve"> </w:t>
      </w:r>
      <w:r>
        <w:t xml:space="preserve">This DPA takes effect on the date Customer accepts the Agreement or otherwise agrees to use the Services, and continues for as long as AquaRunner247 Processes Personal Data on Customer’s behalf.</w:t>
      </w:r>
    </w:p>
    <w:p>
      <w:pPr>
        <w:pStyle w:val="BodyText"/>
      </w:pPr>
      <w:r>
        <w:t xml:space="preserve">2.4</w:t>
      </w:r>
      <w:r>
        <w:t xml:space="preserve"> </w:t>
      </w:r>
      <w:r>
        <w:rPr>
          <w:bCs/>
          <w:b/>
        </w:rPr>
        <w:t xml:space="preserve">Customer’s customers.</w:t>
      </w:r>
      <w:r>
        <w:t xml:space="preserve"> </w:t>
      </w:r>
      <w:r>
        <w:t xml:space="preserve">Customer is responsible for determining its role and obligations where it Processes Personal Data on behalf of its own customers or other third parties. Customer must ensure that its agreements and instructions authorize the Processing and permit Customer to provide the instructions required under this DPA.</w:t>
      </w:r>
    </w:p>
    <w:bookmarkEnd w:id="21"/>
    <w:bookmarkStart w:id="22" w:name="X69ee4ca7f2a6a261b007e30043cf97430186b99"/>
    <w:p>
      <w:pPr>
        <w:pStyle w:val="Heading2"/>
      </w:pPr>
      <w:r>
        <w:t xml:space="preserve">3. Customer Instructions and Responsibilities</w:t>
      </w:r>
    </w:p>
    <w:p>
      <w:pPr>
        <w:pStyle w:val="FirstParagraph"/>
      </w:pPr>
      <w:r>
        <w:t xml:space="preserve">3.1</w:t>
      </w:r>
      <w:r>
        <w:t xml:space="preserve"> </w:t>
      </w:r>
      <w:r>
        <w:rPr>
          <w:bCs/>
          <w:b/>
        </w:rPr>
        <w:t xml:space="preserve">Documented instructions.</w:t>
      </w:r>
      <w:r>
        <w:t xml:space="preserve"> </w:t>
      </w:r>
      <w:r>
        <w:t xml:space="preserve">AquaRunner247 will Process Customer Personal Data only on Customer’s documented instructions, including instructions in the Agreement, this DPA, Customer’s configuration and use of the Services, and subsequent written instructions consistent with the Agreement. AquaRunner247 may Process Personal Data as necessary to provide, secure, maintain, and support the Services, as further described in Annex 1.</w:t>
      </w:r>
    </w:p>
    <w:p>
      <w:pPr>
        <w:pStyle w:val="BodyText"/>
      </w:pPr>
      <w:r>
        <w:t xml:space="preserve">3.2</w:t>
      </w:r>
      <w:r>
        <w:t xml:space="preserve"> </w:t>
      </w:r>
      <w:r>
        <w:rPr>
          <w:bCs/>
          <w:b/>
        </w:rPr>
        <w:t xml:space="preserve">Instructions that may violate law.</w:t>
      </w:r>
      <w:r>
        <w:t xml:space="preserve"> </w:t>
      </w:r>
      <w:r>
        <w:t xml:space="preserve">If AquaRunner247 believes an instruction violates Applicable Data Protection Law, it will inform Customer unless prohibited by law. The Parties will work in good faith to resolve the concern. AquaRunner247 may suspend the affected Processing while the concern is unresolved where reasonably necessary to comply with law.</w:t>
      </w:r>
    </w:p>
    <w:p>
      <w:pPr>
        <w:pStyle w:val="BodyText"/>
      </w:pPr>
      <w:r>
        <w:t xml:space="preserve">3.3</w:t>
      </w:r>
      <w:r>
        <w:t xml:space="preserve"> </w:t>
      </w:r>
      <w:r>
        <w:rPr>
          <w:bCs/>
          <w:b/>
        </w:rPr>
        <w:t xml:space="preserve">Customer obligations.</w:t>
      </w:r>
      <w:r>
        <w:t xml:space="preserve"> </w:t>
      </w:r>
      <w:r>
        <w:t xml:space="preserve">Customer is responsible for:</w:t>
      </w:r>
    </w:p>
    <w:p>
      <w:pPr>
        <w:numPr>
          <w:ilvl w:val="0"/>
          <w:numId w:val="1001"/>
        </w:numPr>
      </w:pPr>
      <w:r>
        <w:t xml:space="preserve">complying with Applicable Data Protection Law in its collection, use, disclosure, and other Processing of Personal Data;</w:t>
      </w:r>
    </w:p>
    <w:p>
      <w:pPr>
        <w:numPr>
          <w:ilvl w:val="0"/>
          <w:numId w:val="1001"/>
        </w:numPr>
      </w:pPr>
      <w:r>
        <w:t xml:space="preserve">establishing and documenting a lawful basis for Processing and, where required, obtaining valid consents and providing legally compliant privacy notices to Data Subjects, including its employees, technicians, customers, property contacts, and other individuals whose information Customer enters into the Services;</w:t>
      </w:r>
    </w:p>
    <w:p>
      <w:pPr>
        <w:numPr>
          <w:ilvl w:val="0"/>
          <w:numId w:val="1001"/>
        </w:numPr>
      </w:pPr>
      <w:r>
        <w:t xml:space="preserve">ensuring its instructions to AquaRunner247 are lawful and that it has authority to give those instructions;</w:t>
      </w:r>
    </w:p>
    <w:p>
      <w:pPr>
        <w:numPr>
          <w:ilvl w:val="0"/>
          <w:numId w:val="1001"/>
        </w:numPr>
      </w:pPr>
      <w:r>
        <w:t xml:space="preserve">maintaining the accuracy and quality of Personal Data it submits, including reviewing information extracted by the document scanner and correcting inaccurate or incomplete records;</w:t>
      </w:r>
    </w:p>
    <w:p>
      <w:pPr>
        <w:numPr>
          <w:ilvl w:val="0"/>
          <w:numId w:val="1001"/>
        </w:numPr>
      </w:pPr>
      <w:r>
        <w:t xml:space="preserve">configuring and using customer-facing portals, pump room QR codes, reports, email delivery, and other sharing features appropriately, including determining whether and with whom records may be shared or made accessible;</w:t>
      </w:r>
    </w:p>
    <w:p>
      <w:pPr>
        <w:numPr>
          <w:ilvl w:val="0"/>
          <w:numId w:val="1001"/>
        </w:numPr>
      </w:pPr>
      <w:r>
        <w:t xml:space="preserve">managing user accounts, permissions, device access, and credentials for its users; and</w:t>
      </w:r>
    </w:p>
    <w:p>
      <w:pPr>
        <w:numPr>
          <w:ilvl w:val="0"/>
          <w:numId w:val="1001"/>
        </w:numPr>
      </w:pPr>
      <w:r>
        <w:t xml:space="preserve">determining and verifying the accuracy of chemical readings, dosage decisions, service records, inspection records, and regulatory compliance records entered into or generated through the Services.</w:t>
      </w:r>
    </w:p>
    <w:p>
      <w:pPr>
        <w:pStyle w:val="FirstParagraph"/>
      </w:pPr>
      <w:r>
        <w:t xml:space="preserve">3.4</w:t>
      </w:r>
      <w:r>
        <w:t xml:space="preserve"> </w:t>
      </w:r>
      <w:r>
        <w:rPr>
          <w:bCs/>
          <w:b/>
        </w:rPr>
        <w:t xml:space="preserve">Operational and regulatory decisions.</w:t>
      </w:r>
      <w:r>
        <w:t xml:space="preserve"> </w:t>
      </w:r>
      <w:r>
        <w:t xml:space="preserve">The Services, including the compliance and inspection features, chemical dosage calculator, route optimization, geofenced arrival records, photos, and document scanner, are tools to assist Customer’s operations. They do not constitute legal, medical, health-department, safety, or professional advice and do not replace Customer’s independent judgment or applicable regulatory requirements. Customer remains responsible for deciding how to service each property, verifying dosage calculations and readings, maintaining accurate compliance records, and determining whether its work meets applicable laws, regulations, permits, and health-department requirements. AquaRunner247 does not guarantee that use of the Services will result in passing an inspection or achieving regulatory compliance.</w:t>
      </w:r>
    </w:p>
    <w:p>
      <w:pPr>
        <w:pStyle w:val="BodyText"/>
      </w:pPr>
      <w:r>
        <w:t xml:space="preserve">3.5</w:t>
      </w:r>
      <w:r>
        <w:t xml:space="preserve"> </w:t>
      </w:r>
      <w:r>
        <w:rPr>
          <w:bCs/>
          <w:b/>
        </w:rPr>
        <w:t xml:space="preserve">Prohibited information.</w:t>
      </w:r>
      <w:r>
        <w:t xml:space="preserve"> </w:t>
      </w:r>
      <w:r>
        <w:t xml:space="preserve">Unless the Parties agree otherwise in writing, Customer will not intentionally submit special categories of Personal Data, sensitive Personal Data, payment card data, government identification numbers, or other highly sensitive information to the Services. Customer will avoid including unnecessary personal information in photos, inspection reports, notes, or other uploads.</w:t>
      </w:r>
    </w:p>
    <w:bookmarkEnd w:id="22"/>
    <w:bookmarkStart w:id="23" w:name="aquarunner247-obligations"/>
    <w:p>
      <w:pPr>
        <w:pStyle w:val="Heading2"/>
      </w:pPr>
      <w:r>
        <w:t xml:space="preserve">4. AquaRunner247 Obligations</w:t>
      </w:r>
    </w:p>
    <w:p>
      <w:pPr>
        <w:pStyle w:val="FirstParagraph"/>
      </w:pPr>
      <w:r>
        <w:t xml:space="preserve">4.1</w:t>
      </w:r>
      <w:r>
        <w:t xml:space="preserve"> </w:t>
      </w:r>
      <w:r>
        <w:rPr>
          <w:bCs/>
          <w:b/>
        </w:rPr>
        <w:t xml:space="preserve">Processing and confidentiality.</w:t>
      </w:r>
      <w:r>
        <w:t xml:space="preserve"> </w:t>
      </w:r>
      <w:r>
        <w:t xml:space="preserve">AquaRunner247 will:</w:t>
      </w:r>
    </w:p>
    <w:p>
      <w:pPr>
        <w:numPr>
          <w:ilvl w:val="0"/>
          <w:numId w:val="1002"/>
        </w:numPr>
      </w:pPr>
      <w:r>
        <w:t xml:space="preserve">Process Customer Personal Data only as permitted by Section 3;</w:t>
      </w:r>
    </w:p>
    <w:p>
      <w:pPr>
        <w:numPr>
          <w:ilvl w:val="0"/>
          <w:numId w:val="1002"/>
        </w:numPr>
      </w:pPr>
      <w:r>
        <w:t xml:space="preserve">ensure that persons authorized to Process Customer Personal Data are bound by appropriate confidentiality obligations; and</w:t>
      </w:r>
    </w:p>
    <w:p>
      <w:pPr>
        <w:numPr>
          <w:ilvl w:val="0"/>
          <w:numId w:val="1002"/>
        </w:numPr>
      </w:pPr>
      <w:r>
        <w:t xml:space="preserve">implement and maintain the technical and organizational measures described in</w:t>
      </w:r>
      <w:r>
        <w:t xml:space="preserve"> </w:t>
      </w:r>
      <w:r>
        <w:rPr>
          <w:bCs/>
          <w:b/>
        </w:rPr>
        <w:t xml:space="preserve">Annex 2</w:t>
      </w:r>
      <w:r>
        <w:t xml:space="preserve">, taking into account the nature of the Services, the information available to AquaRunner247, and the risks associated with Processing.</w:t>
      </w:r>
    </w:p>
    <w:p>
      <w:pPr>
        <w:pStyle w:val="FirstParagraph"/>
      </w:pPr>
      <w:r>
        <w:t xml:space="preserve">4.2</w:t>
      </w:r>
      <w:r>
        <w:t xml:space="preserve"> </w:t>
      </w:r>
      <w:r>
        <w:rPr>
          <w:bCs/>
          <w:b/>
        </w:rPr>
        <w:t xml:space="preserve">Security measures.</w:t>
      </w:r>
      <w:r>
        <w:t xml:space="preserve"> </w:t>
      </w:r>
      <w:r>
        <w:t xml:space="preserve">AquaRunner247 will maintain appropriate technical and organizational measures designed to protect Customer Personal Data against accidental or unlawful destruction, loss, alteration, unauthorized disclosure, or access. The measures in Annex 2 describe the safeguards applicable to the Services. AquaRunner247 may update them from time to time provided that it does not materially reduce the overall level of protection during the term of the Agreement.</w:t>
      </w:r>
    </w:p>
    <w:p>
      <w:pPr>
        <w:pStyle w:val="BodyText"/>
      </w:pPr>
      <w:r>
        <w:t xml:space="preserve">4.3</w:t>
      </w:r>
      <w:r>
        <w:t xml:space="preserve"> </w:t>
      </w:r>
      <w:r>
        <w:rPr>
          <w:bCs/>
          <w:b/>
        </w:rPr>
        <w:t xml:space="preserve">Compliance information.</w:t>
      </w:r>
      <w:r>
        <w:t xml:space="preserve"> </w:t>
      </w:r>
      <w:r>
        <w:t xml:space="preserve">On Customer’s reasonable written request, AquaRunner247 will make available information reasonably necessary to demonstrate its compliance with this DPA, subject to confidentiality, security, and third-party restrictions.</w:t>
      </w:r>
    </w:p>
    <w:p>
      <w:pPr>
        <w:pStyle w:val="BodyText"/>
      </w:pPr>
      <w:r>
        <w:t xml:space="preserve">4.4</w:t>
      </w:r>
      <w:r>
        <w:t xml:space="preserve"> </w:t>
      </w:r>
      <w:r>
        <w:rPr>
          <w:bCs/>
          <w:b/>
        </w:rPr>
        <w:t xml:space="preserve">No independent use.</w:t>
      </w:r>
      <w:r>
        <w:t xml:space="preserve"> </w:t>
      </w:r>
      <w:r>
        <w:t xml:space="preserve">Except as allowed under Section 11 for aggregated and de-identified information, AquaRunner247 will not sell Customer Personal Data or use it for advertising directed to Data Subjects.</w:t>
      </w:r>
    </w:p>
    <w:bookmarkEnd w:id="23"/>
    <w:bookmarkStart w:id="24" w:name="subprocessors"/>
    <w:p>
      <w:pPr>
        <w:pStyle w:val="Heading2"/>
      </w:pPr>
      <w:r>
        <w:t xml:space="preserve">5. Subprocessors</w:t>
      </w:r>
    </w:p>
    <w:p>
      <w:pPr>
        <w:pStyle w:val="FirstParagraph"/>
      </w:pPr>
      <w:r>
        <w:t xml:space="preserve">5.1</w:t>
      </w:r>
      <w:r>
        <w:t xml:space="preserve"> </w:t>
      </w:r>
      <w:r>
        <w:rPr>
          <w:bCs/>
          <w:b/>
        </w:rPr>
        <w:t xml:space="preserve">General authorization.</w:t>
      </w:r>
      <w:r>
        <w:t xml:space="preserve"> </w:t>
      </w:r>
      <w:r>
        <w:t xml:space="preserve">Customer provides AquaRunner247 general written authorization to engage Subprocessors to Process Customer Personal Data, subject to this Section. The current Subprocessors are listed by name in</w:t>
      </w:r>
      <w:r>
        <w:t xml:space="preserve"> </w:t>
      </w:r>
      <w:r>
        <w:rPr>
          <w:bCs/>
          <w:b/>
        </w:rPr>
        <w:t xml:space="preserve">Annex 3</w:t>
      </w:r>
      <w:r>
        <w:t xml:space="preserve">.</w:t>
      </w:r>
    </w:p>
    <w:p>
      <w:pPr>
        <w:pStyle w:val="BodyText"/>
      </w:pPr>
      <w:r>
        <w:t xml:space="preserve">5.2</w:t>
      </w:r>
      <w:r>
        <w:t xml:space="preserve"> </w:t>
      </w:r>
      <w:r>
        <w:rPr>
          <w:bCs/>
          <w:b/>
        </w:rPr>
        <w:t xml:space="preserve">Subprocessor obligations.</w:t>
      </w:r>
      <w:r>
        <w:t xml:space="preserve"> </w:t>
      </w:r>
      <w:r>
        <w:t xml:space="preserve">AquaRunner247 will impose data protection obligations on each Subprocessor that are no less protective of Customer Personal Data than the applicable obligations in this DPA. AquaRunner247 remains responsible for its Subprocessors’ performance of their data protection obligations to the extent required by Applicable Data Protection Law.</w:t>
      </w:r>
    </w:p>
    <w:p>
      <w:pPr>
        <w:pStyle w:val="BodyText"/>
      </w:pPr>
      <w:r>
        <w:t xml:space="preserve">5.3</w:t>
      </w:r>
      <w:r>
        <w:t xml:space="preserve"> </w:t>
      </w:r>
      <w:r>
        <w:rPr>
          <w:bCs/>
          <w:b/>
        </w:rPr>
        <w:t xml:space="preserve">Notice of changes.</w:t>
      </w:r>
      <w:r>
        <w:t xml:space="preserve"> </w:t>
      </w:r>
      <w:r>
        <w:t xml:space="preserve">AquaRunner247 will give Customer at least</w:t>
      </w:r>
      <w:r>
        <w:t xml:space="preserve"> </w:t>
      </w:r>
      <w:r>
        <w:rPr>
          <w:bCs/>
          <w:b/>
        </w:rPr>
        <w:t xml:space="preserve">10 days</w:t>
      </w:r>
      <w:r>
        <w:t xml:space="preserve">’ advance notice of the addition or replacement of a Subprocessor that will Process Customer Personal Data, where practicable. Notice may be provided by email to Customer’s admin contact, through the Services, or by posting an updated Subprocessor list at</w:t>
      </w:r>
      <w:r>
        <w:t xml:space="preserve"> </w:t>
      </w:r>
      <w:r>
        <w:rPr>
          <w:bCs/>
          <w:b/>
        </w:rPr>
        <w:t xml:space="preserve">[Subprocessor notice webpage or URL]</w:t>
      </w:r>
      <w:r>
        <w:t xml:space="preserve">.</w:t>
      </w:r>
    </w:p>
    <w:p>
      <w:pPr>
        <w:pStyle w:val="BodyText"/>
      </w:pPr>
      <w:r>
        <w:t xml:space="preserve">5.4</w:t>
      </w:r>
      <w:r>
        <w:t xml:space="preserve"> </w:t>
      </w:r>
      <w:r>
        <w:rPr>
          <w:bCs/>
          <w:b/>
        </w:rPr>
        <w:t xml:space="preserve">Objections.</w:t>
      </w:r>
      <w:r>
        <w:t xml:space="preserve"> </w:t>
      </w:r>
      <w:r>
        <w:t xml:space="preserve">Customer may object in writing to a proposed Subprocessor within</w:t>
      </w:r>
      <w:r>
        <w:t xml:space="preserve"> </w:t>
      </w:r>
      <w:r>
        <w:rPr>
          <w:bCs/>
          <w:b/>
        </w:rPr>
        <w:t xml:space="preserve">15 days</w:t>
      </w:r>
      <w:r>
        <w:t xml:space="preserve"> </w:t>
      </w:r>
      <w:r>
        <w:t xml:space="preserve">after notice, on reasonable, documented data protection grounds. The objection must identify the specific concern and the affected Processing. The Parties will work in good faith to address the concern, which may include additional safeguards, an alternative Subprocessor, or disabling the affected functionality where practicable. If the Parties cannot resolve the objection within a reasonable period, either Party may terminate the affected Services or feature, or, if the affected Processing is material to the Services and no reasonable alternative is available, Customer may terminate the affected portion of the Agreement without penalty, subject to payment for Services already provided. AquaRunner247 may continue to use the Subprocessor for unaffected Processing.</w:t>
      </w:r>
    </w:p>
    <w:p>
      <w:pPr>
        <w:pStyle w:val="BodyText"/>
      </w:pPr>
      <w:r>
        <w:t xml:space="preserve">5.5</w:t>
      </w:r>
      <w:r>
        <w:t xml:space="preserve"> </w:t>
      </w:r>
      <w:r>
        <w:rPr>
          <w:bCs/>
          <w:b/>
        </w:rPr>
        <w:t xml:space="preserve">Subprocessor list.</w:t>
      </w:r>
      <w:r>
        <w:t xml:space="preserve"> </w:t>
      </w:r>
      <w:r>
        <w:t xml:space="preserve">AquaRunner247 will maintain an up-to-date list of its authorized Subprocessors and their processing locations in Annex 3 or at the notice URL specified above.</w:t>
      </w:r>
    </w:p>
    <w:bookmarkEnd w:id="24"/>
    <w:bookmarkStart w:id="25" w:name="Xaab811b78c47f525cb7f833dd0147bfd0a4a157"/>
    <w:p>
      <w:pPr>
        <w:pStyle w:val="Heading2"/>
      </w:pPr>
      <w:r>
        <w:t xml:space="preserve">6. Data Subject Requests and Regulatory Assistance</w:t>
      </w:r>
    </w:p>
    <w:p>
      <w:pPr>
        <w:pStyle w:val="FirstParagraph"/>
      </w:pPr>
      <w:r>
        <w:t xml:space="preserve">6.1</w:t>
      </w:r>
      <w:r>
        <w:t xml:space="preserve"> </w:t>
      </w:r>
      <w:r>
        <w:rPr>
          <w:bCs/>
          <w:b/>
        </w:rPr>
        <w:t xml:space="preserve">Data Subject requests.</w:t>
      </w:r>
      <w:r>
        <w:t xml:space="preserve"> </w:t>
      </w:r>
      <w:r>
        <w:t xml:space="preserve">Taking into account the nature of the Processing, AquaRunner247 will provide reasonable assistance to Customer, through appropriate technical and organizational measures where possible, to help Customer respond to requests by Data Subjects to exercise their rights under Applicable Data Protection Law.</w:t>
      </w:r>
    </w:p>
    <w:p>
      <w:pPr>
        <w:pStyle w:val="BodyText"/>
      </w:pPr>
      <w:r>
        <w:t xml:space="preserve">6.2</w:t>
      </w:r>
      <w:r>
        <w:t xml:space="preserve"> </w:t>
      </w:r>
      <w:r>
        <w:rPr>
          <w:bCs/>
          <w:b/>
        </w:rPr>
        <w:t xml:space="preserve">Forwarding requests.</w:t>
      </w:r>
      <w:r>
        <w:t xml:space="preserve"> </w:t>
      </w:r>
      <w:r>
        <w:t xml:space="preserve">If AquaRunner247 receives a request from a Data Subject relating to Customer Personal Data, AquaRunner247 will, where legally permitted, promptly direct the requester to Customer and notify Customer. AquaRunner247 will not respond to the request except to acknowledge receipt or as required by law or as otherwise instructed by Customer.</w:t>
      </w:r>
    </w:p>
    <w:p>
      <w:pPr>
        <w:pStyle w:val="BodyText"/>
      </w:pPr>
      <w:r>
        <w:t xml:space="preserve">6.3</w:t>
      </w:r>
      <w:r>
        <w:t xml:space="preserve"> </w:t>
      </w:r>
      <w:r>
        <w:rPr>
          <w:bCs/>
          <w:b/>
        </w:rPr>
        <w:t xml:space="preserve">Impact assessments and consultations.</w:t>
      </w:r>
      <w:r>
        <w:t xml:space="preserve"> </w:t>
      </w:r>
      <w:r>
        <w:t xml:space="preserve">Taking into account the nature of the Processing and information available to AquaRunner247, AquaRunner247 will provide reasonable assistance to Customer with data protection impact assessments and prior consultations with Supervisory Authorities that are required under Applicable Data Protection Law for the Processing covered by this DPA. Customer will reimburse AquaRunner247 for reasonable costs of assistance beyond ordinary support, if disclosed to Customer in advance.</w:t>
      </w:r>
    </w:p>
    <w:p>
      <w:pPr>
        <w:pStyle w:val="BodyText"/>
      </w:pPr>
      <w:r>
        <w:t xml:space="preserve">6.4</w:t>
      </w:r>
      <w:r>
        <w:t xml:space="preserve"> </w:t>
      </w:r>
      <w:r>
        <w:rPr>
          <w:bCs/>
          <w:b/>
        </w:rPr>
        <w:t xml:space="preserve">Customer cooperation.</w:t>
      </w:r>
      <w:r>
        <w:t xml:space="preserve"> </w:t>
      </w:r>
      <w:r>
        <w:t xml:space="preserve">Customer will provide information reasonably necessary for AquaRunner247 to provide the assistance described in this Section and remains responsible for assessing and responding to Data Subject requests and regulatory obligations.</w:t>
      </w:r>
    </w:p>
    <w:bookmarkEnd w:id="25"/>
    <w:bookmarkStart w:id="26" w:name="X9f24deca0c80b1189499b60622f23ac0de8d53a"/>
    <w:p>
      <w:pPr>
        <w:pStyle w:val="Heading2"/>
      </w:pPr>
      <w:r>
        <w:t xml:space="preserve">7. Security Incidents and Personal Data Breaches</w:t>
      </w:r>
    </w:p>
    <w:p>
      <w:pPr>
        <w:pStyle w:val="FirstParagraph"/>
      </w:pPr>
      <w:r>
        <w:t xml:space="preserve">7.1</w:t>
      </w:r>
      <w:r>
        <w:t xml:space="preserve"> </w:t>
      </w:r>
      <w:r>
        <w:rPr>
          <w:bCs/>
          <w:b/>
        </w:rPr>
        <w:t xml:space="preserve">Notification.</w:t>
      </w:r>
      <w:r>
        <w:t xml:space="preserve"> </w:t>
      </w:r>
      <w:r>
        <w:t xml:space="preserve">AquaRunner247 will notify Customer without undue delay, and in any case within</w:t>
      </w:r>
      <w:r>
        <w:t xml:space="preserve"> </w:t>
      </w:r>
      <w:r>
        <w:rPr>
          <w:bCs/>
          <w:b/>
        </w:rPr>
        <w:t xml:space="preserve">72 hours</w:t>
      </w:r>
      <w:r>
        <w:t xml:space="preserve">, after becoming aware of a Security Incident involving Customer Personal Data. Notification will be sent to</w:t>
      </w:r>
      <w:r>
        <w:t xml:space="preserve"> </w:t>
      </w:r>
      <w:r>
        <w:rPr>
          <w:bCs/>
          <w:b/>
        </w:rPr>
        <w:t xml:space="preserve">[Customer security/privacy notice email or contact]</w:t>
      </w:r>
      <w:r>
        <w:t xml:space="preserve"> </w:t>
      </w:r>
      <w:r>
        <w:t xml:space="preserve">or another contact Customer designates in writing.</w:t>
      </w:r>
    </w:p>
    <w:p>
      <w:pPr>
        <w:pStyle w:val="BodyText"/>
      </w:pPr>
      <w:r>
        <w:t xml:space="preserve">7.2</w:t>
      </w:r>
      <w:r>
        <w:t xml:space="preserve"> </w:t>
      </w:r>
      <w:r>
        <w:rPr>
          <w:bCs/>
          <w:b/>
        </w:rPr>
        <w:t xml:space="preserve">Notification contents.</w:t>
      </w:r>
      <w:r>
        <w:t xml:space="preserve"> </w:t>
      </w:r>
      <w:r>
        <w:t xml:space="preserve">To the extent information is reasonably available at the time, AquaRunner247’s notice will include:</w:t>
      </w:r>
    </w:p>
    <w:p>
      <w:pPr>
        <w:numPr>
          <w:ilvl w:val="0"/>
          <w:numId w:val="1003"/>
        </w:numPr>
      </w:pPr>
      <w:r>
        <w:t xml:space="preserve">a description of the nature of the Security Incident, including, where possible, the categories and approximate number of affected Data Subjects and records;</w:t>
      </w:r>
    </w:p>
    <w:p>
      <w:pPr>
        <w:numPr>
          <w:ilvl w:val="0"/>
          <w:numId w:val="1003"/>
        </w:numPr>
      </w:pPr>
      <w:r>
        <w:t xml:space="preserve">the likely consequences of the Security Incident;</w:t>
      </w:r>
    </w:p>
    <w:p>
      <w:pPr>
        <w:numPr>
          <w:ilvl w:val="0"/>
          <w:numId w:val="1003"/>
        </w:numPr>
      </w:pPr>
      <w:r>
        <w:t xml:space="preserve">the measures taken or proposed to address the Security Incident and mitigate possible adverse effects; and</w:t>
      </w:r>
    </w:p>
    <w:p>
      <w:pPr>
        <w:numPr>
          <w:ilvl w:val="0"/>
          <w:numId w:val="1003"/>
        </w:numPr>
      </w:pPr>
      <w:r>
        <w:t xml:space="preserve">a contact point for further information.</w:t>
      </w:r>
    </w:p>
    <w:p>
      <w:pPr>
        <w:pStyle w:val="FirstParagraph"/>
      </w:pPr>
      <w:r>
        <w:t xml:space="preserve">If not all information is available at once, AquaRunner247 may provide it in phases without undue further delay.</w:t>
      </w:r>
    </w:p>
    <w:p>
      <w:pPr>
        <w:pStyle w:val="BodyText"/>
      </w:pPr>
      <w:r>
        <w:t xml:space="preserve">7.3</w:t>
      </w:r>
      <w:r>
        <w:t xml:space="preserve"> </w:t>
      </w:r>
      <w:r>
        <w:rPr>
          <w:bCs/>
          <w:b/>
        </w:rPr>
        <w:t xml:space="preserve">Response.</w:t>
      </w:r>
      <w:r>
        <w:t xml:space="preserve"> </w:t>
      </w:r>
      <w:r>
        <w:t xml:space="preserve">AquaRunner247 will take reasonable steps to contain, investigate, and mitigate the Security Incident. AquaRunner247’s notice or response is not an admission of fault or liability.</w:t>
      </w:r>
    </w:p>
    <w:p>
      <w:pPr>
        <w:pStyle w:val="BodyText"/>
      </w:pPr>
      <w:r>
        <w:t xml:space="preserve">7.4</w:t>
      </w:r>
      <w:r>
        <w:t xml:space="preserve"> </w:t>
      </w:r>
      <w:r>
        <w:rPr>
          <w:bCs/>
          <w:b/>
        </w:rPr>
        <w:t xml:space="preserve">Customer obligations.</w:t>
      </w:r>
      <w:r>
        <w:t xml:space="preserve"> </w:t>
      </w:r>
      <w:r>
        <w:t xml:space="preserve">Customer is responsible for determining whether it must notify Data Subjects, a Supervisory Authority, or any other person or authority, and for making any such notification within applicable legal deadlines. Customer will not identify AquaRunner247 in a public statement concerning an incident without first consulting AquaRunner247, unless required by law.</w:t>
      </w:r>
    </w:p>
    <w:bookmarkEnd w:id="26"/>
    <w:bookmarkStart w:id="27" w:name="international-transfers"/>
    <w:p>
      <w:pPr>
        <w:pStyle w:val="Heading2"/>
      </w:pPr>
      <w:r>
        <w:t xml:space="preserve">8. International Transfers</w:t>
      </w:r>
    </w:p>
    <w:p>
      <w:pPr>
        <w:pStyle w:val="FirstParagraph"/>
      </w:pPr>
      <w:r>
        <w:t xml:space="preserve">8.1</w:t>
      </w:r>
      <w:r>
        <w:t xml:space="preserve"> </w:t>
      </w:r>
      <w:r>
        <w:rPr>
          <w:bCs/>
          <w:b/>
        </w:rPr>
        <w:t xml:space="preserve">Transfer safeguards; US-only processing.</w:t>
      </w:r>
      <w:r>
        <w:t xml:space="preserve"> </w:t>
      </w:r>
      <w:r>
        <w:t xml:space="preserve">The Services process Personal Data in the United States. AquaRunner247 does not currently transfer Customer Personal Data outside the United States in connection with the Services. AquaRunner247 will not make a Restricted Transfer of Customer Personal Data unless the transfer is permitted by Applicable Data Protection Law and subject to an appropriate transfer mechanism; if processing or subprocessor arrangements ever extend outside the United States, the Parties will implement a lawful transfer mechanism before the transfer occurs.</w:t>
      </w:r>
    </w:p>
    <w:p>
      <w:pPr>
        <w:pStyle w:val="BodyText"/>
      </w:pPr>
      <w:r>
        <w:t xml:space="preserve">8.2</w:t>
      </w:r>
      <w:r>
        <w:t xml:space="preserve"> </w:t>
      </w:r>
      <w:r>
        <w:rPr>
          <w:bCs/>
          <w:b/>
        </w:rPr>
        <w:t xml:space="preserve">EU transfers.</w:t>
      </w:r>
      <w:r>
        <w:t xml:space="preserve"> </w:t>
      </w:r>
      <w:r>
        <w:t xml:space="preserve">Where the EU GDPR applies and a Restricted Transfer is made from the European Economic Area to a country not recognized as providing an adequate level of protection, the Parties incorporate the EU Standard Contractual Clauses adopted by Commission Implementing Decision (EU) 2021/914 by reference. The Parties select</w:t>
      </w:r>
      <w:r>
        <w:t xml:space="preserve"> </w:t>
      </w:r>
      <w:r>
        <w:rPr>
          <w:bCs/>
          <w:b/>
        </w:rPr>
        <w:t xml:space="preserve">Module Two: Controller to Processor</w:t>
      </w:r>
      <w:r>
        <w:t xml:space="preserve">. The SCCs apply as follows:</w:t>
      </w:r>
    </w:p>
    <w:p>
      <w:pPr>
        <w:numPr>
          <w:ilvl w:val="0"/>
          <w:numId w:val="1004"/>
        </w:numPr>
      </w:pPr>
      <w:r>
        <w:t xml:space="preserve">the data exporter is Customer, acting as Controller, and the data importer is AquaRunner247, acting as Processor;</w:t>
      </w:r>
    </w:p>
    <w:p>
      <w:pPr>
        <w:numPr>
          <w:ilvl w:val="0"/>
          <w:numId w:val="1004"/>
        </w:numPr>
      </w:pPr>
      <w:r>
        <w:t xml:space="preserve">the optional docking clause in Clause 7 is included;</w:t>
      </w:r>
    </w:p>
    <w:p>
      <w:pPr>
        <w:numPr>
          <w:ilvl w:val="0"/>
          <w:numId w:val="1004"/>
        </w:numPr>
      </w:pPr>
      <w:r>
        <w:t xml:space="preserve">the competent supervisory authority, governing law, and courts will be completed as follows:</w:t>
      </w:r>
      <w:r>
        <w:t xml:space="preserve"> </w:t>
      </w:r>
      <w:r>
        <w:rPr>
          <w:bCs/>
          <w:b/>
        </w:rPr>
        <w:t xml:space="preserve">[Competent Supervisory Authority]</w:t>
      </w:r>
      <w:r>
        <w:t xml:space="preserve">,</w:t>
      </w:r>
      <w:r>
        <w:t xml:space="preserve"> </w:t>
      </w:r>
      <w:r>
        <w:rPr>
          <w:bCs/>
          <w:b/>
        </w:rPr>
        <w:t xml:space="preserve">[EU Member State law]</w:t>
      </w:r>
      <w:r>
        <w:t xml:space="preserve">, and</w:t>
      </w:r>
      <w:r>
        <w:t xml:space="preserve"> </w:t>
      </w:r>
      <w:r>
        <w:rPr>
          <w:bCs/>
          <w:b/>
        </w:rPr>
        <w:t xml:space="preserve">[EU Member State courts]</w:t>
      </w:r>
      <w:r>
        <w:t xml:space="preserve">, respectively, in accordance with the SCCs and Applicable Data Protection Law;</w:t>
      </w:r>
    </w:p>
    <w:p>
      <w:pPr>
        <w:numPr>
          <w:ilvl w:val="0"/>
          <w:numId w:val="1004"/>
        </w:numPr>
      </w:pPr>
      <w:r>
        <w:t xml:space="preserve">Annex I of the SCCs is completed using the Parties’ details and the Processing details in Annex 1 to this DPA; and</w:t>
      </w:r>
    </w:p>
    <w:p>
      <w:pPr>
        <w:numPr>
          <w:ilvl w:val="0"/>
          <w:numId w:val="1004"/>
        </w:numPr>
      </w:pPr>
      <w:r>
        <w:t xml:space="preserve">Annex II of the SCCs is completed using the security measures in Annex 2 to this DPA.</w:t>
      </w:r>
    </w:p>
    <w:p>
      <w:pPr>
        <w:pStyle w:val="FirstParagraph"/>
      </w:pPr>
      <w:r>
        <w:t xml:space="preserve">The SCCs are incorporated without modification, except for completing the appendices and selections permitted by the SCCs. If this DPA conflicts with the SCCs, the SCCs prevail to the extent of the conflict.</w:t>
      </w:r>
    </w:p>
    <w:p>
      <w:pPr>
        <w:pStyle w:val="BodyText"/>
      </w:pPr>
      <w:r>
        <w:t xml:space="preserve">8.3</w:t>
      </w:r>
      <w:r>
        <w:t xml:space="preserve"> </w:t>
      </w:r>
      <w:r>
        <w:rPr>
          <w:bCs/>
          <w:b/>
        </w:rPr>
        <w:t xml:space="preserve">UK transfers.</w:t>
      </w:r>
      <w:r>
        <w:t xml:space="preserve"> </w:t>
      </w:r>
      <w:r>
        <w:t xml:space="preserve">Where the UK GDPR applies and a Restricted Transfer is made from the United Kingdom, the Parties incorporate the UK International Data Transfer Addendum to the EU Commission Standard Contractual Clauses (</w:t>
      </w:r>
      <w:r>
        <w:t xml:space="preserve">“</w:t>
      </w:r>
      <w:r>
        <w:t xml:space="preserve">UK Addendum</w:t>
      </w:r>
      <w:r>
        <w:t xml:space="preserve">”</w:t>
      </w:r>
      <w:r>
        <w:t xml:space="preserve">) by reference, completed using the information in this DPA and Annexes 1–3. The UK Addendum is to be used with the EU SCCs described in Section 8.2, with Module Two selected. The UK Addendum’s mandatory text will not be modified, and its tables and required selections will be completed before the transfer. If the UK Addendum conflicts with this DPA, the UK Addendum prevails to the extent of the conflict.</w:t>
      </w:r>
    </w:p>
    <w:p>
      <w:pPr>
        <w:pStyle w:val="BodyText"/>
      </w:pPr>
      <w:r>
        <w:t xml:space="preserve">8.4</w:t>
      </w:r>
      <w:r>
        <w:t xml:space="preserve"> </w:t>
      </w:r>
      <w:r>
        <w:rPr>
          <w:bCs/>
          <w:b/>
        </w:rPr>
        <w:t xml:space="preserve">Transfer assessments and supplementary measures.</w:t>
      </w:r>
      <w:r>
        <w:t xml:space="preserve"> </w:t>
      </w:r>
      <w:r>
        <w:t xml:space="preserve">The Parties will cooperate in good faith, as required by Applicable Data Protection Law, to assess Restricted Transfers and implement any supplementary measures reasonably necessary for the transfer. Customer will provide relevant information about the transfer and its regulatory context; AquaRunner247 will provide reasonably available information about its Processing and security measures.</w:t>
      </w:r>
    </w:p>
    <w:p>
      <w:pPr>
        <w:pStyle w:val="BodyText"/>
      </w:pPr>
      <w:r>
        <w:t xml:space="preserve">8.5</w:t>
      </w:r>
      <w:r>
        <w:t xml:space="preserve"> </w:t>
      </w:r>
      <w:r>
        <w:rPr>
          <w:bCs/>
          <w:b/>
        </w:rPr>
        <w:t xml:space="preserve">Other transfer mechanisms.</w:t>
      </w:r>
      <w:r>
        <w:t xml:space="preserve"> </w:t>
      </w:r>
      <w:r>
        <w:t xml:space="preserve">Where another lawful transfer mechanism applies, the Parties may rely on that mechanism instead of the SCCs or UK Addendum. If a transfer mechanism is invalidated or ceases to be available, the Parties will cooperate to implement a lawful alternative.</w:t>
      </w:r>
    </w:p>
    <w:bookmarkEnd w:id="27"/>
    <w:bookmarkStart w:id="28" w:name="return-and-deletion-of-personal-data"/>
    <w:p>
      <w:pPr>
        <w:pStyle w:val="Heading2"/>
      </w:pPr>
      <w:r>
        <w:t xml:space="preserve">9. Return and Deletion of Personal Data</w:t>
      </w:r>
    </w:p>
    <w:p>
      <w:pPr>
        <w:pStyle w:val="FirstParagraph"/>
      </w:pPr>
      <w:r>
        <w:t xml:space="preserve">9.1</w:t>
      </w:r>
      <w:r>
        <w:t xml:space="preserve"> </w:t>
      </w:r>
      <w:r>
        <w:rPr>
          <w:bCs/>
          <w:b/>
        </w:rPr>
        <w:t xml:space="preserve">Export and deletion.</w:t>
      </w:r>
      <w:r>
        <w:t xml:space="preserve"> </w:t>
      </w:r>
      <w:r>
        <w:t xml:space="preserve">On termination or expiration of the Agreement, Customer may export Customer Personal Data using available Service functionality or request a copy where reasonably available. Customer Personal Data will remain available for export for</w:t>
      </w:r>
      <w:r>
        <w:t xml:space="preserve"> </w:t>
      </w:r>
      <w:r>
        <w:rPr>
          <w:bCs/>
          <w:b/>
        </w:rPr>
        <w:t xml:space="preserve">30 days</w:t>
      </w:r>
      <w:r>
        <w:t xml:space="preserve"> </w:t>
      </w:r>
      <w:r>
        <w:t xml:space="preserve">after termination or expiration. Subject to Section 9.2, AquaRunner247 will delete or return Customer Personal Data, at Customer’s choice and to the extent technically feasible, within</w:t>
      </w:r>
      <w:r>
        <w:t xml:space="preserve"> </w:t>
      </w:r>
      <w:r>
        <w:rPr>
          <w:bCs/>
          <w:b/>
        </w:rPr>
        <w:t xml:space="preserve">30 days</w:t>
      </w:r>
      <w:r>
        <w:t xml:space="preserve"> </w:t>
      </w:r>
      <w:r>
        <w:t xml:space="preserve">after termination or expiration.</w:t>
      </w:r>
    </w:p>
    <w:p>
      <w:pPr>
        <w:pStyle w:val="BodyText"/>
      </w:pPr>
      <w:r>
        <w:t xml:space="preserve">9.2</w:t>
      </w:r>
      <w:r>
        <w:t xml:space="preserve"> </w:t>
      </w:r>
      <w:r>
        <w:rPr>
          <w:bCs/>
          <w:b/>
        </w:rPr>
        <w:t xml:space="preserve">Backups and legal retention.</w:t>
      </w:r>
      <w:r>
        <w:t xml:space="preserve"> </w:t>
      </w:r>
      <w:r>
        <w:t xml:space="preserve">Copies retained in routine backups will be deleted or overwritten in accordance with AquaRunner247’s ordinary backup cycle, which will not exceed</w:t>
      </w:r>
      <w:r>
        <w:t xml:space="preserve"> </w:t>
      </w:r>
      <w:r>
        <w:rPr>
          <w:bCs/>
          <w:b/>
        </w:rPr>
        <w:t xml:space="preserve">[90 days]</w:t>
      </w:r>
      <w:r>
        <w:t xml:space="preserve"> </w:t>
      </w:r>
      <w:r>
        <w:t xml:space="preserve">after the applicable deletion date, unless retention for a longer period is required by law. Any retained data will remain protected under this DPA and will not be Processed except as required by law or for secure backup, restoration, or compliance purposes.</w:t>
      </w:r>
    </w:p>
    <w:p>
      <w:pPr>
        <w:pStyle w:val="BodyText"/>
      </w:pPr>
      <w:r>
        <w:t xml:space="preserve">9.3</w:t>
      </w:r>
      <w:r>
        <w:t xml:space="preserve"> </w:t>
      </w:r>
      <w:r>
        <w:rPr>
          <w:bCs/>
          <w:b/>
        </w:rPr>
        <w:t xml:space="preserve">Certification.</w:t>
      </w:r>
      <w:r>
        <w:t xml:space="preserve"> </w:t>
      </w:r>
      <w:r>
        <w:t xml:space="preserve">On Customer’s written request, AquaRunner247 will provide written confirmation of deletion or return of Customer Personal Data, subject to any retention permitted under Section 9.2.</w:t>
      </w:r>
    </w:p>
    <w:p>
      <w:pPr>
        <w:pStyle w:val="BodyText"/>
      </w:pPr>
      <w:r>
        <w:t xml:space="preserve">9.4</w:t>
      </w:r>
      <w:r>
        <w:t xml:space="preserve"> </w:t>
      </w:r>
      <w:r>
        <w:rPr>
          <w:bCs/>
          <w:b/>
        </w:rPr>
        <w:t xml:space="preserve">Customer’s responsibility.</w:t>
      </w:r>
      <w:r>
        <w:t xml:space="preserve"> </w:t>
      </w:r>
      <w:r>
        <w:t xml:space="preserve">Customer is responsible for exporting data it needs before access to the Services ends and for ensuring that its own copies, exports, and records are deleted or retained lawfully.</w:t>
      </w:r>
    </w:p>
    <w:bookmarkEnd w:id="28"/>
    <w:bookmarkStart w:id="29" w:name="audits-and-inspections"/>
    <w:p>
      <w:pPr>
        <w:pStyle w:val="Heading2"/>
      </w:pPr>
      <w:r>
        <w:t xml:space="preserve">10. Audits and Inspections</w:t>
      </w:r>
    </w:p>
    <w:p>
      <w:pPr>
        <w:pStyle w:val="FirstParagraph"/>
      </w:pPr>
      <w:r>
        <w:t xml:space="preserve">10.1</w:t>
      </w:r>
      <w:r>
        <w:t xml:space="preserve"> </w:t>
      </w:r>
      <w:r>
        <w:rPr>
          <w:bCs/>
          <w:b/>
        </w:rPr>
        <w:t xml:space="preserve">Audit information.</w:t>
      </w:r>
      <w:r>
        <w:t xml:space="preserve"> </w:t>
      </w:r>
      <w:r>
        <w:t xml:space="preserve">Customer may request information reasonably necessary to demonstrate AquaRunner247’s compliance with this DPA, which AquaRunner247 may satisfy by providing this DPA, a summary of its security measures, relevant third-party certifications or audit reports, or responses to a reasonable written questionnaire, rather than an on-site audit, unless required by Applicable Data Protection Law. Where such information is insufficient, Customer may conduct or appoint an independent auditor to conduct an audit of relevant Processing, subject to this Section.</w:t>
      </w:r>
    </w:p>
    <w:p>
      <w:pPr>
        <w:pStyle w:val="BodyText"/>
      </w:pPr>
      <w:r>
        <w:t xml:space="preserve">10.2</w:t>
      </w:r>
      <w:r>
        <w:t xml:space="preserve"> </w:t>
      </w:r>
      <w:r>
        <w:rPr>
          <w:bCs/>
          <w:b/>
        </w:rPr>
        <w:t xml:space="preserve">Audit conditions.</w:t>
      </w:r>
      <w:r>
        <w:t xml:space="preserve"> </w:t>
      </w:r>
      <w:r>
        <w:t xml:space="preserve">An audit must:</w:t>
      </w:r>
    </w:p>
    <w:p>
      <w:pPr>
        <w:numPr>
          <w:ilvl w:val="0"/>
          <w:numId w:val="1005"/>
        </w:numPr>
      </w:pPr>
      <w:r>
        <w:t xml:space="preserve">be limited to the systems, facilities, and records relevant to the Processing of Customer Personal Data;</w:t>
      </w:r>
    </w:p>
    <w:p>
      <w:pPr>
        <w:numPr>
          <w:ilvl w:val="0"/>
          <w:numId w:val="1005"/>
        </w:numPr>
      </w:pPr>
      <w:r>
        <w:t xml:space="preserve">be conducted during normal business hours on at least</w:t>
      </w:r>
      <w:r>
        <w:t xml:space="preserve"> </w:t>
      </w:r>
      <w:r>
        <w:rPr>
          <w:bCs/>
          <w:b/>
        </w:rPr>
        <w:t xml:space="preserve">[30 days]</w:t>
      </w:r>
      <w:r>
        <w:t xml:space="preserve">’ prior written notice, except where a shorter period is required by a Supervisory Authority or following a Security Incident;</w:t>
      </w:r>
    </w:p>
    <w:p>
      <w:pPr>
        <w:numPr>
          <w:ilvl w:val="0"/>
          <w:numId w:val="1005"/>
        </w:numPr>
      </w:pPr>
      <w:r>
        <w:t xml:space="preserve">be conducted no more than once in any 12-month period, unless required by a Supervisory Authority, Applicable Data Protection Law, or a material Security Incident;</w:t>
      </w:r>
    </w:p>
    <w:p>
      <w:pPr>
        <w:numPr>
          <w:ilvl w:val="0"/>
          <w:numId w:val="1005"/>
        </w:numPr>
      </w:pPr>
      <w:r>
        <w:t xml:space="preserve">be conducted by an independent auditor bound by written confidentiality obligations and not reasonably considered a competitor of AquaRunner247;</w:t>
      </w:r>
    </w:p>
    <w:p>
      <w:pPr>
        <w:numPr>
          <w:ilvl w:val="0"/>
          <w:numId w:val="1005"/>
        </w:numPr>
      </w:pPr>
      <w:r>
        <w:t xml:space="preserve">avoid unreasonable disruption to AquaRunner247’s business and protect the confidentiality and security of other customers’ information; and</w:t>
      </w:r>
    </w:p>
    <w:p>
      <w:pPr>
        <w:numPr>
          <w:ilvl w:val="0"/>
          <w:numId w:val="1005"/>
        </w:numPr>
      </w:pPr>
      <w:r>
        <w:t xml:space="preserve">be at Customer’s expense, unless the audit identifies a material breach of this DPA by AquaRunner247, in which case AquaRunner247 will bear its reasonable audit costs.</w:t>
      </w:r>
    </w:p>
    <w:p>
      <w:pPr>
        <w:pStyle w:val="FirstParagraph"/>
      </w:pPr>
      <w:r>
        <w:t xml:space="preserve">10.3</w:t>
      </w:r>
      <w:r>
        <w:t xml:space="preserve"> </w:t>
      </w:r>
      <w:r>
        <w:rPr>
          <w:bCs/>
          <w:b/>
        </w:rPr>
        <w:t xml:space="preserve">Reports.</w:t>
      </w:r>
      <w:r>
        <w:t xml:space="preserve"> </w:t>
      </w:r>
      <w:r>
        <w:t xml:space="preserve">Customer will provide AquaRunner247 with a copy of any audit report that relates to AquaRunner247’s compliance. Customer may use the report solely to assess compliance with this DPA and may not disclose it except to its professional advisers, a Supervisory Authority, or as required by law, subject to confidentiality obligations where legally permitted.</w:t>
      </w:r>
    </w:p>
    <w:p>
      <w:pPr>
        <w:pStyle w:val="BodyText"/>
      </w:pPr>
      <w:r>
        <w:t xml:space="preserve">10.4</w:t>
      </w:r>
      <w:r>
        <w:t xml:space="preserve"> </w:t>
      </w:r>
      <w:r>
        <w:rPr>
          <w:bCs/>
          <w:b/>
        </w:rPr>
        <w:t xml:space="preserve">Alternative evidence.</w:t>
      </w:r>
      <w:r>
        <w:t xml:space="preserve"> </w:t>
      </w:r>
      <w:r>
        <w:t xml:space="preserve">AquaRunner247 may satisfy an audit request by providing relevant independent audit reports, certifications, or other reasonable evidence of its security practices, to the extent available and sufficient to address the request.</w:t>
      </w:r>
    </w:p>
    <w:bookmarkEnd w:id="29"/>
    <w:bookmarkStart w:id="30" w:name="aggregated-and-de-identified-data"/>
    <w:p>
      <w:pPr>
        <w:pStyle w:val="Heading2"/>
      </w:pPr>
      <w:r>
        <w:t xml:space="preserve">11. Aggregated and De-Identified Data</w:t>
      </w:r>
    </w:p>
    <w:p>
      <w:pPr>
        <w:pStyle w:val="FirstParagraph"/>
      </w:pPr>
      <w:r>
        <w:t xml:space="preserve">AquaRunner247 may create and use data derived from the operation of the Services that has been aggregated or de-identified so that it does not reasonably identify Customer or any Data Subject (</w:t>
      </w:r>
      <w:r>
        <w:t xml:space="preserve">“</w:t>
      </w:r>
      <w:r>
        <w:rPr>
          <w:bCs/>
          <w:b/>
        </w:rPr>
        <w:t xml:space="preserve">Aggregated Data</w:t>
      </w:r>
      <w:r>
        <w:t xml:space="preserve">”</w:t>
      </w:r>
      <w:r>
        <w:t xml:space="preserve">) to analyze, improve, secure, and develop the Services and for other lawful business purposes. AquaRunner247 will not attempt to re-identify Aggregated Data and will maintain it in a form that does not reasonably identify Customer or any Data Subject. This Section does not authorize AquaRunner247 to use identifiable Customer Personal Data for those purposes.</w:t>
      </w:r>
    </w:p>
    <w:bookmarkEnd w:id="30"/>
    <w:bookmarkStart w:id="31" w:name="data-protection-contact"/>
    <w:p>
      <w:pPr>
        <w:pStyle w:val="Heading2"/>
      </w:pPr>
      <w:r>
        <w:t xml:space="preserve">12. Data Protection Contact</w:t>
      </w:r>
    </w:p>
    <w:p>
      <w:pPr>
        <w:pStyle w:val="FirstParagraph"/>
      </w:pPr>
      <w:r>
        <w:t xml:space="preserve">12.1</w:t>
      </w:r>
      <w:r>
        <w:t xml:space="preserve"> </w:t>
      </w:r>
      <w:r>
        <w:rPr>
          <w:bCs/>
          <w:b/>
        </w:rPr>
        <w:t xml:space="preserve">AquaRunner247 contact.</w:t>
      </w:r>
      <w:r>
        <w:t xml:space="preserve"> </w:t>
      </w:r>
      <w:r>
        <w:t xml:space="preserve">Customer may direct privacy and data protection inquiries to:</w:t>
      </w:r>
    </w:p>
    <w:p>
      <w:pPr>
        <w:pStyle w:val="BodyText"/>
      </w:pPr>
      <w:r>
        <w:rPr>
          <w:bCs/>
          <w:b/>
        </w:rPr>
        <w:t xml:space="preserve">Data Protection Contact:</w:t>
      </w:r>
      <w:r>
        <w:t xml:space="preserve"> </w:t>
      </w:r>
      <w:r>
        <w:t xml:space="preserve">[Name or role]</w:t>
      </w:r>
      <w:r>
        <w:br/>
      </w:r>
      <w:r>
        <w:rPr>
          <w:bCs/>
          <w:b/>
        </w:rPr>
        <w:t xml:space="preserve">Email:</w:t>
      </w:r>
      <w:r>
        <w:t xml:space="preserve"> </w:t>
      </w:r>
      <w:r>
        <w:t xml:space="preserve">[Privacy contact email]</w:t>
      </w:r>
      <w:r>
        <w:br/>
      </w:r>
      <w:r>
        <w:rPr>
          <w:bCs/>
          <w:b/>
        </w:rPr>
        <w:t xml:space="preserve">Address:</w:t>
      </w:r>
      <w:r>
        <w:t xml:space="preserve"> </w:t>
      </w:r>
      <w:r>
        <w:t xml:space="preserve">[AquaRunner247 notice address]</w:t>
      </w:r>
      <w:r>
        <w:br/>
      </w:r>
      <w:r>
        <w:rPr>
          <w:bCs/>
          <w:b/>
        </w:rPr>
        <w:t xml:space="preserve">Website:</w:t>
      </w:r>
      <w:r>
        <w:t xml:space="preserve"> </w:t>
      </w:r>
      <w:r>
        <w:t xml:space="preserve">[Privacy contact webpage, if applicable]</w:t>
      </w:r>
    </w:p>
    <w:p>
      <w:pPr>
        <w:pStyle w:val="BodyText"/>
      </w:pPr>
      <w:r>
        <w:t xml:space="preserve">12.2</w:t>
      </w:r>
      <w:r>
        <w:t xml:space="preserve"> </w:t>
      </w:r>
      <w:r>
        <w:rPr>
          <w:bCs/>
          <w:b/>
        </w:rPr>
        <w:t xml:space="preserve">Customer contact.</w:t>
      </w:r>
      <w:r>
        <w:t xml:space="preserve"> </w:t>
      </w:r>
      <w:r>
        <w:t xml:space="preserve">Customer will provide and maintain a contact for privacy and security notices:</w:t>
      </w:r>
    </w:p>
    <w:p>
      <w:pPr>
        <w:pStyle w:val="BodyText"/>
      </w:pPr>
      <w:r>
        <w:rPr>
          <w:bCs/>
          <w:b/>
        </w:rPr>
        <w:t xml:space="preserve">Customer Contact:</w:t>
      </w:r>
      <w:r>
        <w:t xml:space="preserve"> </w:t>
      </w:r>
      <w:r>
        <w:t xml:space="preserve">[Name or role]</w:t>
      </w:r>
      <w:r>
        <w:br/>
      </w:r>
      <w:r>
        <w:rPr>
          <w:bCs/>
          <w:b/>
        </w:rPr>
        <w:t xml:space="preserve">Email:</w:t>
      </w:r>
      <w:r>
        <w:t xml:space="preserve"> </w:t>
      </w:r>
      <w:r>
        <w:t xml:space="preserve">[Customer privacy/security email]</w:t>
      </w:r>
      <w:r>
        <w:br/>
      </w:r>
      <w:r>
        <w:rPr>
          <w:bCs/>
          <w:b/>
        </w:rPr>
        <w:t xml:space="preserve">Address:</w:t>
      </w:r>
      <w:r>
        <w:t xml:space="preserve"> </w:t>
      </w:r>
      <w:r>
        <w:t xml:space="preserve">[Customer notice address]</w:t>
      </w:r>
    </w:p>
    <w:bookmarkEnd w:id="31"/>
    <w:bookmarkStart w:id="32" w:name="liability-and-relationship-to-agreement"/>
    <w:p>
      <w:pPr>
        <w:pStyle w:val="Heading2"/>
      </w:pPr>
      <w:r>
        <w:t xml:space="preserve">13. Liability and Relationship to Agreement</w:t>
      </w:r>
    </w:p>
    <w:p>
      <w:pPr>
        <w:pStyle w:val="FirstParagraph"/>
      </w:pPr>
      <w:r>
        <w:t xml:space="preserve">13.1</w:t>
      </w:r>
      <w:r>
        <w:t xml:space="preserve"> </w:t>
      </w:r>
      <w:r>
        <w:rPr>
          <w:bCs/>
          <w:b/>
        </w:rPr>
        <w:t xml:space="preserve">Agreement liability terms.</w:t>
      </w:r>
      <w:r>
        <w:t xml:space="preserve"> </w:t>
      </w:r>
      <w:r>
        <w:t xml:space="preserve">Except as provided in Section 13.2, liability arising under or in connection with this DPA is subject to the limitations, exclusions, and procedures set out in the Agreement, including its liability cap. For purposes of applying any cap in the Agreement to this DPA, claims arising under this DPA will be treated as claims arising under the Agreement.</w:t>
      </w:r>
    </w:p>
    <w:p>
      <w:pPr>
        <w:pStyle w:val="BodyText"/>
      </w:pPr>
      <w:r>
        <w:t xml:space="preserve">13.2</w:t>
      </w:r>
      <w:r>
        <w:t xml:space="preserve"> </w:t>
      </w:r>
      <w:r>
        <w:rPr>
          <w:bCs/>
          <w:b/>
        </w:rPr>
        <w:t xml:space="preserve">Mandatory law.</w:t>
      </w:r>
      <w:r>
        <w:t xml:space="preserve"> </w:t>
      </w:r>
      <w:r>
        <w:t xml:space="preserve">Nothing in this DPA limits a Party’s liability to the extent such limitation is prohibited by Applicable Data Protection Law. Nothing in this DPA limits or prejudices the rights or obligations of Data Subjects, Supervisory Authorities, or other persons under Applicable Data Protection Law, including rights and liabilities under the SCCs or UK Addendum.</w:t>
      </w:r>
    </w:p>
    <w:bookmarkEnd w:id="32"/>
    <w:bookmarkStart w:id="33" w:name="precedence-and-amendment"/>
    <w:p>
      <w:pPr>
        <w:pStyle w:val="Heading2"/>
      </w:pPr>
      <w:r>
        <w:t xml:space="preserve">14. Precedence and Amendment</w:t>
      </w:r>
    </w:p>
    <w:p>
      <w:pPr>
        <w:pStyle w:val="FirstParagraph"/>
      </w:pPr>
      <w:r>
        <w:t xml:space="preserve">14.1</w:t>
      </w:r>
      <w:r>
        <w:t xml:space="preserve"> </w:t>
      </w:r>
      <w:r>
        <w:rPr>
          <w:bCs/>
          <w:b/>
        </w:rPr>
        <w:t xml:space="preserve">Precedence.</w:t>
      </w:r>
      <w:r>
        <w:t xml:space="preserve"> </w:t>
      </w:r>
      <w:r>
        <w:t xml:space="preserve">If there is a conflict between this DPA and the Agreement concerning the Processing of Personal Data, this DPA prevails and supersedes the Agreement on data-protection matters. If there is a conflict between this DPA and the SCCs or UK Addendum, the applicable SCCs or UK Addendum prevails for the relevant Restricted Transfer.</w:t>
      </w:r>
    </w:p>
    <w:p>
      <w:pPr>
        <w:pStyle w:val="BodyText"/>
      </w:pPr>
      <w:r>
        <w:t xml:space="preserve">14.2</w:t>
      </w:r>
      <w:r>
        <w:t xml:space="preserve"> </w:t>
      </w:r>
      <w:r>
        <w:rPr>
          <w:bCs/>
          <w:b/>
        </w:rPr>
        <w:t xml:space="preserve">Amendments.</w:t>
      </w:r>
      <w:r>
        <w:t xml:space="preserve"> </w:t>
      </w:r>
      <w:r>
        <w:t xml:space="preserve">Amendments to this DPA must be in writing or made through an electronic acceptance mechanism permitted by the Agreement. AquaRunner247 may update this DPA as reasonably necessary to reflect changes in Applicable Data Protection Law, the Services, or its Processing practices. If an update materially reduces Customer’s protections, AquaRunner247 will provide advance notice where practicable and Customer may terminate the affected Services before the update takes effect.</w:t>
      </w:r>
    </w:p>
    <w:bookmarkEnd w:id="33"/>
    <w:bookmarkStart w:id="34" w:name="general"/>
    <w:p>
      <w:pPr>
        <w:pStyle w:val="Heading2"/>
      </w:pPr>
      <w:r>
        <w:t xml:space="preserve">15. General</w:t>
      </w:r>
    </w:p>
    <w:p>
      <w:pPr>
        <w:pStyle w:val="FirstParagraph"/>
      </w:pPr>
      <w:r>
        <w:t xml:space="preserve">15.1</w:t>
      </w:r>
      <w:r>
        <w:t xml:space="preserve"> </w:t>
      </w:r>
      <w:r>
        <w:rPr>
          <w:bCs/>
          <w:b/>
        </w:rPr>
        <w:t xml:space="preserve">Notices.</w:t>
      </w:r>
      <w:r>
        <w:t xml:space="preserve"> </w:t>
      </w:r>
      <w:r>
        <w:t xml:space="preserve">Notices under this DPA must be sent to the notice addresses or email contacts identified in the Agreement or this DPA. Subprocessor notices may be provided as specified in Section 5.3.</w:t>
      </w:r>
    </w:p>
    <w:p>
      <w:pPr>
        <w:pStyle w:val="BodyText"/>
      </w:pPr>
      <w:r>
        <w:t xml:space="preserve">15.2</w:t>
      </w:r>
      <w:r>
        <w:t xml:space="preserve"> </w:t>
      </w:r>
      <w:r>
        <w:rPr>
          <w:bCs/>
          <w:b/>
        </w:rPr>
        <w:t xml:space="preserve">Severability.</w:t>
      </w:r>
      <w:r>
        <w:t xml:space="preserve"> </w:t>
      </w:r>
      <w:r>
        <w:t xml:space="preserve">If any provision of this DPA is held unenforceable, the remaining provisions remain in effect, and the unenforceable provision will be modified to the minimum extent necessary to make it enforceable while preserving its intent.</w:t>
      </w:r>
    </w:p>
    <w:p>
      <w:pPr>
        <w:pStyle w:val="BodyText"/>
      </w:pPr>
      <w:r>
        <w:t xml:space="preserve">15.3</w:t>
      </w:r>
      <w:r>
        <w:t xml:space="preserve"> </w:t>
      </w:r>
      <w:r>
        <w:rPr>
          <w:bCs/>
          <w:b/>
        </w:rPr>
        <w:t xml:space="preserve">No waiver.</w:t>
      </w:r>
      <w:r>
        <w:t xml:space="preserve"> </w:t>
      </w:r>
      <w:r>
        <w:t xml:space="preserve">A failure or delay in exercising any right under this DPA does not waive that right.</w:t>
      </w:r>
    </w:p>
    <w:p>
      <w:pPr>
        <w:pStyle w:val="BodyText"/>
      </w:pPr>
      <w:r>
        <w:t xml:space="preserve">15.4</w:t>
      </w:r>
      <w:r>
        <w:t xml:space="preserve"> </w:t>
      </w:r>
      <w:r>
        <w:rPr>
          <w:bCs/>
          <w:b/>
        </w:rPr>
        <w:t xml:space="preserve">Assignment.</w:t>
      </w:r>
      <w:r>
        <w:t xml:space="preserve"> </w:t>
      </w:r>
      <w:r>
        <w:t xml:space="preserve">A Party may assign this DPA only as permitted under the Agreement, provided that any assignee agrees to be bound by it. Any assignment remains subject to applicable requirements under the SCCs or UK Addendum.</w:t>
      </w:r>
    </w:p>
    <w:p>
      <w:pPr>
        <w:pStyle w:val="BodyText"/>
      </w:pPr>
      <w:r>
        <w:t xml:space="preserve">15.5</w:t>
      </w:r>
      <w:r>
        <w:t xml:space="preserve"> </w:t>
      </w:r>
      <w:r>
        <w:rPr>
          <w:bCs/>
          <w:b/>
        </w:rPr>
        <w:t xml:space="preserve">Entire agreement.</w:t>
      </w:r>
      <w:r>
        <w:t xml:space="preserve"> </w:t>
      </w:r>
      <w:r>
        <w:t xml:space="preserve">This DPA, together with the Agreement and any applicable SCCs or UK Addendum, is the entire agreement between the Parties concerning the Processing of Customer Personal Data through the Services.</w:t>
      </w:r>
    </w:p>
    <w:p>
      <w:pPr>
        <w:pStyle w:val="BodyText"/>
      </w:pPr>
      <w:r>
        <w:t xml:space="preserve">15.6</w:t>
      </w:r>
      <w:r>
        <w:t xml:space="preserve"> </w:t>
      </w:r>
      <w:r>
        <w:rPr>
          <w:bCs/>
          <w:b/>
        </w:rPr>
        <w:t xml:space="preserve">Electronic acceptance.</w:t>
      </w:r>
      <w:r>
        <w:t xml:space="preserve"> </w:t>
      </w:r>
      <w:r>
        <w:t xml:space="preserve">This DPA may be accepted electronically, including through acceptance of the Agreement or use of an electronic signature process, and may be executed in counterparts.</w:t>
      </w:r>
    </w:p>
    <w:p>
      <w:r>
        <w:pict>
          <v:rect style="width:0;height:1.5pt" o:hralign="center" o:hrstd="t" o:hr="t"/>
        </w:pict>
      </w:r>
    </w:p>
    <w:bookmarkEnd w:id="34"/>
    <w:bookmarkEnd w:id="35"/>
    <w:bookmarkStart w:id="43" w:name="annex-1-details-of-processing"/>
    <w:p>
      <w:pPr>
        <w:pStyle w:val="Heading1"/>
      </w:pPr>
      <w:r>
        <w:t xml:space="preserve">Annex 1 — Details of Processing</w:t>
      </w:r>
    </w:p>
    <w:bookmarkStart w:id="36" w:name="subject-matter"/>
    <w:p>
      <w:pPr>
        <w:pStyle w:val="Heading2"/>
      </w:pPr>
      <w:r>
        <w:t xml:space="preserve">1. Subject Matter</w:t>
      </w:r>
    </w:p>
    <w:p>
      <w:pPr>
        <w:pStyle w:val="FirstParagraph"/>
      </w:pPr>
      <w:r>
        <w:t xml:space="preserve">AquaRunner247’s provision of an all-in-one pool service route management and compliance mobile application and related portals, reporting, and support services to Customer.</w:t>
      </w:r>
    </w:p>
    <w:bookmarkEnd w:id="36"/>
    <w:bookmarkStart w:id="37" w:name="duration"/>
    <w:p>
      <w:pPr>
        <w:pStyle w:val="Heading2"/>
      </w:pPr>
      <w:r>
        <w:t xml:space="preserve">2. Duration</w:t>
      </w:r>
    </w:p>
    <w:p>
      <w:pPr>
        <w:pStyle w:val="FirstParagraph"/>
      </w:pPr>
      <w:r>
        <w:t xml:space="preserve">For the term of the Agreement and any period during which AquaRunner247 retains Customer Personal Data in accordance with Section 9 of this DPA or as required by law.</w:t>
      </w:r>
    </w:p>
    <w:bookmarkEnd w:id="37"/>
    <w:bookmarkStart w:id="38" w:name="nature-and-purpose-of-processing"/>
    <w:p>
      <w:pPr>
        <w:pStyle w:val="Heading2"/>
      </w:pPr>
      <w:r>
        <w:t xml:space="preserve">3. Nature and Purpose of Processing</w:t>
      </w:r>
    </w:p>
    <w:p>
      <w:pPr>
        <w:pStyle w:val="FirstParagraph"/>
      </w:pPr>
      <w:r>
        <w:t xml:space="preserve">AquaRunner247 Processes Customer Personal Data as needed to provide, maintain, secure, and support the Services, including to:</w:t>
      </w:r>
    </w:p>
    <w:p>
      <w:pPr>
        <w:numPr>
          <w:ilvl w:val="0"/>
          <w:numId w:val="1006"/>
        </w:numPr>
        <w:pStyle w:val="Compact"/>
      </w:pPr>
      <w:r>
        <w:t xml:space="preserve">create and administer user accounts and permissions;</w:t>
      </w:r>
    </w:p>
    <w:p>
      <w:pPr>
        <w:numPr>
          <w:ilvl w:val="0"/>
          <w:numId w:val="1006"/>
        </w:numPr>
        <w:pStyle w:val="Compact"/>
      </w:pPr>
      <w:r>
        <w:t xml:space="preserve">manage route schedules, service visits, properties, and bodies of water;</w:t>
      </w:r>
    </w:p>
    <w:p>
      <w:pPr>
        <w:numPr>
          <w:ilvl w:val="0"/>
          <w:numId w:val="1006"/>
        </w:numPr>
        <w:pStyle w:val="Compact"/>
      </w:pPr>
      <w:r>
        <w:t xml:space="preserve">record and display arrival and visit information, including geolocation captured at the moment of logged arrival at a service visit (not continuous location tracking), timestamps, and photos taken during service visits;</w:t>
      </w:r>
    </w:p>
    <w:p>
      <w:pPr>
        <w:numPr>
          <w:ilvl w:val="0"/>
          <w:numId w:val="1006"/>
        </w:numPr>
        <w:pStyle w:val="Compact"/>
      </w:pPr>
      <w:r>
        <w:t xml:space="preserve">record water chemistry readings, dosage information, inspection checklists, and compliance records;</w:t>
      </w:r>
    </w:p>
    <w:p>
      <w:pPr>
        <w:numPr>
          <w:ilvl w:val="0"/>
          <w:numId w:val="1006"/>
        </w:numPr>
        <w:pStyle w:val="Compact"/>
      </w:pPr>
      <w:r>
        <w:t xml:space="preserve">display records through the customer portal for End Customers, inspector portals, reports, and pump room QR codes as configured or directed by Customer;</w:t>
      </w:r>
    </w:p>
    <w:p>
      <w:pPr>
        <w:numPr>
          <w:ilvl w:val="0"/>
          <w:numId w:val="1006"/>
        </w:numPr>
        <w:pStyle w:val="Compact"/>
      </w:pPr>
      <w:r>
        <w:t xml:space="preserve">provide route optimization and mobile app functionality, including offline data queuing and synchronization;</w:t>
      </w:r>
    </w:p>
    <w:p>
      <w:pPr>
        <w:numPr>
          <w:ilvl w:val="0"/>
          <w:numId w:val="1006"/>
        </w:numPr>
        <w:pStyle w:val="Compact"/>
      </w:pPr>
      <w:r>
        <w:t xml:space="preserve">extract structured equipment and inspection information from uploaded inspection reports;</w:t>
      </w:r>
    </w:p>
    <w:p>
      <w:pPr>
        <w:numPr>
          <w:ilvl w:val="0"/>
          <w:numId w:val="1006"/>
        </w:numPr>
        <w:pStyle w:val="Compact"/>
      </w:pPr>
      <w:r>
        <w:t xml:space="preserve">handle, record, and transcribe inbound calls to a Customer’s configured phone number and process call transcripts into structured service requests using the subprocessors listed in Annex 3;</w:t>
      </w:r>
    </w:p>
    <w:p>
      <w:pPr>
        <w:numPr>
          <w:ilvl w:val="0"/>
          <w:numId w:val="1006"/>
        </w:numPr>
        <w:pStyle w:val="Compact"/>
      </w:pPr>
      <w:r>
        <w:t xml:space="preserve">provide customer support, troubleshoot, and secure the Services; and</w:t>
      </w:r>
    </w:p>
    <w:p>
      <w:pPr>
        <w:numPr>
          <w:ilvl w:val="0"/>
          <w:numId w:val="1006"/>
        </w:numPr>
        <w:pStyle w:val="Compact"/>
      </w:pPr>
      <w:r>
        <w:t xml:space="preserve">perform other Processing documented in Customer’s use and configuration of the Services.</w:t>
      </w:r>
    </w:p>
    <w:p>
      <w:pPr>
        <w:pStyle w:val="FirstParagraph"/>
      </w:pPr>
      <w:r>
        <w:t xml:space="preserve">AquaRunner247 does not determine Customer’s purposes for the Personal Data Customer enters into the Services.</w:t>
      </w:r>
    </w:p>
    <w:bookmarkEnd w:id="38"/>
    <w:bookmarkStart w:id="39" w:name="categories-of-personal-data"/>
    <w:p>
      <w:pPr>
        <w:pStyle w:val="Heading2"/>
      </w:pPr>
      <w:r>
        <w:t xml:space="preserve">4. Categories of Personal Data</w:t>
      </w:r>
    </w:p>
    <w:p>
      <w:pPr>
        <w:pStyle w:val="FirstParagraph"/>
      </w:pPr>
      <w:r>
        <w:t xml:space="preserve">Depending on Customer’s use and configuration of the Services, Personal Data may include:</w:t>
      </w:r>
    </w:p>
    <w:p>
      <w:pPr>
        <w:numPr>
          <w:ilvl w:val="0"/>
          <w:numId w:val="1007"/>
        </w:numPr>
        <w:pStyle w:val="Compact"/>
      </w:pPr>
      <w:r>
        <w:t xml:space="preserve">technician and staff account details, such as names, work contact details, usernames, roles, and account activity;</w:t>
      </w:r>
    </w:p>
    <w:p>
      <w:pPr>
        <w:numPr>
          <w:ilvl w:val="0"/>
          <w:numId w:val="1007"/>
        </w:numPr>
        <w:pStyle w:val="Compact"/>
      </w:pPr>
      <w:r>
        <w:t xml:space="preserve">property, business, and individual contact details;</w:t>
      </w:r>
    </w:p>
    <w:p>
      <w:pPr>
        <w:numPr>
          <w:ilvl w:val="0"/>
          <w:numId w:val="1007"/>
        </w:numPr>
        <w:pStyle w:val="Compact"/>
      </w:pPr>
      <w:r>
        <w:t xml:space="preserve">location and geolocation information, including geofenced arrival records and visit locations;</w:t>
      </w:r>
    </w:p>
    <w:p>
      <w:pPr>
        <w:numPr>
          <w:ilvl w:val="0"/>
          <w:numId w:val="1007"/>
        </w:numPr>
        <w:pStyle w:val="Compact"/>
      </w:pPr>
      <w:r>
        <w:t xml:space="preserve">geotagged and timestamped photos of pools, equipment, properties, and service visits;</w:t>
      </w:r>
    </w:p>
    <w:p>
      <w:pPr>
        <w:numPr>
          <w:ilvl w:val="0"/>
          <w:numId w:val="1007"/>
        </w:numPr>
        <w:pStyle w:val="Compact"/>
      </w:pPr>
      <w:r>
        <w:t xml:space="preserve">chemical readings, dosage records, service notes, and visit histories;</w:t>
      </w:r>
    </w:p>
    <w:p>
      <w:pPr>
        <w:numPr>
          <w:ilvl w:val="0"/>
          <w:numId w:val="1007"/>
        </w:numPr>
        <w:pStyle w:val="Compact"/>
      </w:pPr>
      <w:r>
        <w:t xml:space="preserve">state or local compliance inspection records, checklists, and related service documentation;</w:t>
      </w:r>
    </w:p>
    <w:p>
      <w:pPr>
        <w:numPr>
          <w:ilvl w:val="0"/>
          <w:numId w:val="1007"/>
        </w:numPr>
        <w:pStyle w:val="Compact"/>
      </w:pPr>
      <w:r>
        <w:t xml:space="preserve">equipment make, model, and serial number information extracted from uploaded reports, where associated with an identifiable person or property;</w:t>
      </w:r>
    </w:p>
    <w:p>
      <w:pPr>
        <w:numPr>
          <w:ilvl w:val="0"/>
          <w:numId w:val="1007"/>
        </w:numPr>
        <w:pStyle w:val="Compact"/>
      </w:pPr>
      <w:r>
        <w:t xml:space="preserve">call recordings and transcripts for inbound calls to a Customer’s configured phone number, including caller phone numbers and call content;</w:t>
      </w:r>
    </w:p>
    <w:p>
      <w:pPr>
        <w:numPr>
          <w:ilvl w:val="0"/>
          <w:numId w:val="1007"/>
        </w:numPr>
        <w:pStyle w:val="Compact"/>
      </w:pPr>
      <w:r>
        <w:t xml:space="preserve">technician GPS location captured at the moment of logged arrival at a service visit (not continuous location tracking);</w:t>
      </w:r>
    </w:p>
    <w:p>
      <w:pPr>
        <w:numPr>
          <w:ilvl w:val="0"/>
          <w:numId w:val="1007"/>
        </w:numPr>
        <w:pStyle w:val="Compact"/>
      </w:pPr>
      <w:r>
        <w:t xml:space="preserve">photos taken during service visits, including geotagged and timestamped images;</w:t>
      </w:r>
    </w:p>
    <w:p>
      <w:pPr>
        <w:numPr>
          <w:ilvl w:val="0"/>
          <w:numId w:val="1007"/>
        </w:numPr>
        <w:pStyle w:val="Compact"/>
      </w:pPr>
      <w:r>
        <w:t xml:space="preserve">gate codes, entry details, and access instructions;</w:t>
      </w:r>
    </w:p>
    <w:p>
      <w:pPr>
        <w:numPr>
          <w:ilvl w:val="0"/>
          <w:numId w:val="1007"/>
        </w:numPr>
        <w:pStyle w:val="Compact"/>
      </w:pPr>
      <w:r>
        <w:t xml:space="preserve">records shared with or made available to customers, inspectors, property managers, or others through customer portals, reports, QR codes, or email; and</w:t>
      </w:r>
    </w:p>
    <w:p>
      <w:pPr>
        <w:numPr>
          <w:ilvl w:val="0"/>
          <w:numId w:val="1007"/>
        </w:numPr>
        <w:pStyle w:val="Compact"/>
      </w:pPr>
      <w:r>
        <w:t xml:space="preserve">technical and usage information associated with accounts and use of the Services.</w:t>
      </w:r>
    </w:p>
    <w:p>
      <w:pPr>
        <w:pStyle w:val="FirstParagraph"/>
      </w:pPr>
      <w:r>
        <w:t xml:space="preserve">The Service is not designed to collect Social Security numbers, government ID numbers, health information, or similarly sensitive categories, and Customer agrees not to input such data into the Service. Customer will not intentionally submit special categories of Personal Data or highly sensitive Personal Data unless the Parties agree otherwise in writing.</w:t>
      </w:r>
    </w:p>
    <w:bookmarkEnd w:id="39"/>
    <w:bookmarkStart w:id="40" w:name="categories-of-data-subjects"/>
    <w:p>
      <w:pPr>
        <w:pStyle w:val="Heading2"/>
      </w:pPr>
      <w:r>
        <w:t xml:space="preserve">5. Categories of Data Subjects</w:t>
      </w:r>
    </w:p>
    <w:p>
      <w:pPr>
        <w:numPr>
          <w:ilvl w:val="0"/>
          <w:numId w:val="1008"/>
        </w:numPr>
        <w:pStyle w:val="Compact"/>
      </w:pPr>
      <w:r>
        <w:t xml:space="preserve">Customer’s employees, technicians, contractors, and other authorized users;</w:t>
      </w:r>
    </w:p>
    <w:p>
      <w:pPr>
        <w:numPr>
          <w:ilvl w:val="0"/>
          <w:numId w:val="1008"/>
        </w:numPr>
        <w:pStyle w:val="Compact"/>
      </w:pPr>
      <w:r>
        <w:t xml:space="preserve">Customer’s residential customers and their household or property contacts;</w:t>
      </w:r>
    </w:p>
    <w:p>
      <w:pPr>
        <w:numPr>
          <w:ilvl w:val="0"/>
          <w:numId w:val="1008"/>
        </w:numPr>
        <w:pStyle w:val="Compact"/>
      </w:pPr>
      <w:r>
        <w:t xml:space="preserve">employees, agents, residents, tenants, guests, or other contacts associated with commercial properties serviced by Customer;</w:t>
      </w:r>
    </w:p>
    <w:p>
      <w:pPr>
        <w:numPr>
          <w:ilvl w:val="0"/>
          <w:numId w:val="1008"/>
        </w:numPr>
        <w:pStyle w:val="Compact"/>
      </w:pPr>
      <w:r>
        <w:t xml:space="preserve">property managers, inspectors, and other individuals whose information Customer enters into or makes available through the Services; and</w:t>
      </w:r>
    </w:p>
    <w:p>
      <w:pPr>
        <w:numPr>
          <w:ilvl w:val="0"/>
          <w:numId w:val="1008"/>
        </w:numPr>
        <w:pStyle w:val="Compact"/>
      </w:pPr>
      <w:r>
        <w:t xml:space="preserve">other individuals whose Personal Data Customer or its users submit to the Services.</w:t>
      </w:r>
    </w:p>
    <w:bookmarkEnd w:id="40"/>
    <w:bookmarkStart w:id="41" w:name="frequency-of-processing-and-transfers"/>
    <w:p>
      <w:pPr>
        <w:pStyle w:val="Heading2"/>
      </w:pPr>
      <w:r>
        <w:t xml:space="preserve">6. Frequency of Processing and Transfers</w:t>
      </w:r>
    </w:p>
    <w:p>
      <w:pPr>
        <w:pStyle w:val="FirstParagraph"/>
      </w:pPr>
      <w:r>
        <w:t xml:space="preserve">Processing and transfers occur on a continuous, recurring, or event-driven basis as Customer and its users access and use the Services, including when they enter, upload, view, disclose, synchronize, or export information.</w:t>
      </w:r>
    </w:p>
    <w:bookmarkEnd w:id="41"/>
    <w:bookmarkStart w:id="42" w:name="processing-locations"/>
    <w:p>
      <w:pPr>
        <w:pStyle w:val="Heading2"/>
      </w:pPr>
      <w:r>
        <w:t xml:space="preserve">7. Processing Locations</w:t>
      </w:r>
    </w:p>
    <w:p>
      <w:pPr>
        <w:pStyle w:val="FirstParagraph"/>
      </w:pPr>
      <w:r>
        <w:t xml:space="preserve">Customer Personal Data is Processed in the United States by AquaRunner247 and its authorized Subprocessors, as identified in Annex 3. AquaRunner247 does not currently Process Customer Personal Data outside the United States.</w:t>
      </w:r>
    </w:p>
    <w:p>
      <w:r>
        <w:pict>
          <v:rect style="width:0;height:1.5pt" o:hralign="center" o:hrstd="t" o:hr="t"/>
        </w:pict>
      </w:r>
    </w:p>
    <w:bookmarkEnd w:id="42"/>
    <w:bookmarkEnd w:id="43"/>
    <w:bookmarkStart w:id="55" w:name="X0df0b916d9998a5cbfd95b126c9d63f551bf8c8"/>
    <w:p>
      <w:pPr>
        <w:pStyle w:val="Heading1"/>
      </w:pPr>
      <w:r>
        <w:t xml:space="preserve">Annex 2 — Technical and Organizational Security Measures</w:t>
      </w:r>
    </w:p>
    <w:p>
      <w:pPr>
        <w:pStyle w:val="FirstParagraph"/>
      </w:pPr>
      <w:r>
        <w:t xml:space="preserve">AquaRunner247 will maintain technical and organizational measures designed to protect Customer Personal Data. The measures applicable to the Services include the following, as appropriate to the Processing and risks:</w:t>
      </w:r>
    </w:p>
    <w:bookmarkStart w:id="44" w:name="encryption-in-transit-and-at-rest"/>
    <w:p>
      <w:pPr>
        <w:pStyle w:val="Heading2"/>
      </w:pPr>
      <w:r>
        <w:t xml:space="preserve">1. Encryption in Transit and at Rest</w:t>
      </w:r>
    </w:p>
    <w:p>
      <w:pPr>
        <w:numPr>
          <w:ilvl w:val="0"/>
          <w:numId w:val="1009"/>
        </w:numPr>
        <w:pStyle w:val="Compact"/>
      </w:pPr>
      <w:r>
        <w:t xml:space="preserve">Use encryption in transit for Personal Data transmitted between users’ devices, the Services, and applicable Subprocessors.</w:t>
      </w:r>
    </w:p>
    <w:p>
      <w:pPr>
        <w:numPr>
          <w:ilvl w:val="0"/>
          <w:numId w:val="1009"/>
        </w:numPr>
        <w:pStyle w:val="Compact"/>
      </w:pPr>
      <w:r>
        <w:t xml:space="preserve">Use encryption at rest for Personal Data stored in systems where available and appropriate.</w:t>
      </w:r>
    </w:p>
    <w:p>
      <w:pPr>
        <w:numPr>
          <w:ilvl w:val="0"/>
          <w:numId w:val="1009"/>
        </w:numPr>
        <w:pStyle w:val="Compact"/>
      </w:pPr>
      <w:r>
        <w:t xml:space="preserve">Restrict access to encryption keys and related secrets to authorized personnel and systems.</w:t>
      </w:r>
    </w:p>
    <w:bookmarkEnd w:id="44"/>
    <w:bookmarkStart w:id="45" w:name="access-controls-and-least-privilege"/>
    <w:p>
      <w:pPr>
        <w:pStyle w:val="Heading2"/>
      </w:pPr>
      <w:r>
        <w:t xml:space="preserve">2. Access Controls and Least Privilege</w:t>
      </w:r>
    </w:p>
    <w:p>
      <w:pPr>
        <w:numPr>
          <w:ilvl w:val="0"/>
          <w:numId w:val="1010"/>
        </w:numPr>
        <w:pStyle w:val="Compact"/>
      </w:pPr>
      <w:r>
        <w:t xml:space="preserve">Limit access to Customer Personal Data to personnel and systems that require access for authorized business purposes.</w:t>
      </w:r>
    </w:p>
    <w:p>
      <w:pPr>
        <w:numPr>
          <w:ilvl w:val="0"/>
          <w:numId w:val="1010"/>
        </w:numPr>
        <w:pStyle w:val="Compact"/>
      </w:pPr>
      <w:r>
        <w:t xml:space="preserve">Use role-based permissions and authentication controls for administrative access.</w:t>
      </w:r>
    </w:p>
    <w:p>
      <w:pPr>
        <w:numPr>
          <w:ilvl w:val="0"/>
          <w:numId w:val="1010"/>
        </w:numPr>
        <w:pStyle w:val="Compact"/>
      </w:pPr>
      <w:r>
        <w:t xml:space="preserve">Review access rights periodically and revoke access when no longer required.</w:t>
      </w:r>
    </w:p>
    <w:p>
      <w:pPr>
        <w:numPr>
          <w:ilvl w:val="0"/>
          <w:numId w:val="1010"/>
        </w:numPr>
        <w:pStyle w:val="Compact"/>
      </w:pPr>
      <w:r>
        <w:t xml:space="preserve">Protect credentials and secrets through appropriate handling and storage practices.</w:t>
      </w:r>
    </w:p>
    <w:bookmarkEnd w:id="45"/>
    <w:bookmarkStart w:id="46" w:name="device-and-session-management"/>
    <w:p>
      <w:pPr>
        <w:pStyle w:val="Heading2"/>
      </w:pPr>
      <w:r>
        <w:t xml:space="preserve">3. Device and Session Management</w:t>
      </w:r>
    </w:p>
    <w:p>
      <w:pPr>
        <w:numPr>
          <w:ilvl w:val="0"/>
          <w:numId w:val="1011"/>
        </w:numPr>
        <w:pStyle w:val="Compact"/>
      </w:pPr>
      <w:r>
        <w:t xml:space="preserve">Use reasonable controls for administrative devices and user sessions, including session expiration or revocation where supported.</w:t>
      </w:r>
    </w:p>
    <w:p>
      <w:pPr>
        <w:numPr>
          <w:ilvl w:val="0"/>
          <w:numId w:val="1011"/>
        </w:numPr>
        <w:pStyle w:val="Compact"/>
      </w:pPr>
      <w:r>
        <w:t xml:space="preserve">Apply access controls to devices used by authorized personnel to administer or support the Services.</w:t>
      </w:r>
    </w:p>
    <w:p>
      <w:pPr>
        <w:numPr>
          <w:ilvl w:val="0"/>
          <w:numId w:val="1011"/>
        </w:numPr>
        <w:pStyle w:val="Compact"/>
      </w:pPr>
      <w:r>
        <w:t xml:space="preserve">Provide customers with account and user management features where available; Customer remains responsible for managing its users’ access.</w:t>
      </w:r>
    </w:p>
    <w:bookmarkEnd w:id="46"/>
    <w:bookmarkStart w:id="47" w:name="audit-logging-and-monitoring"/>
    <w:p>
      <w:pPr>
        <w:pStyle w:val="Heading2"/>
      </w:pPr>
      <w:r>
        <w:t xml:space="preserve">4. Audit Logging and Monitoring</w:t>
      </w:r>
    </w:p>
    <w:p>
      <w:pPr>
        <w:numPr>
          <w:ilvl w:val="0"/>
          <w:numId w:val="1012"/>
        </w:numPr>
        <w:pStyle w:val="Compact"/>
      </w:pPr>
      <w:r>
        <w:t xml:space="preserve">Maintain logs of relevant system, administrative, and security events, as appropriate to the Services.</w:t>
      </w:r>
    </w:p>
    <w:p>
      <w:pPr>
        <w:numPr>
          <w:ilvl w:val="0"/>
          <w:numId w:val="1012"/>
        </w:numPr>
        <w:pStyle w:val="Compact"/>
      </w:pPr>
      <w:r>
        <w:t xml:space="preserve">Use monitoring designed to identify suspicious activity and support investigation of security events.</w:t>
      </w:r>
    </w:p>
    <w:p>
      <w:pPr>
        <w:numPr>
          <w:ilvl w:val="0"/>
          <w:numId w:val="1012"/>
        </w:numPr>
        <w:pStyle w:val="Compact"/>
      </w:pPr>
      <w:r>
        <w:t xml:space="preserve">Restrict access to audit logs and protect them against unauthorized alteration or deletion.</w:t>
      </w:r>
    </w:p>
    <w:bookmarkEnd w:id="47"/>
    <w:bookmarkStart w:id="48" w:name="geofence-and-photo-integrity"/>
    <w:p>
      <w:pPr>
        <w:pStyle w:val="Heading2"/>
      </w:pPr>
      <w:r>
        <w:t xml:space="preserve">5. Geofence and Photo Integrity</w:t>
      </w:r>
    </w:p>
    <w:p>
      <w:pPr>
        <w:numPr>
          <w:ilvl w:val="0"/>
          <w:numId w:val="1013"/>
        </w:numPr>
        <w:pStyle w:val="Compact"/>
      </w:pPr>
      <w:r>
        <w:t xml:space="preserve">Use application functionality to associate supported visit records and photos with relevant timestamps and location information.</w:t>
      </w:r>
    </w:p>
    <w:p>
      <w:pPr>
        <w:numPr>
          <w:ilvl w:val="0"/>
          <w:numId w:val="1013"/>
        </w:numPr>
        <w:pStyle w:val="Compact"/>
      </w:pPr>
      <w:r>
        <w:t xml:space="preserve">Apply reasonable controls to preserve the integrity of records as captured or synchronized through the Services.</w:t>
      </w:r>
    </w:p>
    <w:p>
      <w:pPr>
        <w:numPr>
          <w:ilvl w:val="0"/>
          <w:numId w:val="1013"/>
        </w:numPr>
        <w:pStyle w:val="Compact"/>
      </w:pPr>
      <w:r>
        <w:t xml:space="preserve">Use blur detection or similar functionality where available to flag potentially unclear photos; such functionality does not guarantee that a photo is accurate, complete, or acceptable for regulatory purposes.</w:t>
      </w:r>
    </w:p>
    <w:bookmarkEnd w:id="48"/>
    <w:bookmarkStart w:id="49" w:name="offline-queue-protections"/>
    <w:p>
      <w:pPr>
        <w:pStyle w:val="Heading2"/>
      </w:pPr>
      <w:r>
        <w:t xml:space="preserve">6. Offline Queue Protections</w:t>
      </w:r>
    </w:p>
    <w:p>
      <w:pPr>
        <w:numPr>
          <w:ilvl w:val="0"/>
          <w:numId w:val="1014"/>
        </w:numPr>
        <w:pStyle w:val="Compact"/>
      </w:pPr>
      <w:r>
        <w:t xml:space="preserve">Use reasonable safeguards for Personal Data temporarily queued on a device while offline, including protections available through the mobile operating system and application.</w:t>
      </w:r>
    </w:p>
    <w:p>
      <w:pPr>
        <w:numPr>
          <w:ilvl w:val="0"/>
          <w:numId w:val="1014"/>
        </w:numPr>
        <w:pStyle w:val="Compact"/>
      </w:pPr>
      <w:r>
        <w:t xml:space="preserve">Synchronize queued records when connectivity returns, subject to normal technical limitations.</w:t>
      </w:r>
    </w:p>
    <w:p>
      <w:pPr>
        <w:numPr>
          <w:ilvl w:val="0"/>
          <w:numId w:val="1014"/>
        </w:numPr>
        <w:pStyle w:val="Compact"/>
      </w:pPr>
      <w:r>
        <w:t xml:space="preserve">Customer will instruct its users to protect devices, enable appropriate device security, and report lost or compromised devices promptly.</w:t>
      </w:r>
    </w:p>
    <w:bookmarkEnd w:id="49"/>
    <w:bookmarkStart w:id="50" w:name="backup-and-disaster-recovery"/>
    <w:p>
      <w:pPr>
        <w:pStyle w:val="Heading2"/>
      </w:pPr>
      <w:r>
        <w:t xml:space="preserve">7. Backup and Disaster Recovery</w:t>
      </w:r>
    </w:p>
    <w:p>
      <w:pPr>
        <w:numPr>
          <w:ilvl w:val="0"/>
          <w:numId w:val="1015"/>
        </w:numPr>
        <w:pStyle w:val="Compact"/>
      </w:pPr>
      <w:r>
        <w:t xml:space="preserve">Maintain backups and recovery procedures designed to support restoration of the Services and Customer Personal Data.</w:t>
      </w:r>
    </w:p>
    <w:p>
      <w:pPr>
        <w:numPr>
          <w:ilvl w:val="0"/>
          <w:numId w:val="1015"/>
        </w:numPr>
        <w:pStyle w:val="Compact"/>
      </w:pPr>
      <w:r>
        <w:t xml:space="preserve">Restrict access to backups and apply appropriate security protections.</w:t>
      </w:r>
    </w:p>
    <w:p>
      <w:pPr>
        <w:numPr>
          <w:ilvl w:val="0"/>
          <w:numId w:val="1015"/>
        </w:numPr>
        <w:pStyle w:val="Compact"/>
      </w:pPr>
      <w:r>
        <w:t xml:space="preserve">Periodically assess backup and recovery processes, as appropriate to the Services.</w:t>
      </w:r>
    </w:p>
    <w:bookmarkEnd w:id="50"/>
    <w:bookmarkStart w:id="51" w:name="vulnerability-and-patch-management"/>
    <w:p>
      <w:pPr>
        <w:pStyle w:val="Heading2"/>
      </w:pPr>
      <w:r>
        <w:t xml:space="preserve">8. Vulnerability and Patch Management</w:t>
      </w:r>
    </w:p>
    <w:p>
      <w:pPr>
        <w:numPr>
          <w:ilvl w:val="0"/>
          <w:numId w:val="1016"/>
        </w:numPr>
        <w:pStyle w:val="Compact"/>
      </w:pPr>
      <w:r>
        <w:t xml:space="preserve">Maintain processes designed to identify, assess, and address material vulnerabilities in systems used to provide the Services.</w:t>
      </w:r>
    </w:p>
    <w:p>
      <w:pPr>
        <w:numPr>
          <w:ilvl w:val="0"/>
          <w:numId w:val="1016"/>
        </w:numPr>
        <w:pStyle w:val="Compact"/>
      </w:pPr>
      <w:r>
        <w:t xml:space="preserve">Apply security updates and patches within a timeframe appropriate to the severity of the issue and operational risk.</w:t>
      </w:r>
    </w:p>
    <w:p>
      <w:pPr>
        <w:numPr>
          <w:ilvl w:val="0"/>
          <w:numId w:val="1016"/>
        </w:numPr>
        <w:pStyle w:val="Compact"/>
      </w:pPr>
      <w:r>
        <w:t xml:space="preserve">Use reasonable development and deployment practices to reduce security risks.</w:t>
      </w:r>
    </w:p>
    <w:bookmarkEnd w:id="51"/>
    <w:bookmarkStart w:id="52" w:name="personnel-training-and-confidentiality"/>
    <w:p>
      <w:pPr>
        <w:pStyle w:val="Heading2"/>
      </w:pPr>
      <w:r>
        <w:t xml:space="preserve">9. Personnel Training and Confidentiality</w:t>
      </w:r>
    </w:p>
    <w:p>
      <w:pPr>
        <w:numPr>
          <w:ilvl w:val="0"/>
          <w:numId w:val="1017"/>
        </w:numPr>
        <w:pStyle w:val="Compact"/>
      </w:pPr>
      <w:r>
        <w:t xml:space="preserve">Require personnel authorized to access Customer Personal Data to be subject to confidentiality obligations.</w:t>
      </w:r>
    </w:p>
    <w:p>
      <w:pPr>
        <w:numPr>
          <w:ilvl w:val="0"/>
          <w:numId w:val="1017"/>
        </w:numPr>
        <w:pStyle w:val="Compact"/>
      </w:pPr>
      <w:r>
        <w:t xml:space="preserve">Provide personnel with security and privacy training appropriate to their roles.</w:t>
      </w:r>
    </w:p>
    <w:p>
      <w:pPr>
        <w:numPr>
          <w:ilvl w:val="0"/>
          <w:numId w:val="1017"/>
        </w:numPr>
        <w:pStyle w:val="Compact"/>
      </w:pPr>
      <w:r>
        <w:t xml:space="preserve">Maintain procedures for reporting and responding to suspected security incidents.</w:t>
      </w:r>
    </w:p>
    <w:bookmarkEnd w:id="52"/>
    <w:bookmarkStart w:id="53" w:name="physical-security-and-hosting"/>
    <w:p>
      <w:pPr>
        <w:pStyle w:val="Heading2"/>
      </w:pPr>
      <w:r>
        <w:t xml:space="preserve">10. Physical Security and Hosting</w:t>
      </w:r>
    </w:p>
    <w:p>
      <w:pPr>
        <w:numPr>
          <w:ilvl w:val="0"/>
          <w:numId w:val="1018"/>
        </w:numPr>
        <w:pStyle w:val="Compact"/>
      </w:pPr>
      <w:r>
        <w:t xml:space="preserve">Use hosting and infrastructure providers that maintain physical security measures appropriate to their role, including controls designed to restrict physical access to facilities and systems where Customer Personal Data is stored.</w:t>
      </w:r>
    </w:p>
    <w:p>
      <w:pPr>
        <w:numPr>
          <w:ilvl w:val="0"/>
          <w:numId w:val="1018"/>
        </w:numPr>
        <w:pStyle w:val="Compact"/>
      </w:pPr>
      <w:r>
        <w:t xml:space="preserve">Review Subprocessors in a manner appropriate to the nature of the services they provide and the Personal Data they Process.</w:t>
      </w:r>
    </w:p>
    <w:bookmarkEnd w:id="53"/>
    <w:bookmarkStart w:id="54" w:name="security-program-review"/>
    <w:p>
      <w:pPr>
        <w:pStyle w:val="Heading2"/>
      </w:pPr>
      <w:r>
        <w:t xml:space="preserve">11. Security Program Review</w:t>
      </w:r>
    </w:p>
    <w:p>
      <w:pPr>
        <w:pStyle w:val="FirstParagraph"/>
      </w:pPr>
      <w:r>
        <w:t xml:space="preserve">AquaRunner247 will periodically review the measures described in this Annex and may update them to reflect changes in technology and industry practices, provided that it does not materially reduce the overall protection of Customer Personal Data.</w:t>
      </w:r>
    </w:p>
    <w:p>
      <w:r>
        <w:pict>
          <v:rect style="width:0;height:1.5pt" o:hralign="center" o:hrstd="t" o:hr="t"/>
        </w:pict>
      </w:r>
    </w:p>
    <w:bookmarkEnd w:id="54"/>
    <w:bookmarkEnd w:id="55"/>
    <w:bookmarkStart w:id="61" w:name="X8c7d2323fc1adc9d0428c867c9abeb35695e034"/>
    <w:p>
      <w:pPr>
        <w:pStyle w:val="Heading1"/>
      </w:pPr>
      <w:r>
        <w:t xml:space="preserve">Annex 3 — Approved Subprocessors and Transfer Clauses</w:t>
      </w:r>
    </w:p>
    <w:bookmarkStart w:id="56" w:name="approved-subprocessors"/>
    <w:p>
      <w:pPr>
        <w:pStyle w:val="Heading2"/>
      </w:pPr>
      <w:r>
        <w:t xml:space="preserve">1. Approved Subprocessors</w:t>
      </w:r>
    </w:p>
    <w:p>
      <w:pPr>
        <w:pStyle w:val="FirstParagraph"/>
      </w:pPr>
      <w:r>
        <w:t xml:space="preserve">Customer authorizes AquaRunner247 to engage the Subprocessors listed below, subject to Section 5 of this DPA. This list is stated as of the effective date of this DPA and will be maintained and updated as set out in Section 5.3.</w:t>
      </w:r>
    </w:p>
    <w:tbl>
      <w:tblPr>
        <w:tblW w:type="pct" w:w="5000"/>
        <w:tblLook w:firstRow="1" w:lastRow="0" w:firstColumn="0" w:lastColumn="0" w:noHBand="0" w:noVBand="0" w:val="0020"/>
        <w:tblBorders>
          <w:top w:val="single" w:sz="4" w:space="0" w:color="B7C3CE"/>
          <w:left w:val="single" w:sz="4" w:space="0" w:color="B7C3CE"/>
          <w:bottom w:val="single" w:sz="4" w:space="0" w:color="B7C3CE"/>
          <w:right w:val="single" w:sz="4" w:space="0" w:color="B7C3CE"/>
          <w:insideH w:val="single" w:sz="4" w:space="0" w:color="B7C3CE"/>
          <w:insideV w:val="single" w:sz="4" w:space="0" w:color="B7C3CE"/>
        </w:tblBorders>
      </w:tblPr>
      <w:tblGrid>
        <w:gridCol w:w="1980"/>
        <w:gridCol w:w="1980"/>
        <w:gridCol w:w="1980"/>
        <w:gridCol w:w="1980"/>
      </w:tblGrid>
      <w:tr>
        <w:trPr>
          <w:tblHeader w:val="true"/>
        </w:trPr>
        <w:tc>
          <w:tcPr/>
          <w:p>
            <w:pPr>
              <w:pStyle w:val="Compact"/>
              <w:jc w:val="left"/>
            </w:pPr>
            <w:r>
              <w:rPr>
                <w:rFonts w:ascii="Calibri" w:hAnsi="Calibri"/>
                <w:b/>
                <w:sz w:val="20"/>
              </w:rPr>
              <w:t xml:space="preserve">Subprocessor name</w:t>
            </w:r>
          </w:p>
        </w:tc>
        <w:tc>
          <w:tcPr/>
          <w:p>
            <w:pPr>
              <w:pStyle w:val="Compact"/>
              <w:jc w:val="left"/>
            </w:pPr>
            <w:r>
              <w:rPr>
                <w:rFonts w:ascii="Calibri" w:hAnsi="Calibri"/>
                <w:b/>
                <w:sz w:val="20"/>
              </w:rPr>
              <w:t xml:space="preserve">Service or Processing purpose</w:t>
            </w:r>
          </w:p>
        </w:tc>
        <w:tc>
          <w:tcPr/>
          <w:p>
            <w:pPr>
              <w:pStyle w:val="Compact"/>
              <w:jc w:val="left"/>
            </w:pPr>
            <w:r>
              <w:rPr>
                <w:rFonts w:ascii="Calibri" w:hAnsi="Calibri"/>
                <w:b/>
                <w:sz w:val="20"/>
              </w:rPr>
              <w:t xml:space="preserve">Processing location(s)</w:t>
            </w:r>
          </w:p>
        </w:tc>
        <w:tc>
          <w:tcPr/>
          <w:p>
            <w:pPr>
              <w:pStyle w:val="Compact"/>
              <w:jc w:val="left"/>
            </w:pPr>
            <w:r>
              <w:rPr>
                <w:rFonts w:ascii="Calibri" w:hAnsi="Calibri"/>
                <w:b/>
                <w:sz w:val="20"/>
              </w:rPr>
              <w:t xml:space="preserve">Personal Data involved</w:t>
            </w:r>
          </w:p>
        </w:tc>
      </w:tr>
      <w:tr>
        <w:tc>
          <w:tcPr/>
          <w:p>
            <w:pPr>
              <w:pStyle w:val="Compact"/>
              <w:jc w:val="left"/>
            </w:pPr>
            <w:r>
              <w:rPr>
                <w:rFonts w:ascii="Calibri" w:hAnsi="Calibri"/>
                <w:sz w:val="20"/>
              </w:rPr>
              <w:t xml:space="preserve">Supabase</w:t>
            </w:r>
          </w:p>
        </w:tc>
        <w:tc>
          <w:tcPr/>
          <w:p>
            <w:pPr>
              <w:pStyle w:val="Compact"/>
              <w:jc w:val="left"/>
            </w:pPr>
            <w:r>
              <w:rPr>
                <w:rFonts w:ascii="Calibri" w:hAnsi="Calibri"/>
                <w:sz w:val="20"/>
              </w:rPr>
              <w:t xml:space="preserve">Authentication, database hosting</w:t>
            </w:r>
          </w:p>
        </w:tc>
        <w:tc>
          <w:tcPr/>
          <w:p>
            <w:pPr>
              <w:pStyle w:val="Compact"/>
              <w:jc w:val="left"/>
            </w:pPr>
            <w:r>
              <w:rPr>
                <w:rFonts w:ascii="Calibri" w:hAnsi="Calibri"/>
                <w:sz w:val="20"/>
              </w:rPr>
              <w:t xml:space="preserve">United States [confirm regions]</w:t>
            </w:r>
          </w:p>
        </w:tc>
        <w:tc>
          <w:tcPr/>
          <w:p>
            <w:pPr>
              <w:pStyle w:val="Compact"/>
              <w:jc w:val="left"/>
            </w:pPr>
            <w:r>
              <w:rPr>
                <w:rFonts w:ascii="Calibri" w:hAnsi="Calibri"/>
                <w:sz w:val="20"/>
              </w:rPr>
              <w:t xml:space="preserve">Account data, Customer Data, and usage data as described in Annex 1</w:t>
            </w:r>
          </w:p>
        </w:tc>
      </w:tr>
      <w:tr>
        <w:tc>
          <w:tcPr/>
          <w:p>
            <w:pPr>
              <w:pStyle w:val="Compact"/>
              <w:jc w:val="left"/>
            </w:pPr>
            <w:r>
              <w:rPr>
                <w:rFonts w:ascii="Calibri" w:hAnsi="Calibri"/>
                <w:sz w:val="20"/>
              </w:rPr>
              <w:t xml:space="preserve">Vercel</w:t>
            </w:r>
          </w:p>
        </w:tc>
        <w:tc>
          <w:tcPr/>
          <w:p>
            <w:pPr>
              <w:pStyle w:val="Compact"/>
              <w:jc w:val="left"/>
            </w:pPr>
            <w:r>
              <w:rPr>
                <w:rFonts w:ascii="Calibri" w:hAnsi="Calibri"/>
                <w:sz w:val="20"/>
              </w:rPr>
              <w:t xml:space="preserve">Application hosting, edge infrastructure</w:t>
            </w:r>
          </w:p>
        </w:tc>
        <w:tc>
          <w:tcPr/>
          <w:p>
            <w:pPr>
              <w:pStyle w:val="Compact"/>
              <w:jc w:val="left"/>
            </w:pPr>
            <w:r>
              <w:rPr>
                <w:rFonts w:ascii="Calibri" w:hAnsi="Calibri"/>
                <w:sz w:val="20"/>
              </w:rPr>
              <w:t xml:space="preserve">United States [confirm regions]</w:t>
            </w:r>
          </w:p>
        </w:tc>
        <w:tc>
          <w:tcPr/>
          <w:p>
            <w:pPr>
              <w:pStyle w:val="Compact"/>
              <w:jc w:val="left"/>
            </w:pPr>
            <w:r>
              <w:rPr>
                <w:rFonts w:ascii="Calibri" w:hAnsi="Calibri"/>
                <w:sz w:val="20"/>
              </w:rPr>
              <w:t xml:space="preserve">Customer Data in transit through the Services and application data</w:t>
            </w:r>
          </w:p>
        </w:tc>
      </w:tr>
      <w:tr>
        <w:tc>
          <w:tcPr/>
          <w:p>
            <w:pPr>
              <w:pStyle w:val="Compact"/>
              <w:jc w:val="left"/>
            </w:pPr>
            <w:r>
              <w:rPr>
                <w:rFonts w:ascii="Calibri" w:hAnsi="Calibri"/>
                <w:sz w:val="20"/>
              </w:rPr>
              <w:t xml:space="preserve">Resend</w:t>
            </w:r>
          </w:p>
        </w:tc>
        <w:tc>
          <w:tcPr/>
          <w:p>
            <w:pPr>
              <w:pStyle w:val="Compact"/>
              <w:jc w:val="left"/>
            </w:pPr>
            <w:r>
              <w:rPr>
                <w:rFonts w:ascii="Calibri" w:hAnsi="Calibri"/>
                <w:sz w:val="20"/>
              </w:rPr>
              <w:t xml:space="preserve">Transactional email delivery</w:t>
            </w:r>
          </w:p>
        </w:tc>
        <w:tc>
          <w:tcPr/>
          <w:p>
            <w:pPr>
              <w:pStyle w:val="Compact"/>
              <w:jc w:val="left"/>
            </w:pPr>
            <w:r>
              <w:rPr>
                <w:rFonts w:ascii="Calibri" w:hAnsi="Calibri"/>
                <w:sz w:val="20"/>
              </w:rPr>
              <w:t xml:space="preserve">United States [confirm regions]</w:t>
            </w:r>
          </w:p>
        </w:tc>
        <w:tc>
          <w:tcPr/>
          <w:p>
            <w:pPr>
              <w:pStyle w:val="Compact"/>
              <w:jc w:val="left"/>
            </w:pPr>
            <w:r>
              <w:rPr>
                <w:rFonts w:ascii="Calibri" w:hAnsi="Calibri"/>
                <w:sz w:val="20"/>
              </w:rPr>
              <w:t xml:space="preserve">Recipient email address; email content (service summaries, alerts, account and billing emails)</w:t>
            </w:r>
          </w:p>
        </w:tc>
      </w:tr>
      <w:tr>
        <w:tc>
          <w:tcPr/>
          <w:p>
            <w:pPr>
              <w:pStyle w:val="Compact"/>
              <w:jc w:val="left"/>
            </w:pPr>
            <w:r>
              <w:rPr>
                <w:rFonts w:ascii="Calibri" w:hAnsi="Calibri"/>
                <w:sz w:val="20"/>
              </w:rPr>
              <w:t xml:space="preserve">Twilio</w:t>
            </w:r>
          </w:p>
        </w:tc>
        <w:tc>
          <w:tcPr/>
          <w:p>
            <w:pPr>
              <w:pStyle w:val="Compact"/>
              <w:jc w:val="left"/>
            </w:pPr>
            <w:r>
              <w:rPr>
                <w:rFonts w:ascii="Calibri" w:hAnsi="Calibri"/>
                <w:sz w:val="20"/>
              </w:rPr>
              <w:t xml:space="preserve">Inbound phone call handling, recording, transcription</w:t>
            </w:r>
          </w:p>
        </w:tc>
        <w:tc>
          <w:tcPr/>
          <w:p>
            <w:pPr>
              <w:pStyle w:val="Compact"/>
              <w:jc w:val="left"/>
            </w:pPr>
            <w:r>
              <w:rPr>
                <w:rFonts w:ascii="Calibri" w:hAnsi="Calibri"/>
                <w:sz w:val="20"/>
              </w:rPr>
              <w:t xml:space="preserve">United States [confirm regions]</w:t>
            </w:r>
          </w:p>
        </w:tc>
        <w:tc>
          <w:tcPr/>
          <w:p>
            <w:pPr>
              <w:pStyle w:val="Compact"/>
              <w:jc w:val="left"/>
            </w:pPr>
            <w:r>
              <w:rPr>
                <w:rFonts w:ascii="Calibri" w:hAnsi="Calibri"/>
                <w:sz w:val="20"/>
              </w:rPr>
              <w:t xml:space="preserve">Caller phone number, call audio recordings, call transcripts</w:t>
            </w:r>
          </w:p>
        </w:tc>
      </w:tr>
      <w:tr>
        <w:tc>
          <w:tcPr/>
          <w:p>
            <w:pPr>
              <w:pStyle w:val="Compact"/>
              <w:jc w:val="left"/>
            </w:pPr>
            <w:r>
              <w:rPr>
                <w:rFonts w:ascii="Calibri" w:hAnsi="Calibri"/>
                <w:sz w:val="20"/>
              </w:rPr>
              <w:t xml:space="preserve">OpenAI, via Vercel AI Gateway</w:t>
            </w:r>
          </w:p>
        </w:tc>
        <w:tc>
          <w:tcPr/>
          <w:p>
            <w:pPr>
              <w:pStyle w:val="Compact"/>
              <w:jc w:val="left"/>
            </w:pPr>
            <w:r>
              <w:rPr>
                <w:rFonts w:ascii="Calibri" w:hAnsi="Calibri"/>
                <w:sz w:val="20"/>
              </w:rPr>
              <w:t xml:space="preserve">Parsing call transcripts into structured service requests; extracting structured data from uploaded inspection reports</w:t>
            </w:r>
          </w:p>
        </w:tc>
        <w:tc>
          <w:tcPr/>
          <w:p>
            <w:pPr>
              <w:pStyle w:val="Compact"/>
              <w:jc w:val="left"/>
            </w:pPr>
            <w:r>
              <w:rPr>
                <w:rFonts w:ascii="Calibri" w:hAnsi="Calibri"/>
                <w:sz w:val="20"/>
              </w:rPr>
              <w:t xml:space="preserve">United States [confirm regions]</w:t>
            </w:r>
          </w:p>
        </w:tc>
        <w:tc>
          <w:tcPr/>
          <w:p>
            <w:pPr>
              <w:pStyle w:val="Compact"/>
              <w:jc w:val="left"/>
            </w:pPr>
            <w:r>
              <w:rPr>
                <w:rFonts w:ascii="Calibri" w:hAnsi="Calibri"/>
                <w:sz w:val="20"/>
              </w:rPr>
              <w:t xml:space="preserve">Call transcript text; inspection report document content</w:t>
            </w:r>
          </w:p>
        </w:tc>
      </w:tr>
      <w:tr>
        <w:tc>
          <w:tcPr/>
          <w:p>
            <w:pPr>
              <w:pStyle w:val="Compact"/>
              <w:jc w:val="left"/>
            </w:pPr>
            <w:r>
              <w:rPr>
                <w:rFonts w:ascii="Calibri" w:hAnsi="Calibri"/>
                <w:sz w:val="20"/>
              </w:rPr>
              <w:t xml:space="preserve">Google (Dialogflow)</w:t>
            </w:r>
          </w:p>
        </w:tc>
        <w:tc>
          <w:tcPr/>
          <w:p>
            <w:pPr>
              <w:pStyle w:val="Compact"/>
              <w:jc w:val="left"/>
            </w:pPr>
            <w:r>
              <w:rPr>
                <w:rFonts w:ascii="Calibri" w:hAnsi="Calibri"/>
                <w:sz w:val="20"/>
              </w:rPr>
              <w:t xml:space="preserve">Conversational phone-agent fulfillment</w:t>
            </w:r>
          </w:p>
        </w:tc>
        <w:tc>
          <w:tcPr/>
          <w:p>
            <w:pPr>
              <w:pStyle w:val="Compact"/>
              <w:jc w:val="left"/>
            </w:pPr>
            <w:r>
              <w:rPr>
                <w:rFonts w:ascii="Calibri" w:hAnsi="Calibri"/>
                <w:sz w:val="20"/>
              </w:rPr>
              <w:t xml:space="preserve">United States [confirm regions]</w:t>
            </w:r>
          </w:p>
        </w:tc>
        <w:tc>
          <w:tcPr/>
          <w:p>
            <w:pPr>
              <w:pStyle w:val="Compact"/>
              <w:jc w:val="left"/>
            </w:pPr>
            <w:r>
              <w:rPr>
                <w:rFonts w:ascii="Calibri" w:hAnsi="Calibri"/>
                <w:sz w:val="20"/>
              </w:rPr>
              <w:t xml:space="preserve">Caller conversation content relevant to the phone agent flow</w:t>
            </w:r>
          </w:p>
        </w:tc>
      </w:tr>
      <w:tr>
        <w:tc>
          <w:tcPr/>
          <w:p>
            <w:pPr>
              <w:pStyle w:val="Compact"/>
              <w:jc w:val="left"/>
            </w:pPr>
            <w:r>
              <w:rPr>
                <w:rFonts w:ascii="Calibri" w:hAnsi="Calibri"/>
                <w:sz w:val="20"/>
              </w:rPr>
              <w:t xml:space="preserve">Stripe</w:t>
            </w:r>
          </w:p>
        </w:tc>
        <w:tc>
          <w:tcPr/>
          <w:p>
            <w:pPr>
              <w:pStyle w:val="Compact"/>
              <w:jc w:val="left"/>
            </w:pPr>
            <w:r>
              <w:rPr>
                <w:rFonts w:ascii="Calibri" w:hAnsi="Calibri"/>
                <w:sz w:val="20"/>
              </w:rPr>
              <w:t xml:space="preserve">Subscription billing</w:t>
            </w:r>
          </w:p>
        </w:tc>
        <w:tc>
          <w:tcPr/>
          <w:p>
            <w:pPr>
              <w:pStyle w:val="Compact"/>
              <w:jc w:val="left"/>
            </w:pPr>
            <w:r>
              <w:rPr>
                <w:rFonts w:ascii="Calibri" w:hAnsi="Calibri"/>
                <w:sz w:val="20"/>
              </w:rPr>
              <w:t xml:space="preserve">United States [confirm regions]</w:t>
            </w:r>
          </w:p>
        </w:tc>
        <w:tc>
          <w:tcPr/>
          <w:p>
            <w:pPr>
              <w:pStyle w:val="Compact"/>
              <w:jc w:val="left"/>
            </w:pPr>
            <w:r>
              <w:rPr>
                <w:rFonts w:ascii="Calibri" w:hAnsi="Calibri"/>
                <w:sz w:val="20"/>
              </w:rPr>
              <w:t xml:space="preserve">Billing contact name and email; tokenized payment method details (not stored by AquaRunner247)</w:t>
            </w:r>
          </w:p>
        </w:tc>
      </w:tr>
      <w:tr>
        <w:tc>
          <w:tcPr/>
          <w:p>
            <w:pPr>
              <w:pStyle w:val="Compact"/>
              <w:jc w:val="left"/>
            </w:pPr>
            <w:r>
              <w:rPr>
                <w:rFonts w:ascii="Calibri" w:hAnsi="Calibri"/>
                <w:sz w:val="20"/>
              </w:rPr>
              <w:t xml:space="preserve">QuickBooks/Intuit</w:t>
            </w:r>
          </w:p>
        </w:tc>
        <w:tc>
          <w:tcPr/>
          <w:p>
            <w:pPr>
              <w:pStyle w:val="Compact"/>
              <w:jc w:val="left"/>
            </w:pPr>
            <w:r>
              <w:rPr>
                <w:rFonts w:ascii="Calibri" w:hAnsi="Calibri"/>
                <w:sz w:val="20"/>
              </w:rPr>
              <w:t xml:space="preserve">Accounting integration, where Customer connects its own QuickBooks account</w:t>
            </w:r>
          </w:p>
        </w:tc>
        <w:tc>
          <w:tcPr/>
          <w:p>
            <w:pPr>
              <w:pStyle w:val="Compact"/>
              <w:jc w:val="left"/>
            </w:pPr>
            <w:r>
              <w:rPr>
                <w:rFonts w:ascii="Calibri" w:hAnsi="Calibri"/>
                <w:sz w:val="20"/>
              </w:rPr>
              <w:t xml:space="preserve">United States [confirm regions]</w:t>
            </w:r>
          </w:p>
        </w:tc>
        <w:tc>
          <w:tcPr/>
          <w:p>
            <w:pPr>
              <w:pStyle w:val="Compact"/>
              <w:jc w:val="left"/>
            </w:pPr>
            <w:r>
              <w:rPr>
                <w:rFonts w:ascii="Calibri" w:hAnsi="Calibri"/>
                <w:sz w:val="20"/>
              </w:rPr>
              <w:t xml:space="preserve">Information Customer chooses to share through the integration, under Intuit’s own terms</w:t>
            </w:r>
          </w:p>
        </w:tc>
      </w:tr>
    </w:tbl>
    <w:p>
      <w:pPr>
        <w:pStyle w:val="BodyText"/>
      </w:pPr>
      <w:r>
        <w:t xml:space="preserve">AquaRunner247 will provide notice of additions or replacements as set out in Section 5.3 and will maintain the current approved list at</w:t>
      </w:r>
      <w:r>
        <w:t xml:space="preserve"> </w:t>
      </w:r>
      <w:r>
        <w:rPr>
          <w:bCs/>
          <w:b/>
        </w:rPr>
        <w:t xml:space="preserve">[Subprocessor notice webpage or URL]</w:t>
      </w:r>
      <w:r>
        <w:t xml:space="preserve">.</w:t>
      </w:r>
    </w:p>
    <w:bookmarkEnd w:id="56"/>
    <w:bookmarkStart w:id="57" w:name="Xfb0839ec5e10594fb916455fe963b763b9b8b02"/>
    <w:p>
      <w:pPr>
        <w:pStyle w:val="Heading2"/>
      </w:pPr>
      <w:r>
        <w:t xml:space="preserve">2. EU Standard Contractual Clauses — Module Two</w:t>
      </w:r>
    </w:p>
    <w:p>
      <w:pPr>
        <w:pStyle w:val="FirstParagraph"/>
      </w:pPr>
      <w:r>
        <w:t xml:space="preserve">Where required under Section 8.2:</w:t>
      </w:r>
    </w:p>
    <w:p>
      <w:pPr>
        <w:numPr>
          <w:ilvl w:val="0"/>
          <w:numId w:val="1019"/>
        </w:numPr>
        <w:pStyle w:val="Compact"/>
      </w:pPr>
      <w:r>
        <w:rPr>
          <w:bCs/>
          <w:b/>
        </w:rPr>
        <w:t xml:space="preserve">Module selected:</w:t>
      </w:r>
      <w:r>
        <w:t xml:space="preserve"> </w:t>
      </w:r>
      <w:r>
        <w:t xml:space="preserve">Module Two — Controller to Processor.</w:t>
      </w:r>
    </w:p>
    <w:p>
      <w:pPr>
        <w:numPr>
          <w:ilvl w:val="0"/>
          <w:numId w:val="1019"/>
        </w:numPr>
        <w:pStyle w:val="Compact"/>
      </w:pPr>
      <w:r>
        <w:rPr>
          <w:bCs/>
          <w:b/>
        </w:rPr>
        <w:t xml:space="preserve">Data exporter:</w:t>
      </w:r>
      <w:r>
        <w:t xml:space="preserve"> </w:t>
      </w:r>
      <w:r>
        <w:t xml:space="preserve">Customer, as identified in the Agreement.</w:t>
      </w:r>
    </w:p>
    <w:p>
      <w:pPr>
        <w:numPr>
          <w:ilvl w:val="0"/>
          <w:numId w:val="1019"/>
        </w:numPr>
        <w:pStyle w:val="Compact"/>
      </w:pPr>
      <w:r>
        <w:rPr>
          <w:bCs/>
          <w:b/>
        </w:rPr>
        <w:t xml:space="preserve">Data importer:</w:t>
      </w:r>
      <w:r>
        <w:t xml:space="preserve"> </w:t>
      </w:r>
      <w:r>
        <w:t xml:space="preserve">AquaRunner247 LLC, [AquaRunner247 notice address].</w:t>
      </w:r>
    </w:p>
    <w:p>
      <w:pPr>
        <w:numPr>
          <w:ilvl w:val="0"/>
          <w:numId w:val="1019"/>
        </w:numPr>
        <w:pStyle w:val="Compact"/>
      </w:pPr>
      <w:r>
        <w:rPr>
          <w:bCs/>
          <w:b/>
        </w:rPr>
        <w:t xml:space="preserve">Processing details:</w:t>
      </w:r>
      <w:r>
        <w:t xml:space="preserve"> </w:t>
      </w:r>
      <w:r>
        <w:t xml:space="preserve">Annex 1 to this DPA.</w:t>
      </w:r>
    </w:p>
    <w:p>
      <w:pPr>
        <w:numPr>
          <w:ilvl w:val="0"/>
          <w:numId w:val="1019"/>
        </w:numPr>
        <w:pStyle w:val="Compact"/>
      </w:pPr>
      <w:r>
        <w:rPr>
          <w:bCs/>
          <w:b/>
        </w:rPr>
        <w:t xml:space="preserve">Security measures:</w:t>
      </w:r>
      <w:r>
        <w:t xml:space="preserve"> </w:t>
      </w:r>
      <w:r>
        <w:t xml:space="preserve">Annex 2 to this DPA.</w:t>
      </w:r>
    </w:p>
    <w:p>
      <w:pPr>
        <w:numPr>
          <w:ilvl w:val="0"/>
          <w:numId w:val="1019"/>
        </w:numPr>
        <w:pStyle w:val="Compact"/>
      </w:pPr>
      <w:r>
        <w:rPr>
          <w:bCs/>
          <w:b/>
        </w:rPr>
        <w:t xml:space="preserve">Approved Subprocessors:</w:t>
      </w:r>
      <w:r>
        <w:t xml:space="preserve"> </w:t>
      </w:r>
      <w:r>
        <w:t xml:space="preserve">This Annex 3, subject to the general authorization and notice provisions in Section 5.</w:t>
      </w:r>
    </w:p>
    <w:p>
      <w:pPr>
        <w:numPr>
          <w:ilvl w:val="0"/>
          <w:numId w:val="1019"/>
        </w:numPr>
        <w:pStyle w:val="Compact"/>
      </w:pPr>
      <w:r>
        <w:rPr>
          <w:bCs/>
          <w:b/>
        </w:rPr>
        <w:t xml:space="preserve">Competent Supervisory Authority:</w:t>
      </w:r>
      <w:r>
        <w:t xml:space="preserve"> </w:t>
      </w:r>
      <w:r>
        <w:t xml:space="preserve">[Competent Supervisory Authority].</w:t>
      </w:r>
    </w:p>
    <w:p>
      <w:pPr>
        <w:numPr>
          <w:ilvl w:val="0"/>
          <w:numId w:val="1019"/>
        </w:numPr>
        <w:pStyle w:val="Compact"/>
      </w:pPr>
      <w:r>
        <w:rPr>
          <w:bCs/>
          <w:b/>
        </w:rPr>
        <w:t xml:space="preserve">Governing law:</w:t>
      </w:r>
      <w:r>
        <w:t xml:space="preserve"> </w:t>
      </w:r>
      <w:r>
        <w:t xml:space="preserve">[EU Member State law].</w:t>
      </w:r>
    </w:p>
    <w:p>
      <w:pPr>
        <w:numPr>
          <w:ilvl w:val="0"/>
          <w:numId w:val="1019"/>
        </w:numPr>
        <w:pStyle w:val="Compact"/>
      </w:pPr>
      <w:r>
        <w:rPr>
          <w:bCs/>
          <w:b/>
        </w:rPr>
        <w:t xml:space="preserve">Courts:</w:t>
      </w:r>
      <w:r>
        <w:t xml:space="preserve"> </w:t>
      </w:r>
      <w:r>
        <w:t xml:space="preserve">[EU Member State courts].</w:t>
      </w:r>
    </w:p>
    <w:p>
      <w:pPr>
        <w:numPr>
          <w:ilvl w:val="0"/>
          <w:numId w:val="1019"/>
        </w:numPr>
        <w:pStyle w:val="Compact"/>
      </w:pPr>
      <w:r>
        <w:rPr>
          <w:bCs/>
          <w:b/>
        </w:rPr>
        <w:t xml:space="preserve">Optional docking clause:</w:t>
      </w:r>
      <w:r>
        <w:t xml:space="preserve"> </w:t>
      </w:r>
      <w:r>
        <w:t xml:space="preserve">Included.</w:t>
      </w:r>
    </w:p>
    <w:p>
      <w:pPr>
        <w:pStyle w:val="FirstParagraph"/>
      </w:pPr>
      <w:r>
        <w:t xml:space="preserve">The Parties incorporate by reference the unmodified text of the EU Standard Contractual Clauses adopted by Commission Implementing Decision (EU) 2021/914. The Parties will complete any required SCC appendices and selections before the relevant Restricted Transfer begins.</w:t>
      </w:r>
    </w:p>
    <w:bookmarkEnd w:id="57"/>
    <w:bookmarkStart w:id="58" w:name="uk-international-data-transfer-addendum"/>
    <w:p>
      <w:pPr>
        <w:pStyle w:val="Heading2"/>
      </w:pPr>
      <w:r>
        <w:t xml:space="preserve">3. UK International Data Transfer Addendum</w:t>
      </w:r>
    </w:p>
    <w:p>
      <w:pPr>
        <w:pStyle w:val="FirstParagraph"/>
      </w:pPr>
      <w:r>
        <w:t xml:space="preserve">Where required under Section 8.3, the Parties incorporate by reference the UK International Data Transfer Addendum to the EU Commission Standard Contractual Clauses issued by the UK Information Commissioner’s Office, completed as follows:</w:t>
      </w:r>
    </w:p>
    <w:p>
      <w:pPr>
        <w:numPr>
          <w:ilvl w:val="0"/>
          <w:numId w:val="1020"/>
        </w:numPr>
        <w:pStyle w:val="Compact"/>
      </w:pPr>
      <w:r>
        <w:rPr>
          <w:bCs/>
          <w:b/>
        </w:rPr>
        <w:t xml:space="preserve">Parties and key information:</w:t>
      </w:r>
      <w:r>
        <w:t xml:space="preserve"> </w:t>
      </w:r>
      <w:r>
        <w:t xml:space="preserve">As set out in the Agreement, this DPA, and Section 2 of this Annex.</w:t>
      </w:r>
    </w:p>
    <w:p>
      <w:pPr>
        <w:numPr>
          <w:ilvl w:val="0"/>
          <w:numId w:val="1020"/>
        </w:numPr>
        <w:pStyle w:val="Compact"/>
      </w:pPr>
      <w:r>
        <w:rPr>
          <w:bCs/>
          <w:b/>
        </w:rPr>
        <w:t xml:space="preserve">Selected EU SCC module:</w:t>
      </w:r>
      <w:r>
        <w:t xml:space="preserve"> </w:t>
      </w:r>
      <w:r>
        <w:t xml:space="preserve">Module Two — Controller to Processor.</w:t>
      </w:r>
    </w:p>
    <w:p>
      <w:pPr>
        <w:numPr>
          <w:ilvl w:val="0"/>
          <w:numId w:val="1020"/>
        </w:numPr>
        <w:pStyle w:val="Compact"/>
      </w:pPr>
      <w:r>
        <w:rPr>
          <w:bCs/>
          <w:b/>
        </w:rPr>
        <w:t xml:space="preserve">Tables and required details:</w:t>
      </w:r>
      <w:r>
        <w:t xml:space="preserve"> </w:t>
      </w:r>
      <w:r>
        <w:t xml:space="preserve">To be completed using the Parties’ details and Annexes 1–3 of this DPA.</w:t>
      </w:r>
    </w:p>
    <w:p>
      <w:pPr>
        <w:numPr>
          <w:ilvl w:val="0"/>
          <w:numId w:val="1020"/>
        </w:numPr>
        <w:pStyle w:val="Compact"/>
      </w:pPr>
      <w:r>
        <w:rPr>
          <w:bCs/>
          <w:b/>
        </w:rPr>
        <w:t xml:space="preserve">UK Addendum version:</w:t>
      </w:r>
      <w:r>
        <w:t xml:space="preserve"> </w:t>
      </w:r>
      <w:r>
        <w:t xml:space="preserve">[Applicable version or date].</w:t>
      </w:r>
    </w:p>
    <w:p>
      <w:pPr>
        <w:numPr>
          <w:ilvl w:val="0"/>
          <w:numId w:val="1020"/>
        </w:numPr>
        <w:pStyle w:val="Compact"/>
      </w:pPr>
      <w:r>
        <w:rPr>
          <w:bCs/>
          <w:b/>
        </w:rPr>
        <w:t xml:space="preserve">Start date:</w:t>
      </w:r>
      <w:r>
        <w:t xml:space="preserve"> </w:t>
      </w:r>
      <w:r>
        <w:t xml:space="preserve">[Effective Date or transfer start date].</w:t>
      </w:r>
    </w:p>
    <w:p>
      <w:pPr>
        <w:pStyle w:val="FirstParagraph"/>
      </w:pPr>
      <w:r>
        <w:t xml:space="preserve">The Parties will complete the UK Addendum’s required tables and selections before the relevant Restricted Transfer begins. The UK Addendum’s mandatory text is incorporated without modification.</w:t>
      </w:r>
    </w:p>
    <w:bookmarkEnd w:id="58"/>
    <w:bookmarkStart w:id="59" w:name="signature-and-acceptance"/>
    <w:p>
      <w:pPr>
        <w:pStyle w:val="Heading2"/>
      </w:pPr>
      <w:r>
        <w:t xml:space="preserve">4. Signature and Acceptance</w:t>
      </w:r>
    </w:p>
    <w:p>
      <w:pPr>
        <w:pStyle w:val="FirstParagraph"/>
      </w:pPr>
      <w:r>
        <w:t xml:space="preserve">This DPA may be accepted as part of the Agreement through electronic acceptance or the Parties’ execution below.</w:t>
      </w:r>
    </w:p>
    <w:p>
      <w:pPr>
        <w:pStyle w:val="BodyText"/>
      </w:pPr>
      <w:r>
        <w:rPr>
          <w:bCs/>
          <w:b/>
        </w:rPr>
        <w:t xml:space="preserve">Customer</w:t>
      </w:r>
    </w:p>
    <w:p>
      <w:pPr>
        <w:pStyle w:val="BodyText"/>
      </w:pPr>
      <w:r>
        <w:t xml:space="preserve">Legal name: [Customer legal entity name]</w:t>
      </w:r>
      <w:r>
        <w:br/>
      </w:r>
      <w:r>
        <w:t xml:space="preserve">By: [Authorized signatory]</w:t>
      </w:r>
      <w:r>
        <w:br/>
      </w:r>
      <w:r>
        <w:t xml:space="preserve">Name: [Name]</w:t>
      </w:r>
      <w:r>
        <w:br/>
      </w:r>
      <w:r>
        <w:t xml:space="preserve">Title: [Title]</w:t>
      </w:r>
      <w:r>
        <w:br/>
      </w:r>
      <w:r>
        <w:t xml:space="preserve">Date: [Date]</w:t>
      </w:r>
    </w:p>
    <w:p>
      <w:pPr>
        <w:pStyle w:val="BodyText"/>
      </w:pPr>
      <w:r>
        <w:rPr>
          <w:bCs/>
          <w:b/>
        </w:rPr>
        <w:t xml:space="preserve">AquaRunner247</w:t>
      </w:r>
    </w:p>
    <w:p>
      <w:pPr>
        <w:pStyle w:val="BodyText"/>
      </w:pPr>
      <w:r>
        <w:t xml:space="preserve">Legal name: AquaRunner247 LLC</w:t>
      </w:r>
      <w:r>
        <w:br/>
      </w:r>
      <w:r>
        <w:t xml:space="preserve">By: [Authorized signatory]</w:t>
      </w:r>
      <w:r>
        <w:br/>
      </w:r>
      <w:r>
        <w:t xml:space="preserve">Name: [Name]</w:t>
      </w:r>
      <w:r>
        <w:br/>
      </w:r>
      <w:r>
        <w:t xml:space="preserve">Title: [Title]</w:t>
      </w:r>
      <w:r>
        <w:br/>
      </w:r>
      <w:r>
        <w:t xml:space="preserve">Date: [Date]</w:t>
      </w:r>
    </w:p>
    <w:bookmarkEnd w:id="59"/>
    <w:bookmarkStart w:id="60" w:name="version-history"/>
    <w:p>
      <w:pPr>
        <w:pStyle w:val="Heading2"/>
      </w:pPr>
      <w:r>
        <w:t xml:space="preserve">Version History</w:t>
      </w:r>
    </w:p>
    <w:tbl>
      <w:tblPr>
        <w:tblW w:type="auto" w:w="0"/>
        <w:tblLook w:firstRow="1" w:lastRow="0" w:firstColumn="0" w:lastColumn="0" w:noHBand="0" w:noVBand="0" w:val="0020"/>
        <w:tblBorders>
          <w:top w:val="single" w:sz="4" w:space="0" w:color="B7C3CE"/>
          <w:left w:val="single" w:sz="4" w:space="0" w:color="B7C3CE"/>
          <w:bottom w:val="single" w:sz="4" w:space="0" w:color="B7C3CE"/>
          <w:right w:val="single" w:sz="4" w:space="0" w:color="B7C3CE"/>
          <w:insideH w:val="single" w:sz="4" w:space="0" w:color="B7C3CE"/>
          <w:insideV w:val="single" w:sz="4" w:space="0" w:color="B7C3CE"/>
        </w:tblBorders>
      </w:tblPr>
      <w:tblGrid>
        <w:gridCol w:w="2640"/>
        <w:gridCol w:w="2640"/>
        <w:gridCol w:w="2640"/>
      </w:tblGrid>
      <w:tr>
        <w:trPr>
          <w:tblHeader w:val="true"/>
        </w:trPr>
        <w:tc>
          <w:tcPr/>
          <w:p>
            <w:pPr>
              <w:pStyle w:val="Compact"/>
              <w:jc w:val="left"/>
            </w:pPr>
            <w:r>
              <w:rPr>
                <w:rFonts w:ascii="Calibri" w:hAnsi="Calibri"/>
                <w:b/>
                <w:sz w:val="20"/>
              </w:rPr>
              <w:t xml:space="preserve">Version</w:t>
            </w:r>
          </w:p>
        </w:tc>
        <w:tc>
          <w:tcPr/>
          <w:p>
            <w:pPr>
              <w:pStyle w:val="Compact"/>
              <w:jc w:val="left"/>
            </w:pPr>
            <w:r>
              <w:rPr>
                <w:rFonts w:ascii="Calibri" w:hAnsi="Calibri"/>
                <w:b/>
                <w:sz w:val="20"/>
              </w:rPr>
              <w:t xml:space="preserve">Date</w:t>
            </w:r>
          </w:p>
        </w:tc>
        <w:tc>
          <w:tcPr/>
          <w:p>
            <w:pPr>
              <w:pStyle w:val="Compact"/>
              <w:jc w:val="left"/>
            </w:pPr>
            <w:r>
              <w:rPr>
                <w:rFonts w:ascii="Calibri" w:hAnsi="Calibri"/>
                <w:b/>
                <w:sz w:val="20"/>
              </w:rPr>
              <w:t xml:space="preserve">Description</w:t>
            </w:r>
          </w:p>
        </w:tc>
      </w:tr>
      <w:tr>
        <w:tc>
          <w:tcPr/>
          <w:p>
            <w:pPr>
              <w:pStyle w:val="Compact"/>
              <w:jc w:val="left"/>
            </w:pPr>
            <w:r>
              <w:rPr>
                <w:rFonts w:ascii="Calibri" w:hAnsi="Calibri"/>
                <w:sz w:val="20"/>
              </w:rPr>
              <w:t xml:space="preserve">1.0</w:t>
            </w:r>
          </w:p>
        </w:tc>
        <w:tc>
          <w:tcPr/>
          <w:p>
            <w:pPr>
              <w:pStyle w:val="Compact"/>
              <w:jc w:val="left"/>
            </w:pPr>
            <w:r>
              <w:rPr>
                <w:rFonts w:ascii="Calibri" w:hAnsi="Calibri"/>
                <w:sz w:val="20"/>
              </w:rPr>
              <w:t xml:space="preserve">[Effective Date]</w:t>
            </w:r>
          </w:p>
        </w:tc>
        <w:tc>
          <w:tcPr/>
          <w:p>
            <w:pPr>
              <w:pStyle w:val="Compact"/>
              <w:jc w:val="left"/>
            </w:pPr>
            <w:r>
              <w:rPr>
                <w:rFonts w:ascii="Calibri" w:hAnsi="Calibri"/>
                <w:sz w:val="20"/>
              </w:rPr>
              <w:t xml:space="preserve">Initial draft</w:t>
            </w:r>
          </w:p>
        </w:tc>
      </w:tr>
    </w:tbl>
    <w:p>
      <w:pPr>
        <w:pStyle w:val="BodyText"/>
      </w:pPr>
      <w:r>
        <w:rPr>
          <w:iCs/>
          <w:i/>
        </w:rPr>
        <w:t xml:space="preserve">This document is for informational purposes only and should be reviewed by a licensed attorney before execution.</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E3A5C"/>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sz w:val="22"/>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hAnsi="Calibri"/>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2026-10-21T20:24:08Z</dcterms:created>
  <dcterms:modified xsi:type="dcterms:W3CDTF">2026-10-21T20:24:08Z</dcterms:modified>
</cp:coreProperties>
</file>

<file path=docProps/custom.xml><?xml version="1.0" encoding="utf-8"?>
<Properties xmlns="http://schemas.openxmlformats.org/officeDocument/2006/custom-properties" xmlns:vt="http://schemas.openxmlformats.org/officeDocument/2006/docPropsVTypes"/>
</file>