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aquarunner247-privacy-policy"/>
    <w:p>
      <w:pPr>
        <w:pStyle w:val="Heading1"/>
      </w:pPr>
      <w:r>
        <w:t xml:space="preserve">AquaRunner247 Privacy Policy</w:t>
      </w:r>
    </w:p>
    <w:p>
      <w:pPr>
        <w:pStyle w:val="FirstParagraph"/>
      </w:pPr>
      <w:r>
        <w:rPr>
          <w:bCs/>
          <w:b/>
        </w:rPr>
        <w:t xml:space="preserve">Effective Date:</w:t>
      </w:r>
      <w:r>
        <w:t xml:space="preserve"> </w:t>
      </w:r>
      <w:r>
        <w:t xml:space="preserve">[Effective Date]</w:t>
      </w:r>
      <w:r>
        <w:br/>
      </w:r>
      <w:r>
        <w:rPr>
          <w:bCs/>
          <w:b/>
        </w:rPr>
        <w:t xml:space="preserve">Last Updated:</w:t>
      </w:r>
      <w:r>
        <w:t xml:space="preserve"> </w:t>
      </w:r>
      <w:r>
        <w:t xml:space="preserve">[DATE]</w:t>
      </w:r>
    </w:p>
    <w:bookmarkStart w:id="20" w:name="contents"/>
    <w:p>
      <w:pPr>
        <w:pStyle w:val="Heading2"/>
      </w:pPr>
      <w:r>
        <w:t xml:space="preserve">Contents</w:t>
      </w:r>
    </w:p>
    <w:p>
      <w:pPr>
        <w:numPr>
          <w:ilvl w:val="0"/>
          <w:numId w:val="1001"/>
        </w:numPr>
        <w:pStyle w:val="Compact"/>
      </w:pPr>
      <w:r>
        <w:t xml:space="preserve">Introduction and Scope</w:t>
      </w:r>
      <w:r>
        <w:br/>
      </w:r>
    </w:p>
    <w:p>
      <w:pPr>
        <w:numPr>
          <w:ilvl w:val="0"/>
          <w:numId w:val="1001"/>
        </w:numPr>
        <w:pStyle w:val="Compact"/>
      </w:pPr>
      <w:r>
        <w:t xml:space="preserve">Who We Are and Contact Information</w:t>
      </w:r>
      <w:r>
        <w:br/>
      </w:r>
    </w:p>
    <w:p>
      <w:pPr>
        <w:numPr>
          <w:ilvl w:val="0"/>
          <w:numId w:val="1001"/>
        </w:numPr>
        <w:pStyle w:val="Compact"/>
      </w:pPr>
      <w:r>
        <w:t xml:space="preserve">Key Terms</w:t>
      </w:r>
      <w:r>
        <w:br/>
      </w:r>
    </w:p>
    <w:p>
      <w:pPr>
        <w:numPr>
          <w:ilvl w:val="0"/>
          <w:numId w:val="1001"/>
        </w:numPr>
        <w:pStyle w:val="Compact"/>
      </w:pPr>
      <w:r>
        <w:t xml:space="preserve">Personal Information We Collect</w:t>
      </w:r>
      <w:r>
        <w:br/>
      </w:r>
    </w:p>
    <w:p>
      <w:pPr>
        <w:numPr>
          <w:ilvl w:val="0"/>
          <w:numId w:val="1001"/>
        </w:numPr>
        <w:pStyle w:val="Compact"/>
      </w:pPr>
      <w:r>
        <w:t xml:space="preserve">How We Collect Information</w:t>
      </w:r>
      <w:r>
        <w:br/>
      </w:r>
    </w:p>
    <w:p>
      <w:pPr>
        <w:numPr>
          <w:ilvl w:val="0"/>
          <w:numId w:val="1001"/>
        </w:numPr>
        <w:pStyle w:val="Compact"/>
      </w:pPr>
      <w:r>
        <w:t xml:space="preserve">How We Use Information and Our Legal Bases</w:t>
      </w:r>
      <w:r>
        <w:br/>
      </w:r>
    </w:p>
    <w:p>
      <w:pPr>
        <w:numPr>
          <w:ilvl w:val="0"/>
          <w:numId w:val="1001"/>
        </w:numPr>
        <w:pStyle w:val="Compact"/>
      </w:pPr>
      <w:r>
        <w:t xml:space="preserve">Location, Photos, and Document Scanning</w:t>
      </w:r>
      <w:r>
        <w:br/>
      </w:r>
    </w:p>
    <w:p>
      <w:pPr>
        <w:numPr>
          <w:ilvl w:val="0"/>
          <w:numId w:val="1001"/>
        </w:numPr>
        <w:pStyle w:val="Compact"/>
      </w:pPr>
      <w:r>
        <w:t xml:space="preserve">QR Codes, Portals, and Compliance Records</w:t>
      </w:r>
      <w:r>
        <w:br/>
      </w:r>
    </w:p>
    <w:p>
      <w:pPr>
        <w:numPr>
          <w:ilvl w:val="0"/>
          <w:numId w:val="1001"/>
        </w:numPr>
        <w:pStyle w:val="Compact"/>
      </w:pPr>
      <w:r>
        <w:t xml:space="preserve">Cookies and Similar Technologies</w:t>
      </w:r>
      <w:r>
        <w:br/>
      </w:r>
    </w:p>
    <w:p>
      <w:pPr>
        <w:numPr>
          <w:ilvl w:val="0"/>
          <w:numId w:val="1001"/>
        </w:numPr>
        <w:pStyle w:val="Compact"/>
      </w:pPr>
      <w:r>
        <w:t xml:space="preserve">How We Share Information</w:t>
      </w:r>
      <w:r>
        <w:br/>
      </w:r>
    </w:p>
    <w:p>
      <w:pPr>
        <w:numPr>
          <w:ilvl w:val="0"/>
          <w:numId w:val="1001"/>
        </w:numPr>
        <w:pStyle w:val="Compact"/>
      </w:pPr>
      <w:r>
        <w:t xml:space="preserve">Customer Data and Our Processor Role</w:t>
      </w:r>
      <w:r>
        <w:br/>
      </w:r>
    </w:p>
    <w:p>
      <w:pPr>
        <w:numPr>
          <w:ilvl w:val="0"/>
          <w:numId w:val="1001"/>
        </w:numPr>
        <w:pStyle w:val="Compact"/>
      </w:pPr>
      <w:r>
        <w:t xml:space="preserve">International Data Transfers</w:t>
      </w:r>
      <w:r>
        <w:br/>
      </w:r>
    </w:p>
    <w:p>
      <w:pPr>
        <w:numPr>
          <w:ilvl w:val="0"/>
          <w:numId w:val="1001"/>
        </w:numPr>
        <w:pStyle w:val="Compact"/>
      </w:pPr>
      <w:r>
        <w:t xml:space="preserve">Data Retention</w:t>
      </w:r>
      <w:r>
        <w:br/>
      </w:r>
    </w:p>
    <w:p>
      <w:pPr>
        <w:numPr>
          <w:ilvl w:val="0"/>
          <w:numId w:val="1001"/>
        </w:numPr>
        <w:pStyle w:val="Compact"/>
      </w:pPr>
      <w:r>
        <w:t xml:space="preserve">Security and Privacy Incidents</w:t>
      </w:r>
      <w:r>
        <w:br/>
      </w:r>
    </w:p>
    <w:p>
      <w:pPr>
        <w:numPr>
          <w:ilvl w:val="0"/>
          <w:numId w:val="1001"/>
        </w:numPr>
        <w:pStyle w:val="Compact"/>
      </w:pPr>
      <w:r>
        <w:t xml:space="preserve">Children’s Privacy</w:t>
      </w:r>
      <w:r>
        <w:br/>
      </w:r>
    </w:p>
    <w:p>
      <w:pPr>
        <w:numPr>
          <w:ilvl w:val="0"/>
          <w:numId w:val="1001"/>
        </w:numPr>
        <w:pStyle w:val="Compact"/>
      </w:pPr>
      <w:r>
        <w:t xml:space="preserve">U.S. State Privacy Rights</w:t>
      </w:r>
      <w:r>
        <w:br/>
      </w:r>
    </w:p>
    <w:p>
      <w:pPr>
        <w:numPr>
          <w:ilvl w:val="0"/>
          <w:numId w:val="1001"/>
        </w:numPr>
        <w:pStyle w:val="Compact"/>
      </w:pPr>
      <w:r>
        <w:t xml:space="preserve">Nevada Privacy Notice</w:t>
      </w:r>
      <w:r>
        <w:br/>
      </w:r>
    </w:p>
    <w:p>
      <w:pPr>
        <w:numPr>
          <w:ilvl w:val="0"/>
          <w:numId w:val="1001"/>
        </w:numPr>
        <w:pStyle w:val="Compact"/>
      </w:pPr>
      <w:r>
        <w:t xml:space="preserve">Rights in the European Economic Area and United Kingdom</w:t>
      </w:r>
      <w:r>
        <w:br/>
      </w:r>
    </w:p>
    <w:p>
      <w:pPr>
        <w:numPr>
          <w:ilvl w:val="0"/>
          <w:numId w:val="1001"/>
        </w:numPr>
        <w:pStyle w:val="Compact"/>
      </w:pPr>
      <w:r>
        <w:t xml:space="preserve">Marketing and Communication Choices</w:t>
      </w:r>
      <w:r>
        <w:br/>
      </w:r>
    </w:p>
    <w:p>
      <w:pPr>
        <w:numPr>
          <w:ilvl w:val="0"/>
          <w:numId w:val="1001"/>
        </w:numPr>
        <w:pStyle w:val="Compact"/>
      </w:pPr>
      <w:r>
        <w:t xml:space="preserve">Third-Party Links and Services</w:t>
      </w:r>
      <w:r>
        <w:br/>
      </w:r>
    </w:p>
    <w:p>
      <w:pPr>
        <w:numPr>
          <w:ilvl w:val="0"/>
          <w:numId w:val="1001"/>
        </w:numPr>
        <w:pStyle w:val="Compact"/>
      </w:pPr>
      <w:r>
        <w:t xml:space="preserve">Do Not Track and Global Privacy Control</w:t>
      </w:r>
      <w:r>
        <w:br/>
      </w:r>
    </w:p>
    <w:p>
      <w:pPr>
        <w:numPr>
          <w:ilvl w:val="0"/>
          <w:numId w:val="1001"/>
        </w:numPr>
        <w:pStyle w:val="Compact"/>
      </w:pPr>
      <w:r>
        <w:t xml:space="preserve">Changes to This Policy</w:t>
      </w:r>
      <w:r>
        <w:br/>
      </w:r>
    </w:p>
    <w:p>
      <w:pPr>
        <w:numPr>
          <w:ilvl w:val="0"/>
          <w:numId w:val="1001"/>
        </w:numPr>
        <w:pStyle w:val="Compact"/>
      </w:pPr>
      <w:r>
        <w:t xml:space="preserve">Contact Us</w:t>
      </w:r>
      <w:r>
        <w:br/>
      </w:r>
    </w:p>
    <w:p>
      <w:pPr>
        <w:numPr>
          <w:ilvl w:val="0"/>
          <w:numId w:val="1001"/>
        </w:numPr>
        <w:pStyle w:val="Compact"/>
      </w:pPr>
      <w:r>
        <w:t xml:space="preserve">Attorney Review Notice</w:t>
      </w:r>
    </w:p>
    <w:bookmarkEnd w:id="20"/>
    <w:bookmarkStart w:id="21" w:name="introduction-and-scope"/>
    <w:p>
      <w:pPr>
        <w:pStyle w:val="Heading2"/>
      </w:pPr>
      <w:r>
        <w:t xml:space="preserve">1. Introduction and Scope</w:t>
      </w:r>
    </w:p>
    <w:p>
      <w:pPr>
        <w:pStyle w:val="FirstParagraph"/>
      </w:pPr>
      <w:r>
        <w:t xml:space="preserve">AquaRunner247 (</w:t>
      </w:r>
      <w:r>
        <w:t xml:space="preserve">“</w:t>
      </w:r>
      <w:r>
        <w:rPr>
          <w:bCs/>
          <w:b/>
        </w:rPr>
        <w:t xml:space="preserve">AquaRunner247</w:t>
      </w:r>
      <w:r>
        <w:t xml:space="preserve">,</w:t>
      </w:r>
      <w:r>
        <w:t xml:space="preserve">”</w:t>
      </w:r>
      <w:r>
        <w:t xml:space="preserve"> </w:t>
      </w:r>
      <w:r>
        <w:t xml:space="preserve">“</w:t>
      </w:r>
      <w:r>
        <w:rPr>
          <w:bCs/>
          <w:b/>
        </w:rPr>
        <w:t xml:space="preserve">we</w:t>
      </w:r>
      <w:r>
        <w:t xml:space="preserve">,</w:t>
      </w:r>
      <w:r>
        <w:t xml:space="preserve">”</w:t>
      </w:r>
      <w:r>
        <w:t xml:space="preserve"> </w:t>
      </w:r>
      <w:r>
        <w:t xml:space="preserve">“</w:t>
      </w:r>
      <w:r>
        <w:rPr>
          <w:bCs/>
          <w:b/>
        </w:rPr>
        <w:t xml:space="preserve">us</w:t>
      </w:r>
      <w:r>
        <w:t xml:space="preserve">,</w:t>
      </w:r>
      <w:r>
        <w:t xml:space="preserve">”</w:t>
      </w:r>
      <w:r>
        <w:t xml:space="preserve"> </w:t>
      </w:r>
      <w:r>
        <w:t xml:space="preserve">or</w:t>
      </w:r>
      <w:r>
        <w:t xml:space="preserve"> </w:t>
      </w:r>
      <w:r>
        <w:t xml:space="preserve">“</w:t>
      </w:r>
      <w:r>
        <w:rPr>
          <w:bCs/>
          <w:b/>
        </w:rPr>
        <w:t xml:space="preserve">our</w:t>
      </w:r>
      <w:r>
        <w:t xml:space="preserve">”</w:t>
      </w:r>
      <w:r>
        <w:t xml:space="preserve">) provides software and related services for pool service and maintenance businesses. Our services include route management, residential and commercial pool records, state-specific inspection checklists, chemical logs, QR-code access to pool records, geolocation-based arrival tracking, photo-based visit documentation, dosage calculations, document scanning, customer and inspector portals, and related support (collectively, the</w:t>
      </w:r>
      <w:r>
        <w:t xml:space="preserve"> </w:t>
      </w:r>
      <w:r>
        <w:t xml:space="preserve">“</w:t>
      </w:r>
      <w:r>
        <w:rPr>
          <w:bCs/>
          <w:b/>
        </w:rPr>
        <w:t xml:space="preserve">Services</w:t>
      </w:r>
      <w:r>
        <w:t xml:space="preserve">”</w:t>
      </w:r>
      <w:r>
        <w:t xml:space="preserve">).</w:t>
      </w:r>
    </w:p>
    <w:p>
      <w:pPr>
        <w:pStyle w:val="BodyText"/>
      </w:pPr>
      <w:r>
        <w:t xml:space="preserve">This Privacy Policy explains how we collect, use, disclose, and otherwise process Personal Information through our website at</w:t>
      </w:r>
      <w:r>
        <w:t xml:space="preserve"> </w:t>
      </w:r>
      <w:r>
        <w:rPr>
          <w:bCs/>
          <w:b/>
        </w:rPr>
        <w:t xml:space="preserve">aquarunner247.com</w:t>
      </w:r>
      <w:r>
        <w:t xml:space="preserve">, our mobile application, portals, communications, and other Services.</w:t>
      </w:r>
    </w:p>
    <w:p>
      <w:pPr>
        <w:pStyle w:val="BodyText"/>
      </w:pPr>
      <w:r>
        <w:t xml:space="preserve">The Services are intended primarily for businesses and their personnel. Pool service companies and other business customers may enter information about their technicians, customers, properties, property owners or managers, and other individuals. If you are an individual whose information a customer has submitted to the Services, that customer may control how your information is collected and used. See Section 11.</w:t>
      </w:r>
    </w:p>
    <w:p>
      <w:pPr>
        <w:pStyle w:val="BodyText"/>
      </w:pPr>
      <w:r>
        <w:t xml:space="preserve">This Policy does not replace any separate privacy notice or data processing agreement that applies to a particular Service or relationship. If a separate agreement conflicts with this Policy regarding information we process on a customer’s behalf, that agreement will govern to the extent of the conflict.</w:t>
      </w:r>
    </w:p>
    <w:bookmarkEnd w:id="21"/>
    <w:bookmarkStart w:id="22" w:name="who-we-are-and-contact-information"/>
    <w:p>
      <w:pPr>
        <w:pStyle w:val="Heading2"/>
      </w:pPr>
      <w:r>
        <w:t xml:space="preserve">2. Who We Are and Contact Information</w:t>
      </w:r>
    </w:p>
    <w:p>
      <w:pPr>
        <w:pStyle w:val="FirstParagraph"/>
      </w:pPr>
      <w:r>
        <w:t xml:space="preserve">The company responsible for the Services is:</w:t>
      </w:r>
    </w:p>
    <w:p>
      <w:pPr>
        <w:pStyle w:val="BodyText"/>
      </w:pPr>
      <w:r>
        <w:rPr>
          <w:bCs/>
          <w:b/>
        </w:rPr>
        <w:t xml:space="preserve">AquaRunner247 LLC, doing business as AquaRunner247</w:t>
      </w:r>
      <w:r>
        <w:br/>
      </w:r>
      <w:r>
        <w:t xml:space="preserve">Registered address:</w:t>
      </w:r>
      <w:r>
        <w:t xml:space="preserve"> </w:t>
      </w:r>
      <w:r>
        <w:rPr>
          <w:bCs/>
          <w:b/>
        </w:rPr>
        <w:t xml:space="preserve">[Registered Address]</w:t>
      </w:r>
      <w:r>
        <w:br/>
      </w:r>
      <w:r>
        <w:t xml:space="preserve">Privacy contact or Data Protection Officer:</w:t>
      </w:r>
      <w:r>
        <w:t xml:space="preserve"> </w:t>
      </w:r>
      <w:r>
        <w:rPr>
          <w:bCs/>
          <w:b/>
        </w:rPr>
        <w:t xml:space="preserve">[Privacy Contact or Data Protection Officer]</w:t>
      </w:r>
      <w:r>
        <w:br/>
      </w:r>
      <w:r>
        <w:t xml:space="preserve">Email:</w:t>
      </w:r>
      <w:r>
        <w:t xml:space="preserve"> </w:t>
      </w:r>
      <w:r>
        <w:rPr>
          <w:bCs/>
          <w:b/>
        </w:rPr>
        <w:t xml:space="preserve">aquarunner247@gmail.com</w:t>
      </w:r>
      <w:r>
        <w:br/>
      </w:r>
      <w:r>
        <w:t xml:space="preserve">Website:</w:t>
      </w:r>
      <w:r>
        <w:t xml:space="preserve"> </w:t>
      </w:r>
      <w:r>
        <w:rPr>
          <w:bCs/>
          <w:b/>
        </w:rPr>
        <w:t xml:space="preserve">https://aquarunner247.com</w:t>
      </w:r>
    </w:p>
    <w:p>
      <w:pPr>
        <w:pStyle w:val="BodyText"/>
      </w:pPr>
      <w:r>
        <w:t xml:space="preserve">For information about the role AquaRunner247 and a business customer each play in processing customer data, see Section 11.</w:t>
      </w:r>
    </w:p>
    <w:bookmarkEnd w:id="22"/>
    <w:bookmarkStart w:id="23" w:name="key-terms"/>
    <w:p>
      <w:pPr>
        <w:pStyle w:val="Heading2"/>
      </w:pPr>
      <w:r>
        <w:t xml:space="preserve">3. Key Terms</w:t>
      </w:r>
    </w:p>
    <w:p>
      <w:pPr>
        <w:numPr>
          <w:ilvl w:val="0"/>
          <w:numId w:val="1002"/>
        </w:numPr>
      </w:pPr>
      <w:r>
        <w:rPr>
          <w:bCs/>
          <w:b/>
        </w:rPr>
        <w:t xml:space="preserve">Personal Information</w:t>
      </w:r>
      <w:r>
        <w:t xml:space="preserve"> </w:t>
      </w:r>
      <w:r>
        <w:t xml:space="preserve">means information that identifies, relates to, describes, is reasonably capable of being associated with, or could reasonably be linked to an individual or household, or similar information protected by applicable law.</w:t>
      </w:r>
    </w:p>
    <w:p>
      <w:pPr>
        <w:numPr>
          <w:ilvl w:val="0"/>
          <w:numId w:val="1002"/>
        </w:numPr>
      </w:pPr>
      <w:r>
        <w:rPr>
          <w:bCs/>
          <w:b/>
        </w:rPr>
        <w:t xml:space="preserve">Processing</w:t>
      </w:r>
      <w:r>
        <w:t xml:space="preserve"> </w:t>
      </w:r>
      <w:r>
        <w:t xml:space="preserve">means collecting, using, storing, disclosing, or otherwise handling information.</w:t>
      </w:r>
    </w:p>
    <w:p>
      <w:pPr>
        <w:numPr>
          <w:ilvl w:val="0"/>
          <w:numId w:val="1002"/>
        </w:numPr>
      </w:pPr>
      <w:r>
        <w:rPr>
          <w:bCs/>
          <w:b/>
        </w:rPr>
        <w:t xml:space="preserve">Controller</w:t>
      </w:r>
      <w:r>
        <w:t xml:space="preserve"> </w:t>
      </w:r>
      <w:r>
        <w:t xml:space="preserve">means the person or organization that decides why and how Personal Information is processed. Some laws use the term</w:t>
      </w:r>
      <w:r>
        <w:t xml:space="preserve"> </w:t>
      </w:r>
      <w:r>
        <w:t xml:space="preserve">“</w:t>
      </w:r>
      <w:r>
        <w:t xml:space="preserve">business.</w:t>
      </w:r>
      <w:r>
        <w:t xml:space="preserve">”</w:t>
      </w:r>
    </w:p>
    <w:p>
      <w:pPr>
        <w:numPr>
          <w:ilvl w:val="0"/>
          <w:numId w:val="1002"/>
        </w:numPr>
      </w:pPr>
      <w:r>
        <w:rPr>
          <w:bCs/>
          <w:b/>
        </w:rPr>
        <w:t xml:space="preserve">Processor</w:t>
      </w:r>
      <w:r>
        <w:t xml:space="preserve"> </w:t>
      </w:r>
      <w:r>
        <w:t xml:space="preserve">means the person or organization that processes Personal Information on behalf of a Controller and under its instructions. Some laws use the term</w:t>
      </w:r>
      <w:r>
        <w:t xml:space="preserve"> </w:t>
      </w:r>
      <w:r>
        <w:t xml:space="preserve">“</w:t>
      </w:r>
      <w:r>
        <w:t xml:space="preserve">service provider.</w:t>
      </w:r>
      <w:r>
        <w:t xml:space="preserve">”</w:t>
      </w:r>
    </w:p>
    <w:p>
      <w:pPr>
        <w:numPr>
          <w:ilvl w:val="0"/>
          <w:numId w:val="1002"/>
        </w:numPr>
      </w:pPr>
      <w:r>
        <w:rPr>
          <w:bCs/>
          <w:b/>
        </w:rPr>
        <w:t xml:space="preserve">Customer</w:t>
      </w:r>
      <w:r>
        <w:t xml:space="preserve"> </w:t>
      </w:r>
      <w:r>
        <w:t xml:space="preserve">means a business or other person or organization that subscribes to, administers, or uses the Services.</w:t>
      </w:r>
    </w:p>
    <w:p>
      <w:pPr>
        <w:numPr>
          <w:ilvl w:val="0"/>
          <w:numId w:val="1002"/>
        </w:numPr>
      </w:pPr>
      <w:r>
        <w:rPr>
          <w:bCs/>
          <w:b/>
        </w:rPr>
        <w:t xml:space="preserve">End User</w:t>
      </w:r>
      <w:r>
        <w:t xml:space="preserve"> </w:t>
      </w:r>
      <w:r>
        <w:t xml:space="preserve">means an individual authorized by a Customer to use the Services, such as an account administrator, office staff member, or pool technician.</w:t>
      </w:r>
    </w:p>
    <w:p>
      <w:pPr>
        <w:numPr>
          <w:ilvl w:val="0"/>
          <w:numId w:val="1002"/>
        </w:numPr>
      </w:pPr>
      <w:r>
        <w:rPr>
          <w:bCs/>
          <w:b/>
        </w:rPr>
        <w:t xml:space="preserve">Customer Data</w:t>
      </w:r>
      <w:r>
        <w:t xml:space="preserve"> </w:t>
      </w:r>
      <w:r>
        <w:t xml:space="preserve">means information submitted to or collected through the Services by or for a Customer, including information about the Customer’s personnel, customers, properties, and service visits.</w:t>
      </w:r>
    </w:p>
    <w:p>
      <w:pPr>
        <w:numPr>
          <w:ilvl w:val="0"/>
          <w:numId w:val="1002"/>
        </w:numPr>
      </w:pPr>
      <w:r>
        <w:rPr>
          <w:bCs/>
          <w:b/>
        </w:rPr>
        <w:t xml:space="preserve">Organization</w:t>
      </w:r>
      <w:r>
        <w:t xml:space="preserve"> </w:t>
      </w:r>
      <w:r>
        <w:t xml:space="preserve">means a pool service company or other business that subscribes to the Services; an Organization acts as Controller or business for the Customer Data it enters into the Services.</w:t>
      </w:r>
    </w:p>
    <w:p>
      <w:pPr>
        <w:numPr>
          <w:ilvl w:val="0"/>
          <w:numId w:val="1002"/>
        </w:numPr>
      </w:pPr>
      <w:r>
        <w:rPr>
          <w:bCs/>
          <w:b/>
        </w:rPr>
        <w:t xml:space="preserve">End Customer</w:t>
      </w:r>
      <w:r>
        <w:t xml:space="preserve"> </w:t>
      </w:r>
      <w:r>
        <w:t xml:space="preserve">means a customer of an Organization who is given access to the customer portal to view service history, chemistry readings, and other information the Organization shares. If you are an End Customer, your pool service company (the Organization) controls what information about you is entered into the Services and how it is used for its business purposes; questions about your data are often best directed to your pool service company first.</w:t>
      </w:r>
    </w:p>
    <w:p>
      <w:pPr>
        <w:numPr>
          <w:ilvl w:val="0"/>
          <w:numId w:val="1002"/>
        </w:numPr>
      </w:pPr>
      <w:r>
        <w:rPr>
          <w:bCs/>
          <w:b/>
        </w:rPr>
        <w:t xml:space="preserve">You</w:t>
      </w:r>
      <w:r>
        <w:t xml:space="preserve"> </w:t>
      </w:r>
      <w:r>
        <w:t xml:space="preserve">means a visitor to our website, a Customer, an End User, or another individual whose information we process.</w:t>
      </w:r>
    </w:p>
    <w:p>
      <w:pPr>
        <w:pStyle w:val="FirstParagraph"/>
      </w:pPr>
      <w:r>
        <w:t xml:space="preserve">The Services are intended for use within the United States. Customer Data is processed in the United States by AquaRunner247 and the service providers listed in Section 10.</w:t>
      </w:r>
    </w:p>
    <w:bookmarkEnd w:id="23"/>
    <w:bookmarkStart w:id="24" w:name="personal-information-we-collect"/>
    <w:p>
      <w:pPr>
        <w:pStyle w:val="Heading2"/>
      </w:pPr>
      <w:r>
        <w:t xml:space="preserve">4. Personal Information We Collect</w:t>
      </w:r>
    </w:p>
    <w:p>
      <w:pPr>
        <w:pStyle w:val="FirstParagraph"/>
      </w:pPr>
      <w:r>
        <w:t xml:space="preserve">The information we collect depends on how you interact with us and how a Customer configures and uses the Services. It may include the following categories:</w:t>
      </w:r>
    </w:p>
    <w:tbl>
      <w:tblPr>
        <w:tblW w:type="pct" w:w="5000"/>
        <w:tblLook w:firstRow="1" w:lastRow="0" w:firstColumn="0" w:lastColumn="0" w:noHBand="0" w:noVBand="0" w:val="0020"/>
        <w:tblBorders>
          <w:top w:val="single" w:sz="4" w:space="0" w:color="B7C3CE"/>
          <w:left w:val="single" w:sz="4" w:space="0" w:color="B7C3CE"/>
          <w:bottom w:val="single" w:sz="4" w:space="0" w:color="B7C3CE"/>
          <w:right w:val="single" w:sz="4" w:space="0" w:color="B7C3CE"/>
          <w:insideH w:val="single" w:sz="4" w:space="0" w:color="B7C3CE"/>
          <w:insideV w:val="single" w:sz="4" w:space="0" w:color="B7C3CE"/>
        </w:tblBorders>
      </w:tblPr>
      <w:tblGrid>
        <w:gridCol w:w="3960"/>
        <w:gridCol w:w="3960"/>
      </w:tblGrid>
      <w:tr>
        <w:trPr>
          <w:tblHeader w:val="true"/>
        </w:trPr>
        <w:tc>
          <w:tcPr/>
          <w:p>
            <w:pPr>
              <w:pStyle w:val="Compact"/>
              <w:jc w:val="left"/>
            </w:pPr>
            <w:r>
              <w:rPr>
                <w:rFonts w:ascii="Calibri" w:hAnsi="Calibri"/>
                <w:b/>
                <w:sz w:val="20"/>
              </w:rPr>
              <w:t xml:space="preserve">Category</w:t>
            </w:r>
          </w:p>
        </w:tc>
        <w:tc>
          <w:tcPr/>
          <w:p>
            <w:pPr>
              <w:pStyle w:val="Compact"/>
              <w:jc w:val="left"/>
            </w:pPr>
            <w:r>
              <w:rPr>
                <w:rFonts w:ascii="Calibri" w:hAnsi="Calibri"/>
                <w:b/>
                <w:sz w:val="20"/>
              </w:rPr>
              <w:t xml:space="preserve">Examples</w:t>
            </w:r>
          </w:p>
        </w:tc>
      </w:tr>
      <w:tr>
        <w:tc>
          <w:tcPr/>
          <w:p>
            <w:pPr>
              <w:pStyle w:val="Compact"/>
              <w:jc w:val="left"/>
            </w:pPr>
            <w:r>
              <w:rPr>
                <w:rFonts w:ascii="Calibri" w:hAnsi="Calibri"/>
                <w:sz w:val="20"/>
              </w:rPr>
              <w:t xml:space="preserve">Identifiers and contact details</w:t>
            </w:r>
          </w:p>
        </w:tc>
        <w:tc>
          <w:tcPr/>
          <w:p>
            <w:pPr>
              <w:pStyle w:val="Compact"/>
              <w:jc w:val="left"/>
            </w:pPr>
            <w:r>
              <w:rPr>
                <w:rFonts w:ascii="Calibri" w:hAnsi="Calibri"/>
                <w:sz w:val="20"/>
              </w:rPr>
              <w:t xml:space="preserve">Name, business name, email address, telephone number, username, account identifiers, and mailing or business address</w:t>
            </w:r>
          </w:p>
        </w:tc>
      </w:tr>
      <w:tr>
        <w:tc>
          <w:tcPr/>
          <w:p>
            <w:pPr>
              <w:pStyle w:val="Compact"/>
              <w:jc w:val="left"/>
            </w:pPr>
            <w:r>
              <w:rPr>
                <w:rFonts w:ascii="Calibri" w:hAnsi="Calibri"/>
                <w:sz w:val="20"/>
              </w:rPr>
              <w:t xml:space="preserve">Account and business information</w:t>
            </w:r>
          </w:p>
        </w:tc>
        <w:tc>
          <w:tcPr/>
          <w:p>
            <w:pPr>
              <w:pStyle w:val="Compact"/>
              <w:jc w:val="left"/>
            </w:pPr>
            <w:r>
              <w:rPr>
                <w:rFonts w:ascii="Calibri" w:hAnsi="Calibri"/>
                <w:sz w:val="20"/>
              </w:rPr>
              <w:t xml:space="preserve">Role, employer, permissions, subscription details, service-area information, and account settings</w:t>
            </w:r>
          </w:p>
        </w:tc>
      </w:tr>
      <w:tr>
        <w:tc>
          <w:tcPr/>
          <w:p>
            <w:pPr>
              <w:pStyle w:val="Compact"/>
              <w:jc w:val="left"/>
            </w:pPr>
            <w:r>
              <w:rPr>
                <w:rFonts w:ascii="Calibri" w:hAnsi="Calibri"/>
                <w:sz w:val="20"/>
              </w:rPr>
              <w:t xml:space="preserve">Billing and transaction information</w:t>
            </w:r>
          </w:p>
        </w:tc>
        <w:tc>
          <w:tcPr/>
          <w:p>
            <w:pPr>
              <w:pStyle w:val="Compact"/>
              <w:jc w:val="left"/>
            </w:pPr>
            <w:r>
              <w:rPr>
                <w:rFonts w:ascii="Calibri" w:hAnsi="Calibri"/>
                <w:sz w:val="20"/>
              </w:rPr>
              <w:t xml:space="preserve">Plan, invoices, payment status, and transaction history. Payment card and bank details may be collected directly by a payment processor rather than stored by us</w:t>
            </w:r>
          </w:p>
        </w:tc>
      </w:tr>
      <w:tr>
        <w:tc>
          <w:tcPr/>
          <w:p>
            <w:pPr>
              <w:pStyle w:val="Compact"/>
              <w:jc w:val="left"/>
            </w:pPr>
            <w:r>
              <w:rPr>
                <w:rFonts w:ascii="Calibri" w:hAnsi="Calibri"/>
                <w:sz w:val="20"/>
              </w:rPr>
              <w:t xml:space="preserve">Location information</w:t>
            </w:r>
          </w:p>
        </w:tc>
        <w:tc>
          <w:tcPr/>
          <w:p>
            <w:pPr>
              <w:pStyle w:val="Compact"/>
              <w:jc w:val="left"/>
            </w:pPr>
            <w:r>
              <w:rPr>
                <w:rFonts w:ascii="Calibri" w:hAnsi="Calibri"/>
                <w:sz w:val="20"/>
              </w:rPr>
              <w:t xml:space="preserve">Property addresses, route information, and technician device location captured at the moment of a logged arrival at a service visit (geofenced arrival records and geotagged visit information). We do not continuously track technician location outside of logged arrival events, subject to device and account settings</w:t>
            </w:r>
          </w:p>
        </w:tc>
      </w:tr>
      <w:tr>
        <w:tc>
          <w:tcPr/>
          <w:p>
            <w:pPr>
              <w:pStyle w:val="Compact"/>
              <w:jc w:val="left"/>
            </w:pPr>
            <w:r>
              <w:rPr>
                <w:rFonts w:ascii="Calibri" w:hAnsi="Calibri"/>
                <w:sz w:val="20"/>
              </w:rPr>
              <w:t xml:space="preserve">Pool and service records</w:t>
            </w:r>
          </w:p>
        </w:tc>
        <w:tc>
          <w:tcPr/>
          <w:p>
            <w:pPr>
              <w:pStyle w:val="Compact"/>
              <w:jc w:val="left"/>
            </w:pPr>
            <w:r>
              <w:rPr>
                <w:rFonts w:ascii="Calibri" w:hAnsi="Calibri"/>
                <w:sz w:val="20"/>
              </w:rPr>
              <w:t xml:space="preserve">Water chemistry readings, dosage records, inspection checklists, compliance records, service notes, equipment details (including make, model, and serial numbers extracted from uploaded inspection reports), and visit histories</w:t>
            </w:r>
          </w:p>
        </w:tc>
      </w:tr>
      <w:tr>
        <w:tc>
          <w:tcPr/>
          <w:p>
            <w:pPr>
              <w:pStyle w:val="Compact"/>
              <w:jc w:val="left"/>
            </w:pPr>
            <w:r>
              <w:rPr>
                <w:rFonts w:ascii="Calibri" w:hAnsi="Calibri"/>
                <w:sz w:val="20"/>
              </w:rPr>
              <w:t xml:space="preserve">Photos, documents, and other files</w:t>
            </w:r>
          </w:p>
        </w:tc>
        <w:tc>
          <w:tcPr/>
          <w:p>
            <w:pPr>
              <w:pStyle w:val="Compact"/>
              <w:jc w:val="left"/>
            </w:pPr>
            <w:r>
              <w:rPr>
                <w:rFonts w:ascii="Calibri" w:hAnsi="Calibri"/>
                <w:sz w:val="20"/>
              </w:rPr>
              <w:t xml:space="preserve">Photos taken during service visits (including geotagged and timestamped photos), uploaded inspection reports and their extracted data, and other content submitted by a Customer or End User</w:t>
            </w:r>
          </w:p>
        </w:tc>
      </w:tr>
      <w:tr>
        <w:tc>
          <w:tcPr/>
          <w:p>
            <w:pPr>
              <w:pStyle w:val="Compact"/>
              <w:jc w:val="left"/>
            </w:pPr>
            <w:r>
              <w:rPr>
                <w:rFonts w:ascii="Calibri" w:hAnsi="Calibri"/>
                <w:sz w:val="20"/>
              </w:rPr>
              <w:t xml:space="preserve">Call recordings and transcripts</w:t>
            </w:r>
          </w:p>
        </w:tc>
        <w:tc>
          <w:tcPr/>
          <w:p>
            <w:pPr>
              <w:pStyle w:val="Compact"/>
              <w:jc w:val="left"/>
            </w:pPr>
            <w:r>
              <w:rPr>
                <w:rFonts w:ascii="Calibri" w:hAnsi="Calibri"/>
                <w:sz w:val="20"/>
              </w:rPr>
              <w:t xml:space="preserve">Where a Customer configures a phone number for the Services, inbound calls may be handled, recorded, and transcribed; we collect the caller’s phone number, call audio recordings, call transcripts, and any information the caller provides during the call</w:t>
            </w:r>
          </w:p>
        </w:tc>
      </w:tr>
      <w:tr>
        <w:tc>
          <w:tcPr/>
          <w:p>
            <w:pPr>
              <w:pStyle w:val="Compact"/>
              <w:jc w:val="left"/>
            </w:pPr>
            <w:r>
              <w:rPr>
                <w:rFonts w:ascii="Calibri" w:hAnsi="Calibri"/>
                <w:sz w:val="20"/>
              </w:rPr>
              <w:t xml:space="preserve">Customer portal information</w:t>
            </w:r>
          </w:p>
        </w:tc>
        <w:tc>
          <w:tcPr/>
          <w:p>
            <w:pPr>
              <w:pStyle w:val="Compact"/>
              <w:jc w:val="left"/>
            </w:pPr>
            <w:r>
              <w:rPr>
                <w:rFonts w:ascii="Calibri" w:hAnsi="Calibri"/>
                <w:sz w:val="20"/>
              </w:rPr>
              <w:t xml:space="preserve">Name, email address, and service or account information an Organization shares with its End Customers through the customer portal</w:t>
            </w:r>
          </w:p>
        </w:tc>
      </w:tr>
      <w:tr>
        <w:tc>
          <w:tcPr/>
          <w:p>
            <w:pPr>
              <w:pStyle w:val="Compact"/>
              <w:jc w:val="left"/>
            </w:pPr>
            <w:r>
              <w:rPr>
                <w:rFonts w:ascii="Calibri" w:hAnsi="Calibri"/>
                <w:sz w:val="20"/>
              </w:rPr>
              <w:t xml:space="preserve">Device and usage information</w:t>
            </w:r>
          </w:p>
        </w:tc>
        <w:tc>
          <w:tcPr/>
          <w:p>
            <w:pPr>
              <w:pStyle w:val="Compact"/>
              <w:jc w:val="left"/>
            </w:pPr>
            <w:r>
              <w:rPr>
                <w:rFonts w:ascii="Calibri" w:hAnsi="Calibri"/>
                <w:sz w:val="20"/>
              </w:rPr>
              <w:t xml:space="preserve">Device type, operating system, app version, IP address, log data, interaction with features, crash reports, and diagnostic information</w:t>
            </w:r>
          </w:p>
        </w:tc>
      </w:tr>
      <w:tr>
        <w:tc>
          <w:tcPr/>
          <w:p>
            <w:pPr>
              <w:pStyle w:val="Compact"/>
              <w:jc w:val="left"/>
            </w:pPr>
            <w:r>
              <w:rPr>
                <w:rFonts w:ascii="Calibri" w:hAnsi="Calibri"/>
                <w:sz w:val="20"/>
              </w:rPr>
              <w:t xml:space="preserve">Communications</w:t>
            </w:r>
          </w:p>
        </w:tc>
        <w:tc>
          <w:tcPr/>
          <w:p>
            <w:pPr>
              <w:pStyle w:val="Compact"/>
              <w:jc w:val="left"/>
            </w:pPr>
            <w:r>
              <w:rPr>
                <w:rFonts w:ascii="Calibri" w:hAnsi="Calibri"/>
                <w:sz w:val="20"/>
              </w:rPr>
              <w:t xml:space="preserve">Support requests, feedback, emails, text messages, and other communications with us</w:t>
            </w:r>
          </w:p>
        </w:tc>
      </w:tr>
      <w:tr>
        <w:tc>
          <w:tcPr/>
          <w:p>
            <w:pPr>
              <w:pStyle w:val="Compact"/>
              <w:jc w:val="left"/>
            </w:pPr>
            <w:r>
              <w:rPr>
                <w:rFonts w:ascii="Calibri" w:hAnsi="Calibri"/>
                <w:sz w:val="20"/>
              </w:rPr>
              <w:t xml:space="preserve">Inferences</w:t>
            </w:r>
          </w:p>
        </w:tc>
        <w:tc>
          <w:tcPr/>
          <w:p>
            <w:pPr>
              <w:pStyle w:val="Compact"/>
              <w:jc w:val="left"/>
            </w:pPr>
            <w:r>
              <w:rPr>
                <w:rFonts w:ascii="Calibri" w:hAnsi="Calibri"/>
                <w:sz w:val="20"/>
              </w:rPr>
              <w:t xml:space="preserve">Operational or usage insights derived from Service activity, such as feature use or workflow trends</w:t>
            </w:r>
          </w:p>
        </w:tc>
      </w:tr>
    </w:tbl>
    <w:p>
      <w:pPr>
        <w:pStyle w:val="BodyText"/>
      </w:pPr>
      <w:r>
        <w:t xml:space="preserve">Information in pool records, photos, files, or service notes may contain information about other people, including property owners, managers, tenants, employees, visitors, or inspectors. Customers and End Users should not submit information that is unnecessary for the Services.</w:t>
      </w:r>
    </w:p>
    <w:p>
      <w:pPr>
        <w:pStyle w:val="BodyText"/>
      </w:pPr>
      <w:r>
        <w:t xml:space="preserve">We do not intentionally request government-issued identification numbers, account passwords for unrelated services, or payment card security codes in Customer Data. The Services are not designed to collect Social Security numbers, government ID numbers, health information, or similarly sensitive categories, and Organizations agree not to input such data into the Services. Do not submit sensitive Personal Information unless it is necessary for use of the Services and authorized by the relevant person and applicable law.</w:t>
      </w:r>
    </w:p>
    <w:bookmarkEnd w:id="24"/>
    <w:bookmarkStart w:id="25" w:name="how-we-collect-information"/>
    <w:p>
      <w:pPr>
        <w:pStyle w:val="Heading2"/>
      </w:pPr>
      <w:r>
        <w:t xml:space="preserve">5. How We Collect Information</w:t>
      </w:r>
    </w:p>
    <w:p>
      <w:pPr>
        <w:pStyle w:val="FirstParagraph"/>
      </w:pPr>
      <w:r>
        <w:t xml:space="preserve">We may collect Personal Information:</w:t>
      </w:r>
    </w:p>
    <w:p>
      <w:pPr>
        <w:numPr>
          <w:ilvl w:val="0"/>
          <w:numId w:val="1003"/>
        </w:numPr>
        <w:pStyle w:val="Compact"/>
      </w:pPr>
      <w:r>
        <w:rPr>
          <w:bCs/>
          <w:b/>
        </w:rPr>
        <w:t xml:space="preserve">Directly from you</w:t>
      </w:r>
      <w:r>
        <w:t xml:space="preserve">, such as when you create an account, contact us, subscribe, or submit support requests.</w:t>
      </w:r>
    </w:p>
    <w:p>
      <w:pPr>
        <w:numPr>
          <w:ilvl w:val="0"/>
          <w:numId w:val="1003"/>
        </w:numPr>
        <w:pStyle w:val="Compact"/>
      </w:pPr>
      <w:r>
        <w:rPr>
          <w:bCs/>
          <w:b/>
        </w:rPr>
        <w:t xml:space="preserve">From a Customer or End User</w:t>
      </w:r>
      <w:r>
        <w:t xml:space="preserve">, including account administrators who create user profiles, assign routes, or enter property and service details.</w:t>
      </w:r>
    </w:p>
    <w:p>
      <w:pPr>
        <w:numPr>
          <w:ilvl w:val="0"/>
          <w:numId w:val="1003"/>
        </w:numPr>
        <w:pStyle w:val="Compact"/>
      </w:pPr>
      <w:r>
        <w:rPr>
          <w:bCs/>
          <w:b/>
        </w:rPr>
        <w:t xml:space="preserve">From your device</w:t>
      </w:r>
      <w:r>
        <w:t xml:space="preserve">, including location, app use, diagnostic data, and information needed for offline functionality and later synchronization, subject to permissions and settings.</w:t>
      </w:r>
    </w:p>
    <w:p>
      <w:pPr>
        <w:numPr>
          <w:ilvl w:val="0"/>
          <w:numId w:val="1003"/>
        </w:numPr>
        <w:pStyle w:val="Compact"/>
      </w:pPr>
      <w:r>
        <w:rPr>
          <w:bCs/>
          <w:b/>
        </w:rPr>
        <w:t xml:space="preserve">Through the Services</w:t>
      </w:r>
      <w:r>
        <w:t xml:space="preserve">, including when users log readings, complete inspection checklists, scan documents, take photos, create QR-code records, or use portals.</w:t>
      </w:r>
    </w:p>
    <w:p>
      <w:pPr>
        <w:numPr>
          <w:ilvl w:val="0"/>
          <w:numId w:val="1003"/>
        </w:numPr>
        <w:pStyle w:val="Compact"/>
      </w:pPr>
      <w:r>
        <w:rPr>
          <w:bCs/>
          <w:b/>
        </w:rPr>
        <w:t xml:space="preserve">From service providers and integrations</w:t>
      </w:r>
      <w:r>
        <w:t xml:space="preserve">, such as payment processors, analytics providers, mapping services, communication providers, or identity and authentication services, where used.</w:t>
      </w:r>
    </w:p>
    <w:p>
      <w:pPr>
        <w:numPr>
          <w:ilvl w:val="0"/>
          <w:numId w:val="1003"/>
        </w:numPr>
        <w:pStyle w:val="Compact"/>
      </w:pPr>
      <w:r>
        <w:rPr>
          <w:bCs/>
          <w:b/>
        </w:rPr>
        <w:t xml:space="preserve">From publicly available or other lawful sources</w:t>
      </w:r>
      <w:r>
        <w:t xml:space="preserve">, where appropriate to provide, secure, or improve the Services.</w:t>
      </w:r>
    </w:p>
    <w:bookmarkEnd w:id="25"/>
    <w:bookmarkStart w:id="26" w:name="X36843e903e0d35aa8be6157767d1142c312a9eb"/>
    <w:p>
      <w:pPr>
        <w:pStyle w:val="Heading2"/>
      </w:pPr>
      <w:r>
        <w:t xml:space="preserve">6. How We Use Information and Our Legal Bases</w:t>
      </w:r>
    </w:p>
    <w:p>
      <w:pPr>
        <w:pStyle w:val="FirstParagraph"/>
      </w:pPr>
      <w:r>
        <w:t xml:space="preserve">We may use Personal Information to:</w:t>
      </w:r>
    </w:p>
    <w:p>
      <w:pPr>
        <w:numPr>
          <w:ilvl w:val="0"/>
          <w:numId w:val="1004"/>
        </w:numPr>
        <w:pStyle w:val="Compact"/>
      </w:pPr>
      <w:r>
        <w:t xml:space="preserve">Create, maintain, authenticate, and administer accounts and subscriptions.</w:t>
      </w:r>
    </w:p>
    <w:p>
      <w:pPr>
        <w:numPr>
          <w:ilvl w:val="0"/>
          <w:numId w:val="1004"/>
        </w:numPr>
        <w:pStyle w:val="Compact"/>
      </w:pPr>
      <w:r>
        <w:t xml:space="preserve">Provide, operate, and support the Services, including route planning, pool records, inspection workflows, QR-code access, customer and inspector portals, offline synchronization, and automated email reports.</w:t>
      </w:r>
    </w:p>
    <w:p>
      <w:pPr>
        <w:numPr>
          <w:ilvl w:val="0"/>
          <w:numId w:val="1004"/>
        </w:numPr>
        <w:pStyle w:val="Compact"/>
      </w:pPr>
      <w:r>
        <w:t xml:space="preserve">Record arrivals, readings, dosages, photos, inspections, and other visit information at a Customer’s direction.</w:t>
      </w:r>
    </w:p>
    <w:p>
      <w:pPr>
        <w:numPr>
          <w:ilvl w:val="0"/>
          <w:numId w:val="1004"/>
        </w:numPr>
        <w:pStyle w:val="Compact"/>
      </w:pPr>
      <w:r>
        <w:t xml:space="preserve">Generate calculations, summaries, document extractions, alerts, and other outputs. The Services may use automated processing to identify data, extract equipment details from uploaded documents, flag blurry images, or perform other operational tasks.</w:t>
      </w:r>
    </w:p>
    <w:p>
      <w:pPr>
        <w:numPr>
          <w:ilvl w:val="0"/>
          <w:numId w:val="1004"/>
        </w:numPr>
        <w:pStyle w:val="Compact"/>
      </w:pPr>
      <w:r>
        <w:t xml:space="preserve">Process billing, prevent fraud, maintain security, troubleshoot issues, and enforce our agreements.</w:t>
      </w:r>
    </w:p>
    <w:p>
      <w:pPr>
        <w:numPr>
          <w:ilvl w:val="0"/>
          <w:numId w:val="1004"/>
        </w:numPr>
        <w:pStyle w:val="Compact"/>
      </w:pPr>
      <w:r>
        <w:t xml:space="preserve">Communicate about accounts, service changes, support, product updates, and, where permitted, marketing.</w:t>
      </w:r>
    </w:p>
    <w:p>
      <w:pPr>
        <w:numPr>
          <w:ilvl w:val="0"/>
          <w:numId w:val="1004"/>
        </w:numPr>
        <w:pStyle w:val="Compact"/>
      </w:pPr>
      <w:r>
        <w:t xml:space="preserve">Analyze usage and performance, develop and improve features, and test the Services.</w:t>
      </w:r>
    </w:p>
    <w:p>
      <w:pPr>
        <w:numPr>
          <w:ilvl w:val="0"/>
          <w:numId w:val="1004"/>
        </w:numPr>
        <w:pStyle w:val="Compact"/>
      </w:pPr>
      <w:r>
        <w:t xml:space="preserve">Comply with legal obligations, respond to lawful requests, protect rights and safety, and resolve disputes.</w:t>
      </w:r>
    </w:p>
    <w:p>
      <w:pPr>
        <w:pStyle w:val="FirstParagraph"/>
      </w:pPr>
      <w:r>
        <w:t xml:space="preserve">Where required by applicable law, we rely on one or more legal bases, which may include performing a contract, pursuing legitimate interests, obtaining consent, complying with legal obligations, or protecting vital interests. The applicable basis depends on the information and the purpose. Where we rely on consent, you may withdraw it as described in this Policy or in the relevant consent interface. Withdrawal does not affect processing that occurred before withdrawal.</w:t>
      </w:r>
    </w:p>
    <w:p>
      <w:pPr>
        <w:pStyle w:val="BodyText"/>
      </w:pPr>
      <w:r>
        <w:t xml:space="preserve">Outputs from our state compliance and inspection engine, dosage calculator, document scanner, and other automated features are intended as operational tools. They are not legal, regulatory, medical, health-department, or professional advice. Customers and End Users are responsible for reviewing outputs, confirming readings and extracted information, and determining what is appropriate for a property and its circumstances.</w:t>
      </w:r>
    </w:p>
    <w:bookmarkEnd w:id="26"/>
    <w:bookmarkStart w:id="29" w:name="location-photos-and-document-scanning"/>
    <w:p>
      <w:pPr>
        <w:pStyle w:val="Heading2"/>
      </w:pPr>
      <w:r>
        <w:t xml:space="preserve">7. Location, Photos, and Document Scanning</w:t>
      </w:r>
    </w:p>
    <w:bookmarkStart w:id="27" w:name="location-and-background-location"/>
    <w:p>
      <w:pPr>
        <w:pStyle w:val="Heading3"/>
      </w:pPr>
      <w:r>
        <w:t xml:space="preserve">7.1 Location and background location</w:t>
      </w:r>
    </w:p>
    <w:p>
      <w:pPr>
        <w:pStyle w:val="FirstParagraph"/>
      </w:pPr>
      <w:r>
        <w:t xml:space="preserve">Some features use location information to support routes, geofenced arrival logging, and visit documentation. Depending on the feature, your device settings, and permissions you grant, the app may collect location information while the app is in use and, if background location permission is enabled, while the app is running in the background or closed. Location collection may not function as intended if permissions are denied, device settings are changed, or location services are unavailable.</w:t>
      </w:r>
    </w:p>
    <w:p>
      <w:pPr>
        <w:pStyle w:val="BodyText"/>
      </w:pPr>
      <w:r>
        <w:t xml:space="preserve">You can generally disable or change location permissions through your device’s operating system settings. A Customer administrator may also control certain Service settings. Disabling location may limit or prevent geofenced arrival and related features, but does not necessarily remove location information already recorded in Customer Data.</w:t>
      </w:r>
    </w:p>
    <w:bookmarkEnd w:id="27"/>
    <w:bookmarkStart w:id="28" w:name="photos-and-files"/>
    <w:p>
      <w:pPr>
        <w:pStyle w:val="Heading3"/>
      </w:pPr>
      <w:r>
        <w:t xml:space="preserve">7.2 Photos and files</w:t>
      </w:r>
    </w:p>
    <w:p>
      <w:pPr>
        <w:pStyle w:val="FirstParagraph"/>
      </w:pPr>
      <w:r>
        <w:t xml:space="preserve">When an End User takes or uploads a photo, the Services may associate it with a service visit and record the date, time, or location, depending on the device, app settings, and permissions. The Services may analyze photo quality, including detecting whether an image appears blurry. Photos can capture people or other information unintentionally; users should avoid including people or unnecessary sensitive details.</w:t>
      </w:r>
    </w:p>
    <w:p>
      <w:pPr>
        <w:pStyle w:val="BodyText"/>
      </w:pPr>
      <w:r>
        <w:t xml:space="preserve">Customers and End Users may upload inspection reports and other documents. The document scanner may extract equipment make, model, and serial-number information or other information from those files. Extracted information may be incomplete or inaccurate and should be reviewed by the user. Customers are responsible for ensuring they have appropriate authority to upload documents and information about others.</w:t>
      </w:r>
    </w:p>
    <w:bookmarkEnd w:id="28"/>
    <w:bookmarkEnd w:id="29"/>
    <w:bookmarkStart w:id="30" w:name="qr-codes-portals-and-compliance-records"/>
    <w:p>
      <w:pPr>
        <w:pStyle w:val="Heading2"/>
      </w:pPr>
      <w:r>
        <w:t xml:space="preserve">8. QR Codes, Portals, and Compliance Records</w:t>
      </w:r>
    </w:p>
    <w:p>
      <w:pPr>
        <w:pStyle w:val="FirstParagraph"/>
      </w:pPr>
      <w:r>
        <w:t xml:space="preserve">A Customer may create a QR code for a pool, spa, splash pad, fountain, or other body of water. Scanning the code may provide access to the records or information configured for that code, which may include time-stamped chemical logs, inspection histories, service information, or other compliance records. Depending on the Customer’s settings and the design of the feature, information may be available to people who scan the code, including inspectors, property managers, or others with access to the code or link.</w:t>
      </w:r>
    </w:p>
    <w:p>
      <w:pPr>
        <w:pStyle w:val="BodyText"/>
      </w:pPr>
      <w:r>
        <w:t xml:space="preserve">Customers determine what records are associated with each QR code and are responsible for reviewing those records before making them accessible. Do not include information in a QR-linked record that should not be visible to a person who can scan or access the code. Portal access may also expose information to Customer-selected users, such as customers, property managers, or inspectors, according to the Customer’s access settings.</w:t>
      </w:r>
    </w:p>
    <w:bookmarkEnd w:id="30"/>
    <w:bookmarkStart w:id="31" w:name="cookies-and-similar-technologies"/>
    <w:p>
      <w:pPr>
        <w:pStyle w:val="Heading2"/>
      </w:pPr>
      <w:r>
        <w:t xml:space="preserve">9. Cookies and Similar Technologies</w:t>
      </w:r>
    </w:p>
    <w:p>
      <w:pPr>
        <w:pStyle w:val="FirstParagraph"/>
      </w:pPr>
      <w:r>
        <w:t xml:space="preserve">Our website and Services may use cookies, pixels, local storage, software development kits, and similar technologies to operate the Services, remember preferences, maintain security, understand usage, and improve performance. Some technologies may be provided by analytics, hosting, or other service providers.</w:t>
      </w:r>
    </w:p>
    <w:p>
      <w:pPr>
        <w:pStyle w:val="BodyText"/>
      </w:pPr>
      <w:r>
        <w:t xml:space="preserve">Where required by law, we will provide a cookie or tracking preference mechanism, such as a</w:t>
      </w:r>
      <w:r>
        <w:t xml:space="preserve"> </w:t>
      </w:r>
      <w:r>
        <w:rPr>
          <w:bCs/>
          <w:b/>
        </w:rPr>
        <w:t xml:space="preserve">[Cookie Preferences]</w:t>
      </w:r>
      <w:r>
        <w:t xml:space="preserve"> </w:t>
      </w:r>
      <w:r>
        <w:t xml:space="preserve">link or consent interface. You may also manage cookies through your browser or device settings. Blocking essential technologies may affect website or Service functionality.</w:t>
      </w:r>
    </w:p>
    <w:p>
      <w:pPr>
        <w:pStyle w:val="BodyText"/>
      </w:pPr>
      <w:r>
        <w:t xml:space="preserve">We will update this Policy and our preference tools if we use cookies or similar technologies for targeted advertising, cross-context behavioral advertising, or other purposes that require additional notice or consent.</w:t>
      </w:r>
    </w:p>
    <w:bookmarkEnd w:id="31"/>
    <w:bookmarkStart w:id="33" w:name="how-we-share-information"/>
    <w:p>
      <w:pPr>
        <w:pStyle w:val="Heading2"/>
      </w:pPr>
      <w:r>
        <w:t xml:space="preserve">10. How We Share Information</w:t>
      </w:r>
    </w:p>
    <w:p>
      <w:pPr>
        <w:pStyle w:val="FirstParagraph"/>
      </w:pPr>
      <w:r>
        <w:t xml:space="preserve">We may disclose Personal Information as described below:</w:t>
      </w:r>
    </w:p>
    <w:p>
      <w:pPr>
        <w:numPr>
          <w:ilvl w:val="0"/>
          <w:numId w:val="1005"/>
        </w:numPr>
        <w:pStyle w:val="Compact"/>
      </w:pPr>
      <w:r>
        <w:rPr>
          <w:bCs/>
          <w:b/>
        </w:rPr>
        <w:t xml:space="preserve">Service providers and subprocessors:</w:t>
      </w:r>
      <w:r>
        <w:t xml:space="preserve"> </w:t>
      </w:r>
      <w:r>
        <w:t xml:space="preserve">Vendors that support hosting, storage, security, analytics, payment processing, mapping, communications, customer support, or other Service functions, as listed by name in the subprocessor table below. This table is stated as of the Last Updated date above and will be kept current as our provider stack changes.</w:t>
      </w:r>
    </w:p>
    <w:p>
      <w:pPr>
        <w:numPr>
          <w:ilvl w:val="0"/>
          <w:numId w:val="1005"/>
        </w:numPr>
        <w:pStyle w:val="Compact"/>
      </w:pPr>
      <w:r>
        <w:rPr>
          <w:bCs/>
          <w:b/>
        </w:rPr>
        <w:t xml:space="preserve">Customers and End Users:</w:t>
      </w:r>
      <w:r>
        <w:t xml:space="preserve"> </w:t>
      </w:r>
      <w:r>
        <w:t xml:space="preserve">Information is made available to the Customer that controls the account and to its authorized users according to account roles and settings.</w:t>
      </w:r>
    </w:p>
    <w:p>
      <w:pPr>
        <w:numPr>
          <w:ilvl w:val="0"/>
          <w:numId w:val="1005"/>
        </w:numPr>
        <w:pStyle w:val="Compact"/>
      </w:pPr>
      <w:r>
        <w:rPr>
          <w:bCs/>
          <w:b/>
        </w:rPr>
        <w:t xml:space="preserve">Customer-selected recipients:</w:t>
      </w:r>
      <w:r>
        <w:t xml:space="preserve"> </w:t>
      </w:r>
      <w:r>
        <w:t xml:space="preserve">Information may be shared through reports, portals, QR codes, or other features with people a Customer selects, including customers, property managers, inspectors, or other recipients.</w:t>
      </w:r>
    </w:p>
    <w:p>
      <w:pPr>
        <w:numPr>
          <w:ilvl w:val="0"/>
          <w:numId w:val="1005"/>
        </w:numPr>
        <w:pStyle w:val="Compact"/>
      </w:pPr>
      <w:r>
        <w:rPr>
          <w:bCs/>
          <w:b/>
        </w:rPr>
        <w:t xml:space="preserve">Integrations and third-party services:</w:t>
      </w:r>
      <w:r>
        <w:t xml:space="preserve"> </w:t>
      </w:r>
      <w:r>
        <w:t xml:space="preserve">Information may be shared with an integration or service when a Customer or End User enables or uses it.</w:t>
      </w:r>
    </w:p>
    <w:p>
      <w:pPr>
        <w:numPr>
          <w:ilvl w:val="0"/>
          <w:numId w:val="1005"/>
        </w:numPr>
        <w:pStyle w:val="Compact"/>
      </w:pPr>
      <w:r>
        <w:rPr>
          <w:bCs/>
          <w:b/>
        </w:rPr>
        <w:t xml:space="preserve">Professional advisers:</w:t>
      </w:r>
      <w:r>
        <w:t xml:space="preserve"> </w:t>
      </w:r>
      <w:r>
        <w:t xml:space="preserve">Lawyers, accountants, auditors, insurers, and other professional advisers, subject to appropriate confidentiality obligations.</w:t>
      </w:r>
    </w:p>
    <w:p>
      <w:pPr>
        <w:numPr>
          <w:ilvl w:val="0"/>
          <w:numId w:val="1005"/>
        </w:numPr>
        <w:pStyle w:val="Compact"/>
      </w:pPr>
      <w:r>
        <w:rPr>
          <w:bCs/>
          <w:b/>
        </w:rPr>
        <w:t xml:space="preserve">Authorities and other parties:</w:t>
      </w:r>
      <w:r>
        <w:t xml:space="preserve"> </w:t>
      </w:r>
      <w:r>
        <w:t xml:space="preserve">Where we reasonably believe disclosure is required by law, legal process, or a valid government request, or is necessary to protect rights, safety, security, or the Services.</w:t>
      </w:r>
    </w:p>
    <w:p>
      <w:pPr>
        <w:numPr>
          <w:ilvl w:val="0"/>
          <w:numId w:val="1005"/>
        </w:numPr>
        <w:pStyle w:val="Compact"/>
      </w:pPr>
      <w:r>
        <w:rPr>
          <w:bCs/>
          <w:b/>
        </w:rPr>
        <w:t xml:space="preserve">Business transfers:</w:t>
      </w:r>
      <w:r>
        <w:t xml:space="preserve"> </w:t>
      </w:r>
      <w:r>
        <w:t xml:space="preserve">In connection with a merger, financing, acquisition, reorganization, bankruptcy, or sale of all or part of our business, subject to applicable legal requirements.</w:t>
      </w:r>
    </w:p>
    <w:p>
      <w:pPr>
        <w:numPr>
          <w:ilvl w:val="0"/>
          <w:numId w:val="1005"/>
        </w:numPr>
        <w:pStyle w:val="Compact"/>
      </w:pPr>
      <w:r>
        <w:rPr>
          <w:bCs/>
          <w:b/>
        </w:rPr>
        <w:t xml:space="preserve">At your direction or with your consent:</w:t>
      </w:r>
      <w:r>
        <w:t xml:space="preserve"> </w:t>
      </w:r>
      <w:r>
        <w:t xml:space="preserve">In other circumstances where you request or authorize disclosure.</w:t>
      </w:r>
    </w:p>
    <w:bookmarkStart w:id="32" w:name="subprocessors"/>
    <w:p>
      <w:pPr>
        <w:pStyle w:val="Heading3"/>
      </w:pPr>
      <w:r>
        <w:t xml:space="preserve">Subprocessors</w:t>
      </w:r>
    </w:p>
    <w:p>
      <w:pPr>
        <w:pStyle w:val="FirstParagraph"/>
      </w:pPr>
      <w:r>
        <w:t xml:space="preserve">As of the Last Updated date above, our subprocessors are:</w:t>
      </w:r>
    </w:p>
    <w:tbl>
      <w:tblPr>
        <w:tblW w:type="pct" w:w="5000"/>
        <w:tblLook w:firstRow="1" w:lastRow="0" w:firstColumn="0" w:lastColumn="0" w:noHBand="0" w:noVBand="0" w:val="0020"/>
        <w:tblBorders>
          <w:top w:val="single" w:sz="4" w:space="0" w:color="B7C3CE"/>
          <w:left w:val="single" w:sz="4" w:space="0" w:color="B7C3CE"/>
          <w:bottom w:val="single" w:sz="4" w:space="0" w:color="B7C3CE"/>
          <w:right w:val="single" w:sz="4" w:space="0" w:color="B7C3CE"/>
          <w:insideH w:val="single" w:sz="4" w:space="0" w:color="B7C3CE"/>
          <w:insideV w:val="single" w:sz="4" w:space="0" w:color="B7C3CE"/>
        </w:tblBorders>
      </w:tblPr>
      <w:tblGrid>
        <w:gridCol w:w="2640"/>
        <w:gridCol w:w="2640"/>
        <w:gridCol w:w="2640"/>
      </w:tblGrid>
      <w:tr>
        <w:trPr>
          <w:tblHeader w:val="true"/>
        </w:trPr>
        <w:tc>
          <w:tcPr/>
          <w:p>
            <w:pPr>
              <w:pStyle w:val="Compact"/>
              <w:jc w:val="left"/>
            </w:pPr>
            <w:r>
              <w:rPr>
                <w:rFonts w:ascii="Calibri" w:hAnsi="Calibri"/>
                <w:b/>
                <w:sz w:val="20"/>
              </w:rPr>
              <w:t xml:space="preserve">Subprocessor name</w:t>
            </w:r>
          </w:p>
        </w:tc>
        <w:tc>
          <w:tcPr/>
          <w:p>
            <w:pPr>
              <w:pStyle w:val="Compact"/>
              <w:jc w:val="left"/>
            </w:pPr>
            <w:r>
              <w:rPr>
                <w:rFonts w:ascii="Calibri" w:hAnsi="Calibri"/>
                <w:b/>
                <w:sz w:val="20"/>
              </w:rPr>
              <w:t xml:space="preserve">Service provided</w:t>
            </w:r>
          </w:p>
        </w:tc>
        <w:tc>
          <w:tcPr/>
          <w:p>
            <w:pPr>
              <w:pStyle w:val="Compact"/>
              <w:jc w:val="left"/>
            </w:pPr>
            <w:r>
              <w:rPr>
                <w:rFonts w:ascii="Calibri" w:hAnsi="Calibri"/>
                <w:b/>
                <w:sz w:val="20"/>
              </w:rPr>
              <w:t xml:space="preserve">Categories of information processed</w:t>
            </w:r>
          </w:p>
        </w:tc>
      </w:tr>
      <w:tr>
        <w:tc>
          <w:tcPr/>
          <w:p>
            <w:pPr>
              <w:pStyle w:val="Compact"/>
              <w:jc w:val="left"/>
            </w:pPr>
            <w:r>
              <w:rPr>
                <w:rFonts w:ascii="Calibri" w:hAnsi="Calibri"/>
                <w:sz w:val="20"/>
              </w:rPr>
              <w:t xml:space="preserve">Supabase</w:t>
            </w:r>
          </w:p>
        </w:tc>
        <w:tc>
          <w:tcPr/>
          <w:p>
            <w:pPr>
              <w:pStyle w:val="Compact"/>
              <w:jc w:val="left"/>
            </w:pPr>
            <w:r>
              <w:rPr>
                <w:rFonts w:ascii="Calibri" w:hAnsi="Calibri"/>
                <w:sz w:val="20"/>
              </w:rPr>
              <w:t xml:space="preserve">Authentication and database hosting</w:t>
            </w:r>
          </w:p>
        </w:tc>
        <w:tc>
          <w:tcPr/>
          <w:p>
            <w:pPr>
              <w:pStyle w:val="Compact"/>
              <w:jc w:val="left"/>
            </w:pPr>
            <w:r>
              <w:rPr>
                <w:rFonts w:ascii="Calibri" w:hAnsi="Calibri"/>
                <w:sz w:val="20"/>
              </w:rPr>
              <w:t xml:space="preserve">Account data, Customer Data, and usage data as described in this Policy</w:t>
            </w:r>
          </w:p>
        </w:tc>
      </w:tr>
      <w:tr>
        <w:tc>
          <w:tcPr/>
          <w:p>
            <w:pPr>
              <w:pStyle w:val="Compact"/>
              <w:jc w:val="left"/>
            </w:pPr>
            <w:r>
              <w:rPr>
                <w:rFonts w:ascii="Calibri" w:hAnsi="Calibri"/>
                <w:sz w:val="20"/>
              </w:rPr>
              <w:t xml:space="preserve">Vercel</w:t>
            </w:r>
          </w:p>
        </w:tc>
        <w:tc>
          <w:tcPr/>
          <w:p>
            <w:pPr>
              <w:pStyle w:val="Compact"/>
              <w:jc w:val="left"/>
            </w:pPr>
            <w:r>
              <w:rPr>
                <w:rFonts w:ascii="Calibri" w:hAnsi="Calibri"/>
                <w:sz w:val="20"/>
              </w:rPr>
              <w:t xml:space="preserve">Application hosting and edge infrastructure</w:t>
            </w:r>
          </w:p>
        </w:tc>
        <w:tc>
          <w:tcPr/>
          <w:p>
            <w:pPr>
              <w:pStyle w:val="Compact"/>
              <w:jc w:val="left"/>
            </w:pPr>
            <w:r>
              <w:rPr>
                <w:rFonts w:ascii="Calibri" w:hAnsi="Calibri"/>
                <w:sz w:val="20"/>
              </w:rPr>
              <w:t xml:space="preserve">Customer Data in transit through the Services and application data</w:t>
            </w:r>
          </w:p>
        </w:tc>
      </w:tr>
      <w:tr>
        <w:tc>
          <w:tcPr/>
          <w:p>
            <w:pPr>
              <w:pStyle w:val="Compact"/>
              <w:jc w:val="left"/>
            </w:pPr>
            <w:r>
              <w:rPr>
                <w:rFonts w:ascii="Calibri" w:hAnsi="Calibri"/>
                <w:sz w:val="20"/>
              </w:rPr>
              <w:t xml:space="preserve">Resend</w:t>
            </w:r>
          </w:p>
        </w:tc>
        <w:tc>
          <w:tcPr/>
          <w:p>
            <w:pPr>
              <w:pStyle w:val="Compact"/>
              <w:jc w:val="left"/>
            </w:pPr>
            <w:r>
              <w:rPr>
                <w:rFonts w:ascii="Calibri" w:hAnsi="Calibri"/>
                <w:sz w:val="20"/>
              </w:rPr>
              <w:t xml:space="preserve">Transactional email delivery</w:t>
            </w:r>
          </w:p>
        </w:tc>
        <w:tc>
          <w:tcPr/>
          <w:p>
            <w:pPr>
              <w:pStyle w:val="Compact"/>
              <w:jc w:val="left"/>
            </w:pPr>
            <w:r>
              <w:rPr>
                <w:rFonts w:ascii="Calibri" w:hAnsi="Calibri"/>
                <w:sz w:val="20"/>
              </w:rPr>
              <w:t xml:space="preserve">Recipient email address and email content (service summaries, alerts, account and billing emails)</w:t>
            </w:r>
          </w:p>
        </w:tc>
      </w:tr>
      <w:tr>
        <w:tc>
          <w:tcPr/>
          <w:p>
            <w:pPr>
              <w:pStyle w:val="Compact"/>
              <w:jc w:val="left"/>
            </w:pPr>
            <w:r>
              <w:rPr>
                <w:rFonts w:ascii="Calibri" w:hAnsi="Calibri"/>
                <w:sz w:val="20"/>
              </w:rPr>
              <w:t xml:space="preserve">Twilio</w:t>
            </w:r>
          </w:p>
        </w:tc>
        <w:tc>
          <w:tcPr/>
          <w:p>
            <w:pPr>
              <w:pStyle w:val="Compact"/>
              <w:jc w:val="left"/>
            </w:pPr>
            <w:r>
              <w:rPr>
                <w:rFonts w:ascii="Calibri" w:hAnsi="Calibri"/>
                <w:sz w:val="20"/>
              </w:rPr>
              <w:t xml:space="preserve">Inbound phone call handling, recording, and transcription for calls to a Customer’s configured phone number</w:t>
            </w:r>
          </w:p>
        </w:tc>
        <w:tc>
          <w:tcPr/>
          <w:p>
            <w:pPr>
              <w:pStyle w:val="Compact"/>
              <w:jc w:val="left"/>
            </w:pPr>
            <w:r>
              <w:rPr>
                <w:rFonts w:ascii="Calibri" w:hAnsi="Calibri"/>
                <w:sz w:val="20"/>
              </w:rPr>
              <w:t xml:space="preserve">Caller phone number, call audio recordings, call transcripts</w:t>
            </w:r>
          </w:p>
        </w:tc>
      </w:tr>
      <w:tr>
        <w:tc>
          <w:tcPr/>
          <w:p>
            <w:pPr>
              <w:pStyle w:val="Compact"/>
              <w:jc w:val="left"/>
            </w:pPr>
            <w:r>
              <w:rPr>
                <w:rFonts w:ascii="Calibri" w:hAnsi="Calibri"/>
                <w:sz w:val="20"/>
              </w:rPr>
              <w:t xml:space="preserve">OpenAI, via Vercel AI Gateway</w:t>
            </w:r>
          </w:p>
        </w:tc>
        <w:tc>
          <w:tcPr/>
          <w:p>
            <w:pPr>
              <w:pStyle w:val="Compact"/>
              <w:jc w:val="left"/>
            </w:pPr>
            <w:r>
              <w:rPr>
                <w:rFonts w:ascii="Calibri" w:hAnsi="Calibri"/>
                <w:sz w:val="20"/>
              </w:rPr>
              <w:t xml:space="preserve">Parsing call transcripts into structured service requests; extracting structured data from uploaded inspection reports</w:t>
            </w:r>
          </w:p>
        </w:tc>
        <w:tc>
          <w:tcPr/>
          <w:p>
            <w:pPr>
              <w:pStyle w:val="Compact"/>
              <w:jc w:val="left"/>
            </w:pPr>
            <w:r>
              <w:rPr>
                <w:rFonts w:ascii="Calibri" w:hAnsi="Calibri"/>
                <w:sz w:val="20"/>
              </w:rPr>
              <w:t xml:space="preserve">Call transcript text; inspection report document content</w:t>
            </w:r>
          </w:p>
        </w:tc>
      </w:tr>
      <w:tr>
        <w:tc>
          <w:tcPr/>
          <w:p>
            <w:pPr>
              <w:pStyle w:val="Compact"/>
              <w:jc w:val="left"/>
            </w:pPr>
            <w:r>
              <w:rPr>
                <w:rFonts w:ascii="Calibri" w:hAnsi="Calibri"/>
                <w:sz w:val="20"/>
              </w:rPr>
              <w:t xml:space="preserve">Google (Dialogflow)</w:t>
            </w:r>
          </w:p>
        </w:tc>
        <w:tc>
          <w:tcPr/>
          <w:p>
            <w:pPr>
              <w:pStyle w:val="Compact"/>
              <w:jc w:val="left"/>
            </w:pPr>
            <w:r>
              <w:rPr>
                <w:rFonts w:ascii="Calibri" w:hAnsi="Calibri"/>
                <w:sz w:val="20"/>
              </w:rPr>
              <w:t xml:space="preserve">Conversational phone-agent fulfillment</w:t>
            </w:r>
          </w:p>
        </w:tc>
        <w:tc>
          <w:tcPr/>
          <w:p>
            <w:pPr>
              <w:pStyle w:val="Compact"/>
              <w:jc w:val="left"/>
            </w:pPr>
            <w:r>
              <w:rPr>
                <w:rFonts w:ascii="Calibri" w:hAnsi="Calibri"/>
                <w:sz w:val="20"/>
              </w:rPr>
              <w:t xml:space="preserve">Caller conversation content relevant to the phone agent flow</w:t>
            </w:r>
          </w:p>
        </w:tc>
      </w:tr>
      <w:tr>
        <w:tc>
          <w:tcPr/>
          <w:p>
            <w:pPr>
              <w:pStyle w:val="Compact"/>
              <w:jc w:val="left"/>
            </w:pPr>
            <w:r>
              <w:rPr>
                <w:rFonts w:ascii="Calibri" w:hAnsi="Calibri"/>
                <w:sz w:val="20"/>
              </w:rPr>
              <w:t xml:space="preserve">Stripe</w:t>
            </w:r>
          </w:p>
        </w:tc>
        <w:tc>
          <w:tcPr/>
          <w:p>
            <w:pPr>
              <w:pStyle w:val="Compact"/>
              <w:jc w:val="left"/>
            </w:pPr>
            <w:r>
              <w:rPr>
                <w:rFonts w:ascii="Calibri" w:hAnsi="Calibri"/>
                <w:sz w:val="20"/>
              </w:rPr>
              <w:t xml:space="preserve">Subscription billing and payment processing</w:t>
            </w:r>
          </w:p>
        </w:tc>
        <w:tc>
          <w:tcPr/>
          <w:p>
            <w:pPr>
              <w:pStyle w:val="Compact"/>
              <w:jc w:val="left"/>
            </w:pPr>
            <w:r>
              <w:rPr>
                <w:rFonts w:ascii="Calibri" w:hAnsi="Calibri"/>
                <w:sz w:val="20"/>
              </w:rPr>
              <w:t xml:space="preserve">Billing contact name and email; tokenized payment method details (not stored by AquaRunner247)</w:t>
            </w:r>
          </w:p>
        </w:tc>
      </w:tr>
      <w:tr>
        <w:tc>
          <w:tcPr/>
          <w:p>
            <w:pPr>
              <w:pStyle w:val="Compact"/>
              <w:jc w:val="left"/>
            </w:pPr>
            <w:r>
              <w:rPr>
                <w:rFonts w:ascii="Calibri" w:hAnsi="Calibri"/>
                <w:sz w:val="20"/>
              </w:rPr>
              <w:t xml:space="preserve">QuickBooks/Intuit</w:t>
            </w:r>
          </w:p>
        </w:tc>
        <w:tc>
          <w:tcPr/>
          <w:p>
            <w:pPr>
              <w:pStyle w:val="Compact"/>
              <w:jc w:val="left"/>
            </w:pPr>
            <w:r>
              <w:rPr>
                <w:rFonts w:ascii="Calibri" w:hAnsi="Calibri"/>
                <w:sz w:val="20"/>
              </w:rPr>
              <w:t xml:space="preserve">Accounting integration, where a Customer chooses to connect its own QuickBooks account</w:t>
            </w:r>
          </w:p>
        </w:tc>
        <w:tc>
          <w:tcPr/>
          <w:p>
            <w:pPr>
              <w:pStyle w:val="Compact"/>
              <w:jc w:val="left"/>
            </w:pPr>
            <w:r>
              <w:rPr>
                <w:rFonts w:ascii="Calibri" w:hAnsi="Calibri"/>
                <w:sz w:val="20"/>
              </w:rPr>
              <w:t xml:space="preserve">Information the Customer chooses to share through the integration, handled under Intuit’s own terms and privacy practices</w:t>
            </w:r>
          </w:p>
        </w:tc>
      </w:tr>
    </w:tbl>
    <w:p>
      <w:pPr>
        <w:pStyle w:val="BodyText"/>
      </w:pPr>
      <w:r>
        <w:t xml:space="preserve">If we add or replace subprocessors, we will update this list and this Policy. Organizations may also be notified of subprocessor changes as described in the applicable Data Processing Agreement.</w:t>
      </w:r>
    </w:p>
    <w:p>
      <w:pPr>
        <w:pStyle w:val="BodyText"/>
      </w:pPr>
      <w:r>
        <w:rPr>
          <w:bCs/>
          <w:b/>
        </w:rPr>
        <w:t xml:space="preserve">Sale and targeted advertising status:</w:t>
      </w:r>
      <w:r>
        <w:t xml:space="preserve"> </w:t>
      </w:r>
      <w:r>
        <w:t xml:space="preserve">[State whether AquaRunner247 sells Personal Information or shares it for cross-context behavioral advertising or targeted advertising, as those terms are defined by applicable law. If applicable, describe the categories involved, the recipient categories, and how individuals can opt out.]</w:t>
      </w:r>
    </w:p>
    <w:bookmarkEnd w:id="32"/>
    <w:bookmarkEnd w:id="33"/>
    <w:bookmarkStart w:id="34" w:name="customer-data-and-our-processor-role"/>
    <w:p>
      <w:pPr>
        <w:pStyle w:val="Heading2"/>
      </w:pPr>
      <w:r>
        <w:t xml:space="preserve">11. Customer Data and Our Processor Role</w:t>
      </w:r>
    </w:p>
    <w:p>
      <w:pPr>
        <w:pStyle w:val="FirstParagraph"/>
      </w:pPr>
      <w:r>
        <w:t xml:space="preserve">When a Customer or its End User enters information about technicians, customers, properties, service visits, or other individuals into the Services, the Customer generally determines the purposes and means of that processing. In those circumstances, the Customer acts as Controller or business, and AquaRunner247 acts as Processor or service provider, processing Customer Data on the Customer’s documented instructions and as needed to provide, secure, and support the Services.</w:t>
      </w:r>
    </w:p>
    <w:p>
      <w:pPr>
        <w:pStyle w:val="BodyText"/>
      </w:pPr>
      <w:r>
        <w:t xml:space="preserve">The Customer is responsible for providing appropriate notices to individuals, obtaining any required permissions or consents, establishing lawful instructions, configuring QR codes and portal access appropriately, and responding to privacy requests relating to Customer Data. An individual whose information is held in a Customer’s account should generally contact that Customer first.</w:t>
      </w:r>
    </w:p>
    <w:p>
      <w:pPr>
        <w:pStyle w:val="BodyText"/>
      </w:pPr>
      <w:r>
        <w:t xml:space="preserve">Our processing of Customer Data is further described in the applicable Data Processing Agreement (</w:t>
      </w:r>
      <w:r>
        <w:t xml:space="preserve">“</w:t>
      </w:r>
      <w:r>
        <w:rPr>
          <w:bCs/>
          <w:b/>
        </w:rPr>
        <w:t xml:space="preserve">DPA</w:t>
      </w:r>
      <w:r>
        <w:t xml:space="preserve">”</w:t>
      </w:r>
      <w:r>
        <w:t xml:space="preserve">). The DPA may address processing instructions, confidentiality, security, subprocessors, assistance with data subject requests, incident notice, and return or deletion of Customer Data. Contact the Customer or</w:t>
      </w:r>
      <w:r>
        <w:t xml:space="preserve"> </w:t>
      </w:r>
      <w:r>
        <w:rPr>
          <w:bCs/>
          <w:b/>
        </w:rPr>
        <w:t xml:space="preserve">aquarunner247@gmail.com</w:t>
      </w:r>
      <w:r>
        <w:t xml:space="preserve"> </w:t>
      </w:r>
      <w:r>
        <w:t xml:space="preserve">to request information about the applicable DPA.</w:t>
      </w:r>
    </w:p>
    <w:p>
      <w:pPr>
        <w:pStyle w:val="BodyText"/>
      </w:pPr>
      <w:r>
        <w:t xml:space="preserve">AquaRunner247 may act as Controller for information it processes for its own purposes, including account administration, billing, website operation, security, support, and product improvement.</w:t>
      </w:r>
    </w:p>
    <w:bookmarkEnd w:id="34"/>
    <w:bookmarkStart w:id="35" w:name="international-data-transfers"/>
    <w:p>
      <w:pPr>
        <w:pStyle w:val="Heading2"/>
      </w:pPr>
      <w:r>
        <w:t xml:space="preserve">12. International Data Transfers</w:t>
      </w:r>
    </w:p>
    <w:p>
      <w:pPr>
        <w:pStyle w:val="FirstParagraph"/>
      </w:pPr>
      <w:r>
        <w:t xml:space="preserve">The Services are intended for use within the United States, and we and our service providers process information in the United States. We do not currently transfer Personal Information outside the United States in connection with the Services. If that changes and applicable law requires a transfer mechanism, we will use an appropriate safeguard, which may include an adequacy decision, standard contractual clauses, the UK International Data Transfer Agreement or UK Addendum, or another lawful mechanism.</w:t>
      </w:r>
    </w:p>
    <w:p>
      <w:pPr>
        <w:pStyle w:val="BodyText"/>
      </w:pPr>
      <w:r>
        <w:t xml:space="preserve">You may contact us at</w:t>
      </w:r>
      <w:r>
        <w:t xml:space="preserve"> </w:t>
      </w:r>
      <w:r>
        <w:rPr>
          <w:bCs/>
          <w:b/>
        </w:rPr>
        <w:t xml:space="preserve">aquarunner247@gmail.com</w:t>
      </w:r>
      <w:r>
        <w:t xml:space="preserve"> </w:t>
      </w:r>
      <w:r>
        <w:t xml:space="preserve">for information about relevant transfer safeguards, subject to applicable law and confidentiality restrictions.</w:t>
      </w:r>
    </w:p>
    <w:bookmarkEnd w:id="35"/>
    <w:bookmarkStart w:id="36" w:name="data-retention"/>
    <w:p>
      <w:pPr>
        <w:pStyle w:val="Heading2"/>
      </w:pPr>
      <w:r>
        <w:t xml:space="preserve">13. Data Retention</w:t>
      </w:r>
    </w:p>
    <w:p>
      <w:pPr>
        <w:pStyle w:val="FirstParagraph"/>
      </w:pPr>
      <w:r>
        <w:t xml:space="preserve">We retain Personal Information for as long as reasonably necessary for the purposes described in this Policy, including to provide the Services, meet contractual or legal obligations, resolve disputes, maintain security, and enforce agreements. Retention may vary by information type, Customer settings, and applicable law. When information is no longer required, we will delete, de-identify, or securely dispose of it, subject to legal, technical, and backup limitations.</w:t>
      </w:r>
    </w:p>
    <w:tbl>
      <w:tblPr>
        <w:tblW w:type="pct" w:w="5000"/>
        <w:tblLook w:firstRow="1" w:lastRow="0" w:firstColumn="0" w:lastColumn="0" w:noHBand="0" w:noVBand="0" w:val="0020"/>
        <w:tblBorders>
          <w:top w:val="single" w:sz="4" w:space="0" w:color="B7C3CE"/>
          <w:left w:val="single" w:sz="4" w:space="0" w:color="B7C3CE"/>
          <w:bottom w:val="single" w:sz="4" w:space="0" w:color="B7C3CE"/>
          <w:right w:val="single" w:sz="4" w:space="0" w:color="B7C3CE"/>
          <w:insideH w:val="single" w:sz="4" w:space="0" w:color="B7C3CE"/>
          <w:insideV w:val="single" w:sz="4" w:space="0" w:color="B7C3CE"/>
        </w:tblBorders>
      </w:tblPr>
      <w:tblGrid>
        <w:gridCol w:w="3960"/>
        <w:gridCol w:w="3960"/>
      </w:tblGrid>
      <w:tr>
        <w:trPr>
          <w:tblHeader w:val="true"/>
        </w:trPr>
        <w:tc>
          <w:tcPr/>
          <w:p>
            <w:pPr>
              <w:pStyle w:val="Compact"/>
              <w:jc w:val="left"/>
            </w:pPr>
            <w:r>
              <w:rPr>
                <w:rFonts w:ascii="Calibri" w:hAnsi="Calibri"/>
                <w:b/>
                <w:sz w:val="20"/>
              </w:rPr>
              <w:t xml:space="preserve">Information category</w:t>
            </w:r>
          </w:p>
        </w:tc>
        <w:tc>
          <w:tcPr/>
          <w:p>
            <w:pPr>
              <w:pStyle w:val="Compact"/>
              <w:jc w:val="left"/>
            </w:pPr>
            <w:r>
              <w:rPr>
                <w:rFonts w:ascii="Calibri" w:hAnsi="Calibri"/>
                <w:b/>
                <w:sz w:val="20"/>
              </w:rPr>
              <w:t xml:space="preserve">Retention period</w:t>
            </w:r>
          </w:p>
        </w:tc>
      </w:tr>
      <w:tr>
        <w:tc>
          <w:tcPr/>
          <w:p>
            <w:pPr>
              <w:pStyle w:val="Compact"/>
              <w:jc w:val="left"/>
            </w:pPr>
            <w:r>
              <w:rPr>
                <w:rFonts w:ascii="Calibri" w:hAnsi="Calibri"/>
                <w:sz w:val="20"/>
              </w:rPr>
              <w:t xml:space="preserve">Account and contact information</w:t>
            </w:r>
          </w:p>
        </w:tc>
        <w:tc>
          <w:tcPr/>
          <w:p>
            <w:pPr>
              <w:pStyle w:val="Compact"/>
              <w:jc w:val="left"/>
            </w:pPr>
            <w:r>
              <w:rPr>
                <w:rFonts w:ascii="Calibri" w:hAnsi="Calibri"/>
                <w:sz w:val="20"/>
              </w:rPr>
              <w:t xml:space="preserve">[Retention period or criteria]</w:t>
            </w:r>
          </w:p>
        </w:tc>
      </w:tr>
      <w:tr>
        <w:tc>
          <w:tcPr/>
          <w:p>
            <w:pPr>
              <w:pStyle w:val="Compact"/>
              <w:jc w:val="left"/>
            </w:pPr>
            <w:r>
              <w:rPr>
                <w:rFonts w:ascii="Calibri" w:hAnsi="Calibri"/>
                <w:sz w:val="20"/>
              </w:rPr>
              <w:t xml:space="preserve">Billing and transaction records</w:t>
            </w:r>
          </w:p>
        </w:tc>
        <w:tc>
          <w:tcPr/>
          <w:p>
            <w:pPr>
              <w:pStyle w:val="Compact"/>
              <w:jc w:val="left"/>
            </w:pPr>
            <w:r>
              <w:rPr>
                <w:rFonts w:ascii="Calibri" w:hAnsi="Calibri"/>
                <w:sz w:val="20"/>
              </w:rPr>
              <w:t xml:space="preserve">[Retention period, including any legal recordkeeping period]</w:t>
            </w:r>
          </w:p>
        </w:tc>
      </w:tr>
      <w:tr>
        <w:tc>
          <w:tcPr/>
          <w:p>
            <w:pPr>
              <w:pStyle w:val="Compact"/>
              <w:jc w:val="left"/>
            </w:pPr>
            <w:r>
              <w:rPr>
                <w:rFonts w:ascii="Calibri" w:hAnsi="Calibri"/>
                <w:sz w:val="20"/>
              </w:rPr>
              <w:t xml:space="preserve">Customer Data, service records, inspection logs, and photos</w:t>
            </w:r>
          </w:p>
        </w:tc>
        <w:tc>
          <w:tcPr/>
          <w:p>
            <w:pPr>
              <w:pStyle w:val="Compact"/>
              <w:jc w:val="left"/>
            </w:pPr>
            <w:r>
              <w:rPr>
                <w:rFonts w:ascii="Calibri" w:hAnsi="Calibri"/>
                <w:sz w:val="20"/>
              </w:rPr>
              <w:t xml:space="preserve">[Retention period, including applicable Customer-configured retention and post-termination period]</w:t>
            </w:r>
          </w:p>
        </w:tc>
      </w:tr>
      <w:tr>
        <w:tc>
          <w:tcPr/>
          <w:p>
            <w:pPr>
              <w:pStyle w:val="Compact"/>
              <w:jc w:val="left"/>
            </w:pPr>
            <w:r>
              <w:rPr>
                <w:rFonts w:ascii="Calibri" w:hAnsi="Calibri"/>
                <w:sz w:val="20"/>
              </w:rPr>
              <w:t xml:space="preserve">Location and route information</w:t>
            </w:r>
          </w:p>
        </w:tc>
        <w:tc>
          <w:tcPr/>
          <w:p>
            <w:pPr>
              <w:pStyle w:val="Compact"/>
              <w:jc w:val="left"/>
            </w:pPr>
            <w:r>
              <w:rPr>
                <w:rFonts w:ascii="Calibri" w:hAnsi="Calibri"/>
                <w:sz w:val="20"/>
              </w:rPr>
              <w:t xml:space="preserve">[Retention period]</w:t>
            </w:r>
          </w:p>
        </w:tc>
      </w:tr>
      <w:tr>
        <w:tc>
          <w:tcPr/>
          <w:p>
            <w:pPr>
              <w:pStyle w:val="Compact"/>
              <w:jc w:val="left"/>
            </w:pPr>
            <w:r>
              <w:rPr>
                <w:rFonts w:ascii="Calibri" w:hAnsi="Calibri"/>
                <w:sz w:val="20"/>
              </w:rPr>
              <w:t xml:space="preserve">Device, diagnostic, and usage information</w:t>
            </w:r>
          </w:p>
        </w:tc>
        <w:tc>
          <w:tcPr/>
          <w:p>
            <w:pPr>
              <w:pStyle w:val="Compact"/>
              <w:jc w:val="left"/>
            </w:pPr>
            <w:r>
              <w:rPr>
                <w:rFonts w:ascii="Calibri" w:hAnsi="Calibri"/>
                <w:sz w:val="20"/>
              </w:rPr>
              <w:t xml:space="preserve">[Retention period]</w:t>
            </w:r>
          </w:p>
        </w:tc>
      </w:tr>
      <w:tr>
        <w:tc>
          <w:tcPr/>
          <w:p>
            <w:pPr>
              <w:pStyle w:val="Compact"/>
              <w:jc w:val="left"/>
            </w:pPr>
            <w:r>
              <w:rPr>
                <w:rFonts w:ascii="Calibri" w:hAnsi="Calibri"/>
                <w:sz w:val="20"/>
              </w:rPr>
              <w:t xml:space="preserve">Support communications</w:t>
            </w:r>
          </w:p>
        </w:tc>
        <w:tc>
          <w:tcPr/>
          <w:p>
            <w:pPr>
              <w:pStyle w:val="Compact"/>
              <w:jc w:val="left"/>
            </w:pPr>
            <w:r>
              <w:rPr>
                <w:rFonts w:ascii="Calibri" w:hAnsi="Calibri"/>
                <w:sz w:val="20"/>
              </w:rPr>
              <w:t xml:space="preserve">[Retention period]</w:t>
            </w:r>
          </w:p>
        </w:tc>
      </w:tr>
      <w:tr>
        <w:tc>
          <w:tcPr/>
          <w:p>
            <w:pPr>
              <w:pStyle w:val="Compact"/>
              <w:jc w:val="left"/>
            </w:pPr>
            <w:r>
              <w:rPr>
                <w:rFonts w:ascii="Calibri" w:hAnsi="Calibri"/>
                <w:sz w:val="20"/>
              </w:rPr>
              <w:t xml:space="preserve">Backups and disaster-recovery copies</w:t>
            </w:r>
          </w:p>
        </w:tc>
        <w:tc>
          <w:tcPr/>
          <w:p>
            <w:pPr>
              <w:pStyle w:val="Compact"/>
              <w:jc w:val="left"/>
            </w:pPr>
            <w:r>
              <w:rPr>
                <w:rFonts w:ascii="Calibri" w:hAnsi="Calibri"/>
                <w:sz w:val="20"/>
              </w:rPr>
              <w:t xml:space="preserve">[Retention period and deletion cycle]</w:t>
            </w:r>
          </w:p>
        </w:tc>
      </w:tr>
    </w:tbl>
    <w:p>
      <w:pPr>
        <w:pStyle w:val="BodyText"/>
      </w:pPr>
      <w:r>
        <w:t xml:space="preserve">At the end of a subscription, Customer Data may be available for export for</w:t>
      </w:r>
      <w:r>
        <w:t xml:space="preserve"> </w:t>
      </w:r>
      <w:r>
        <w:rPr>
          <w:bCs/>
          <w:b/>
        </w:rPr>
        <w:t xml:space="preserve">30 days</w:t>
      </w:r>
      <w:r>
        <w:t xml:space="preserve"> </w:t>
      </w:r>
      <w:r>
        <w:t xml:space="preserve">and may then be deleted or de-identified, except to the extent retention is required or permitted by law or is necessary for security, backup, or dispute-resolution purposes. The applicable agreement or DPA may provide additional details.</w:t>
      </w:r>
    </w:p>
    <w:bookmarkEnd w:id="36"/>
    <w:bookmarkStart w:id="37" w:name="security-and-privacy-incidents"/>
    <w:p>
      <w:pPr>
        <w:pStyle w:val="Heading2"/>
      </w:pPr>
      <w:r>
        <w:t xml:space="preserve">14. Security and Privacy Incidents</w:t>
      </w:r>
    </w:p>
    <w:p>
      <w:pPr>
        <w:pStyle w:val="FirstParagraph"/>
      </w:pPr>
      <w:r>
        <w:t xml:space="preserve">We use administrative, technical, and organizational measures designed to protect Personal Information against unauthorized access, loss, misuse, alteration, or disclosure. These measures may include access controls, authentication safeguards, encryption where appropriate, monitoring, backups, and workforce practices. No method of transmission or storage is completely secure, and we cannot guarantee absolute security.</w:t>
      </w:r>
    </w:p>
    <w:p>
      <w:pPr>
        <w:pStyle w:val="BodyText"/>
      </w:pPr>
      <w:r>
        <w:t xml:space="preserve">If we become aware of a security incident involving Personal Information, we will investigate, take reasonable steps to contain and mitigate it, and provide notices as required by applicable law and our agreements. Where we process Customer Data as a Processor, we will notify the affected Customer in accordance with the applicable DPA or other agreement. Customers are responsible for notifying affected individuals or authorities when required of them by law.</w:t>
      </w:r>
    </w:p>
    <w:bookmarkEnd w:id="37"/>
    <w:bookmarkStart w:id="38" w:name="childrens-privacy"/>
    <w:p>
      <w:pPr>
        <w:pStyle w:val="Heading2"/>
      </w:pPr>
      <w:r>
        <w:t xml:space="preserve">15. Children’s Privacy</w:t>
      </w:r>
    </w:p>
    <w:p>
      <w:pPr>
        <w:pStyle w:val="FirstParagraph"/>
      </w:pPr>
      <w:r>
        <w:t xml:space="preserve">The Services are designed for business use and are not directed to children, including children under 13, and we do not knowingly collect Personal Information from children under 13. Individuals must be at least</w:t>
      </w:r>
      <w:r>
        <w:t xml:space="preserve"> </w:t>
      </w:r>
      <w:r>
        <w:rPr>
          <w:bCs/>
          <w:b/>
        </w:rPr>
        <w:t xml:space="preserve">18 years old</w:t>
      </w:r>
      <w:r>
        <w:t xml:space="preserve">, or the age of majority in their jurisdiction, to create an account or use the Services independently. A Customer must not knowingly direct a child to use the Services or submit a child’s Personal Information, except where lawful and necessary for a Customer’s business operations and with any required authorization. If you believe a child under 13 has provided us Personal Information, contact us and we will delete it.</w:t>
      </w:r>
    </w:p>
    <w:p>
      <w:pPr>
        <w:pStyle w:val="BodyText"/>
      </w:pPr>
      <w:r>
        <w:t xml:space="preserve">If you believe a child’s Personal Information has been submitted to us without appropriate authorization, contact us at</w:t>
      </w:r>
      <w:r>
        <w:t xml:space="preserve"> </w:t>
      </w:r>
      <w:r>
        <w:rPr>
          <w:bCs/>
          <w:b/>
        </w:rPr>
        <w:t xml:space="preserve">aquarunner247@gmail.com</w:t>
      </w:r>
      <w:r>
        <w:t xml:space="preserve">. We will take appropriate steps to review and address the matter.</w:t>
      </w:r>
    </w:p>
    <w:bookmarkEnd w:id="38"/>
    <w:bookmarkStart w:id="42" w:name="u.s.-state-privacy-rights"/>
    <w:p>
      <w:pPr>
        <w:pStyle w:val="Heading2"/>
      </w:pPr>
      <w:r>
        <w:t xml:space="preserve">16. U.S. State Privacy Rights</w:t>
      </w:r>
    </w:p>
    <w:p>
      <w:pPr>
        <w:pStyle w:val="FirstParagraph"/>
      </w:pPr>
      <w:r>
        <w:t xml:space="preserve">Depending on where you live, applicable law, and our relationship to your information, you may have rights to:</w:t>
      </w:r>
    </w:p>
    <w:p>
      <w:pPr>
        <w:numPr>
          <w:ilvl w:val="0"/>
          <w:numId w:val="1006"/>
        </w:numPr>
        <w:pStyle w:val="Compact"/>
      </w:pPr>
      <w:r>
        <w:t xml:space="preserve">Confirm whether we process your Personal Information and access or obtain a copy of it.</w:t>
      </w:r>
    </w:p>
    <w:p>
      <w:pPr>
        <w:numPr>
          <w:ilvl w:val="0"/>
          <w:numId w:val="1006"/>
        </w:numPr>
        <w:pStyle w:val="Compact"/>
      </w:pPr>
      <w:r>
        <w:t xml:space="preserve">Correct inaccurate Personal Information.</w:t>
      </w:r>
    </w:p>
    <w:p>
      <w:pPr>
        <w:numPr>
          <w:ilvl w:val="0"/>
          <w:numId w:val="1006"/>
        </w:numPr>
        <w:pStyle w:val="Compact"/>
      </w:pPr>
      <w:r>
        <w:t xml:space="preserve">Request deletion of Personal Information.</w:t>
      </w:r>
    </w:p>
    <w:p>
      <w:pPr>
        <w:numPr>
          <w:ilvl w:val="0"/>
          <w:numId w:val="1006"/>
        </w:numPr>
        <w:pStyle w:val="Compact"/>
      </w:pPr>
      <w:r>
        <w:t xml:space="preserve">Obtain certain information in a portable format.</w:t>
      </w:r>
    </w:p>
    <w:p>
      <w:pPr>
        <w:numPr>
          <w:ilvl w:val="0"/>
          <w:numId w:val="1006"/>
        </w:numPr>
        <w:pStyle w:val="Compact"/>
      </w:pPr>
      <w:r>
        <w:t xml:space="preserve">Opt out of certain processing, including sale, targeted advertising, or profiling that produces legal or similarly significant effects, where applicable.</w:t>
      </w:r>
    </w:p>
    <w:p>
      <w:pPr>
        <w:numPr>
          <w:ilvl w:val="0"/>
          <w:numId w:val="1006"/>
        </w:numPr>
        <w:pStyle w:val="Compact"/>
      </w:pPr>
      <w:r>
        <w:t xml:space="preserve">Limit certain uses or disclosures of sensitive Personal Information, where applicable.</w:t>
      </w:r>
    </w:p>
    <w:p>
      <w:pPr>
        <w:numPr>
          <w:ilvl w:val="0"/>
          <w:numId w:val="1006"/>
        </w:numPr>
        <w:pStyle w:val="Compact"/>
      </w:pPr>
      <w:r>
        <w:t xml:space="preserve">Withdraw consent where processing is based on consent.</w:t>
      </w:r>
    </w:p>
    <w:p>
      <w:pPr>
        <w:numPr>
          <w:ilvl w:val="0"/>
          <w:numId w:val="1006"/>
        </w:numPr>
        <w:pStyle w:val="Compact"/>
      </w:pPr>
      <w:r>
        <w:t xml:space="preserve">Appeal a decision denying a privacy request.</w:t>
      </w:r>
    </w:p>
    <w:p>
      <w:pPr>
        <w:pStyle w:val="FirstParagraph"/>
      </w:pPr>
      <w:r>
        <w:t xml:space="preserve">These rights apply only where and to the extent a qualifying state privacy law applies to our processing — for example, based on statutory revenue or data-volume thresholds — and are subject to the exceptions and limitations of that law. Where a law does not apply, the rights described in this section may not be available. These rights may also not apply to information we process solely as a Processor on behalf of a Customer. In that case, we may direct you to the relevant Customer or forward your request as appropriate.</w:t>
      </w:r>
    </w:p>
    <w:bookmarkStart w:id="39" w:name="california-residents"/>
    <w:p>
      <w:pPr>
        <w:pStyle w:val="Heading3"/>
      </w:pPr>
      <w:r>
        <w:t xml:space="preserve">California residents</w:t>
      </w:r>
    </w:p>
    <w:p>
      <w:pPr>
        <w:pStyle w:val="FirstParagraph"/>
      </w:pPr>
      <w:r>
        <w:t xml:space="preserve">If the California Consumer Privacy Act, as amended by the California Privacy Rights Act (</w:t>
      </w:r>
      <w:r>
        <w:t xml:space="preserve">“</w:t>
      </w:r>
      <w:r>
        <w:rPr>
          <w:bCs/>
          <w:b/>
        </w:rPr>
        <w:t xml:space="preserve">CCPA</w:t>
      </w:r>
      <w:r>
        <w:t xml:space="preserve">”</w:t>
      </w:r>
      <w:r>
        <w:t xml:space="preserve">), applies to our processing, California residents may have rights to know/access, delete, correct, opt out of the sale or sharing of Personal Information, limit certain uses and disclosures of sensitive Personal Information, and not be discriminated against for exercising applicable rights. California residents may also have rights to receive information about categories of Personal Information collected, sources, purposes, and categories of recipients.</w:t>
      </w:r>
    </w:p>
    <w:p>
      <w:pPr>
        <w:pStyle w:val="BodyText"/>
      </w:pPr>
      <w:r>
        <w:t xml:space="preserve">The categories of Personal Information potentially collected are described in Section 4. We collect these categories from the sources described in Section 5 and use them for the purposes described in Section 6. We may disclose these categories to the recipient types described in Section 10. The precise categories collected, disclosed, sold, or shared during the applicable statutory period depend on the Services used and must be confirmed for the period before publication.</w:t>
      </w:r>
    </w:p>
    <w:p>
      <w:pPr>
        <w:pStyle w:val="BodyText"/>
      </w:pPr>
      <w:r>
        <w:rPr>
          <w:bCs/>
          <w:b/>
        </w:rPr>
        <w:t xml:space="preserve">California sale/share disclosure:</w:t>
      </w:r>
      <w:r>
        <w:t xml:space="preserve"> </w:t>
      </w:r>
      <w:r>
        <w:t xml:space="preserve">[State whether AquaRunner247 sold or shared Personal Information in the preceding 12 months, including the categories and recipient types, or state that it did not, if accurate.]</w:t>
      </w:r>
      <w:r>
        <w:br/>
      </w:r>
      <w:r>
        <w:rPr>
          <w:bCs/>
          <w:b/>
        </w:rPr>
        <w:t xml:space="preserve">Sensitive Personal Information disclosure:</w:t>
      </w:r>
      <w:r>
        <w:t xml:space="preserve"> </w:t>
      </w:r>
      <w:r>
        <w:t xml:space="preserve">[State whether AquaRunner247 collected or used sensitive Personal Information, including precise geolocation, and whether its use was limited to permitted purposes or subject to a right to limit, as applicable.]</w:t>
      </w:r>
    </w:p>
    <w:p>
      <w:pPr>
        <w:pStyle w:val="BodyText"/>
      </w:pPr>
      <w:r>
        <w:t xml:space="preserve">If we sell or share Personal Information as defined by California law, eligible residents may opt out through</w:t>
      </w:r>
      <w:r>
        <w:t xml:space="preserve"> </w:t>
      </w:r>
      <w:r>
        <w:rPr>
          <w:bCs/>
          <w:b/>
        </w:rPr>
        <w:t xml:space="preserve">[Your Privacy Choices link or method]</w:t>
      </w:r>
      <w:r>
        <w:t xml:space="preserve">. Where required, we will process recognized Global Privacy Control signals as an opt-out request for the browser or device transmitting the signal. We do not knowingly sell or share Personal Information of individuals under 16 years of age.</w:t>
      </w:r>
    </w:p>
    <w:bookmarkEnd w:id="39"/>
    <w:bookmarkStart w:id="40" w:name="X9793c336419c90ff77b77e59cb084908c3a6517"/>
    <w:p>
      <w:pPr>
        <w:pStyle w:val="Heading3"/>
      </w:pPr>
      <w:r>
        <w:t xml:space="preserve">Virginia, Colorado, Connecticut, Utah, Texas, and other states</w:t>
      </w:r>
    </w:p>
    <w:p>
      <w:pPr>
        <w:pStyle w:val="FirstParagraph"/>
      </w:pPr>
      <w:r>
        <w:t xml:space="preserve">Residents of Virginia, Colorado, Connecticut, Utah, Texas, and other states with applicable comprehensive privacy laws may have rights similar to those described above, subject to the requirements and exceptions of their state law. These rights may include access, correction, deletion, portability, and opting out of certain targeted advertising, sales, or profiling. The scope of available rights and how they apply may differ by state.</w:t>
      </w:r>
    </w:p>
    <w:bookmarkEnd w:id="40"/>
    <w:bookmarkStart w:id="41" w:name="how-to-submit-a-request"/>
    <w:p>
      <w:pPr>
        <w:pStyle w:val="Heading3"/>
      </w:pPr>
      <w:r>
        <w:t xml:space="preserve">How to submit a request</w:t>
      </w:r>
    </w:p>
    <w:p>
      <w:pPr>
        <w:pStyle w:val="FirstParagraph"/>
      </w:pPr>
      <w:r>
        <w:t xml:space="preserve">Submit a privacy request by emailing</w:t>
      </w:r>
      <w:r>
        <w:t xml:space="preserve"> </w:t>
      </w:r>
      <w:r>
        <w:rPr>
          <w:bCs/>
          <w:b/>
        </w:rPr>
        <w:t xml:space="preserve">aquarunner247@gmail.com</w:t>
      </w:r>
      <w:r>
        <w:t xml:space="preserve"> </w:t>
      </w:r>
      <w:r>
        <w:t xml:space="preserve">with the subject line</w:t>
      </w:r>
      <w:r>
        <w:t xml:space="preserve"> </w:t>
      </w:r>
      <w:r>
        <w:t xml:space="preserve">“</w:t>
      </w:r>
      <w:r>
        <w:t xml:space="preserve">Privacy Rights Request</w:t>
      </w:r>
      <w:r>
        <w:t xml:space="preserve">”</w:t>
      </w:r>
      <w:r>
        <w:t xml:space="preserve"> </w:t>
      </w:r>
      <w:r>
        <w:t xml:space="preserve">or by using</w:t>
      </w:r>
      <w:r>
        <w:t xml:space="preserve"> </w:t>
      </w:r>
      <w:r>
        <w:rPr>
          <w:bCs/>
          <w:b/>
        </w:rPr>
        <w:t xml:space="preserve">[Privacy Request Web Form or URL]</w:t>
      </w:r>
      <w:r>
        <w:t xml:space="preserve">. Tell us your state of residence, the right you wish to exercise, and how we can contact you. Do not include sensitive information in your request unless we specifically ask for it through a secure process.</w:t>
      </w:r>
    </w:p>
    <w:p>
      <w:pPr>
        <w:pStyle w:val="BodyText"/>
      </w:pPr>
      <w:r>
        <w:t xml:space="preserve">We will take reasonable steps to verify your identity and authority before acting on a request. We may ask for information sufficient to verify your identity or account, but will not use verification information for unrelated purposes. If we cannot verify a request, we may be unable to fulfill it. An authorized agent may submit a request where permitted by law; we may require proof of the agent’s authority and may separately verify the individual.</w:t>
      </w:r>
    </w:p>
    <w:p>
      <w:pPr>
        <w:pStyle w:val="BodyText"/>
      </w:pPr>
      <w:r>
        <w:t xml:space="preserve">We will respond within the period required by applicable law. If we deny a request, you may appeal by replying to our decision or emailing</w:t>
      </w:r>
      <w:r>
        <w:t xml:space="preserve"> </w:t>
      </w:r>
      <w:r>
        <w:rPr>
          <w:bCs/>
          <w:b/>
        </w:rPr>
        <w:t xml:space="preserve">aquarunner247@gmail.com</w:t>
      </w:r>
      <w:r>
        <w:t xml:space="preserve"> </w:t>
      </w:r>
      <w:r>
        <w:t xml:space="preserve">with the subject line</w:t>
      </w:r>
      <w:r>
        <w:t xml:space="preserve"> </w:t>
      </w:r>
      <w:r>
        <w:t xml:space="preserve">“</w:t>
      </w:r>
      <w:r>
        <w:t xml:space="preserve">Privacy Request Appeal.</w:t>
      </w:r>
      <w:r>
        <w:t xml:space="preserve">”</w:t>
      </w:r>
      <w:r>
        <w:t xml:space="preserve"> </w:t>
      </w:r>
      <w:r>
        <w:t xml:space="preserve">If we deny an appeal, we will provide information about any applicable complaint process or regulator where required by law.</w:t>
      </w:r>
    </w:p>
    <w:p>
      <w:pPr>
        <w:pStyle w:val="BodyText"/>
      </w:pPr>
      <w:r>
        <w:t xml:space="preserve">We will not unlawfully discriminate against you for exercising privacy rights. We will not charge a fee for a request unless permitted by law, such as for a manifestly unfounded or excessive request.</w:t>
      </w:r>
    </w:p>
    <w:bookmarkEnd w:id="41"/>
    <w:bookmarkEnd w:id="42"/>
    <w:bookmarkStart w:id="43" w:name="nevada-privacy-notice"/>
    <w:p>
      <w:pPr>
        <w:pStyle w:val="Heading2"/>
      </w:pPr>
      <w:r>
        <w:t xml:space="preserve">17. Nevada Privacy Notice</w:t>
      </w:r>
    </w:p>
    <w:p>
      <w:pPr>
        <w:pStyle w:val="FirstParagraph"/>
      </w:pPr>
      <w:r>
        <w:t xml:space="preserve">Nevada residents may have a right under Nevada law to direct certain website operators not to sell covered information, as that term is defined under applicable Nevada law. To submit a request, email</w:t>
      </w:r>
      <w:r>
        <w:t xml:space="preserve"> </w:t>
      </w:r>
      <w:r>
        <w:rPr>
          <w:bCs/>
          <w:b/>
        </w:rPr>
        <w:t xml:space="preserve">aquarunner247@gmail.com</w:t>
      </w:r>
      <w:r>
        <w:t xml:space="preserve"> </w:t>
      </w:r>
      <w:r>
        <w:t xml:space="preserve">with the subject line</w:t>
      </w:r>
      <w:r>
        <w:t xml:space="preserve"> </w:t>
      </w:r>
      <w:r>
        <w:t xml:space="preserve">“</w:t>
      </w:r>
      <w:r>
        <w:t xml:space="preserve">Nevada Privacy Request.</w:t>
      </w:r>
      <w:r>
        <w:t xml:space="preserve">”</w:t>
      </w:r>
      <w:r>
        <w:t xml:space="preserve"> </w:t>
      </w:r>
      <w:r>
        <w:t xml:space="preserve">We will process the request as required by law. This notice does not state that AquaRunner247 sells covered information; our actual practices should be confirmed before publication.</w:t>
      </w:r>
    </w:p>
    <w:bookmarkEnd w:id="43"/>
    <w:bookmarkStart w:id="44" w:name="Xde1929f1850d15040c826d639305efa022fb8e4"/>
    <w:p>
      <w:pPr>
        <w:pStyle w:val="Heading2"/>
      </w:pPr>
      <w:r>
        <w:t xml:space="preserve">18. Rights in the European Economic Area and United Kingdom</w:t>
      </w:r>
    </w:p>
    <w:p>
      <w:pPr>
        <w:pStyle w:val="FirstParagraph"/>
      </w:pPr>
      <w:r>
        <w:t xml:space="preserve">If the General Data Protection Regulation (</w:t>
      </w:r>
      <w:r>
        <w:t xml:space="preserve">“</w:t>
      </w:r>
      <w:r>
        <w:rPr>
          <w:bCs/>
          <w:b/>
        </w:rPr>
        <w:t xml:space="preserve">GDPR</w:t>
      </w:r>
      <w:r>
        <w:t xml:space="preserve">”</w:t>
      </w:r>
      <w:r>
        <w:t xml:space="preserve">) or UK GDPR applies to our processing, you may have rights, subject to applicable conditions and exceptions, to:</w:t>
      </w:r>
    </w:p>
    <w:p>
      <w:pPr>
        <w:numPr>
          <w:ilvl w:val="0"/>
          <w:numId w:val="1007"/>
        </w:numPr>
        <w:pStyle w:val="Compact"/>
      </w:pPr>
      <w:r>
        <w:t xml:space="preserve">Access your Personal Information and receive information about its processing.</w:t>
      </w:r>
    </w:p>
    <w:p>
      <w:pPr>
        <w:numPr>
          <w:ilvl w:val="0"/>
          <w:numId w:val="1007"/>
        </w:numPr>
        <w:pStyle w:val="Compact"/>
      </w:pPr>
      <w:r>
        <w:t xml:space="preserve">Correct inaccurate or incomplete Personal Information.</w:t>
      </w:r>
    </w:p>
    <w:p>
      <w:pPr>
        <w:numPr>
          <w:ilvl w:val="0"/>
          <w:numId w:val="1007"/>
        </w:numPr>
        <w:pStyle w:val="Compact"/>
      </w:pPr>
      <w:r>
        <w:t xml:space="preserve">Request erasure of Personal Information.</w:t>
      </w:r>
    </w:p>
    <w:p>
      <w:pPr>
        <w:numPr>
          <w:ilvl w:val="0"/>
          <w:numId w:val="1007"/>
        </w:numPr>
        <w:pStyle w:val="Compact"/>
      </w:pPr>
      <w:r>
        <w:t xml:space="preserve">Restrict processing.</w:t>
      </w:r>
    </w:p>
    <w:p>
      <w:pPr>
        <w:numPr>
          <w:ilvl w:val="0"/>
          <w:numId w:val="1007"/>
        </w:numPr>
        <w:pStyle w:val="Compact"/>
      </w:pPr>
      <w:r>
        <w:t xml:space="preserve">Receive certain information in a portable format or request its transfer to another organization.</w:t>
      </w:r>
    </w:p>
    <w:p>
      <w:pPr>
        <w:numPr>
          <w:ilvl w:val="0"/>
          <w:numId w:val="1007"/>
        </w:numPr>
        <w:pStyle w:val="Compact"/>
      </w:pPr>
      <w:r>
        <w:t xml:space="preserve">Object to processing based on legitimate interests or to direct marketing.</w:t>
      </w:r>
    </w:p>
    <w:p>
      <w:pPr>
        <w:numPr>
          <w:ilvl w:val="0"/>
          <w:numId w:val="1007"/>
        </w:numPr>
        <w:pStyle w:val="Compact"/>
      </w:pPr>
      <w:r>
        <w:t xml:space="preserve">Withdraw consent where processing is based on consent.</w:t>
      </w:r>
    </w:p>
    <w:p>
      <w:pPr>
        <w:numPr>
          <w:ilvl w:val="0"/>
          <w:numId w:val="1007"/>
        </w:numPr>
        <w:pStyle w:val="Compact"/>
      </w:pPr>
      <w:r>
        <w:t xml:space="preserve">Not be subject to certain decisions based solely on automated processing that produce legal or similarly significant effects, where applicable.</w:t>
      </w:r>
    </w:p>
    <w:p>
      <w:pPr>
        <w:pStyle w:val="FirstParagraph"/>
      </w:pPr>
      <w:r>
        <w:t xml:space="preserve">Our Services use automated features for operational functions, such as extracting information from documents, identifying potentially blurry images, and supporting workflow calculations. We do not intend to make decisions about individuals that produce legal or similarly significant effects solely through automated processing. Contact us if you believe this may apply to you.</w:t>
      </w:r>
    </w:p>
    <w:p>
      <w:pPr>
        <w:pStyle w:val="BodyText"/>
      </w:pPr>
      <w:r>
        <w:t xml:space="preserve">To exercise a right, contact</w:t>
      </w:r>
      <w:r>
        <w:t xml:space="preserve"> </w:t>
      </w:r>
      <w:r>
        <w:rPr>
          <w:bCs/>
          <w:b/>
        </w:rPr>
        <w:t xml:space="preserve">[Privacy Contact or Data Protection Officer]</w:t>
      </w:r>
      <w:r>
        <w:t xml:space="preserve"> </w:t>
      </w:r>
      <w:r>
        <w:t xml:space="preserve">at</w:t>
      </w:r>
      <w:r>
        <w:t xml:space="preserve"> </w:t>
      </w:r>
      <w:r>
        <w:rPr>
          <w:bCs/>
          <w:b/>
        </w:rPr>
        <w:t xml:space="preserve">aquarunner247@gmail.com</w:t>
      </w:r>
      <w:r>
        <w:t xml:space="preserve">. If we process your information on behalf of a Customer, please contact that Customer, which is generally the Controller. You also have the right to lodge a complaint with your local supervisory authority, including in the country where you live, work, or believe an infringement occurred.</w:t>
      </w:r>
    </w:p>
    <w:bookmarkEnd w:id="44"/>
    <w:bookmarkStart w:id="45" w:name="marketing-and-communication-choices"/>
    <w:p>
      <w:pPr>
        <w:pStyle w:val="Heading2"/>
      </w:pPr>
      <w:r>
        <w:t xml:space="preserve">19. Marketing and Communication Choices</w:t>
      </w:r>
    </w:p>
    <w:p>
      <w:pPr>
        <w:pStyle w:val="FirstParagraph"/>
      </w:pPr>
      <w:r>
        <w:t xml:space="preserve">We may send service-related communications, such as account, billing, security, support, and operational notices. These communications are necessary to provide or administer the Services and may not be subject to marketing opt-out options.</w:t>
      </w:r>
    </w:p>
    <w:p>
      <w:pPr>
        <w:pStyle w:val="BodyText"/>
      </w:pPr>
      <w:r>
        <w:t xml:space="preserve">Where permitted by law, we may send marketing communications about AquaRunner247 and our Services. You can opt out of marketing emails by using the unsubscribe link in the message or contacting us at</w:t>
      </w:r>
      <w:r>
        <w:t xml:space="preserve"> </w:t>
      </w:r>
      <w:r>
        <w:rPr>
          <w:bCs/>
          <w:b/>
        </w:rPr>
        <w:t xml:space="preserve">aquarunner247@gmail.com</w:t>
      </w:r>
      <w:r>
        <w:t xml:space="preserve">. Opting out of marketing does not stop service-related communications.</w:t>
      </w:r>
    </w:p>
    <w:p>
      <w:pPr>
        <w:pStyle w:val="BodyText"/>
      </w:pPr>
      <w:r>
        <w:t xml:space="preserve">We will send marketing text messages only where permitted and with any consent required by law. Message and data rates may apply. You may opt out of marketing texts by replying</w:t>
      </w:r>
      <w:r>
        <w:t xml:space="preserve"> </w:t>
      </w:r>
      <w:r>
        <w:rPr>
          <w:bCs/>
          <w:b/>
        </w:rPr>
        <w:t xml:space="preserve">STOP</w:t>
      </w:r>
      <w:r>
        <w:t xml:space="preserve"> </w:t>
      </w:r>
      <w:r>
        <w:t xml:space="preserve">or following the instructions in the message. You may contact us for help by replying</w:t>
      </w:r>
      <w:r>
        <w:t xml:space="preserve"> </w:t>
      </w:r>
      <w:r>
        <w:rPr>
          <w:bCs/>
          <w:b/>
        </w:rPr>
        <w:t xml:space="preserve">HELP</w:t>
      </w:r>
      <w:r>
        <w:t xml:space="preserve"> </w:t>
      </w:r>
      <w:r>
        <w:t xml:space="preserve">or emailing</w:t>
      </w:r>
      <w:r>
        <w:t xml:space="preserve"> </w:t>
      </w:r>
      <w:r>
        <w:rPr>
          <w:bCs/>
          <w:b/>
        </w:rPr>
        <w:t xml:space="preserve">aquarunner247@gmail.com</w:t>
      </w:r>
      <w:r>
        <w:t xml:space="preserve">. We will honor applicable consent and opt-out requirements.</w:t>
      </w:r>
    </w:p>
    <w:bookmarkEnd w:id="45"/>
    <w:bookmarkStart w:id="46" w:name="third-party-links-and-services"/>
    <w:p>
      <w:pPr>
        <w:pStyle w:val="Heading2"/>
      </w:pPr>
      <w:r>
        <w:t xml:space="preserve">20. Third-Party Links and Services</w:t>
      </w:r>
    </w:p>
    <w:p>
      <w:pPr>
        <w:pStyle w:val="FirstParagraph"/>
      </w:pPr>
      <w:r>
        <w:t xml:space="preserve">The Services may link to third-party websites, apps, integrations, or services. Their privacy practices are governed by their own notices and terms, not this Policy. We are not responsible for third-party privacy practices. Review the applicable third-party privacy notice before providing information to that provider.</w:t>
      </w:r>
    </w:p>
    <w:bookmarkEnd w:id="46"/>
    <w:bookmarkStart w:id="47" w:name="do-not-track-and-global-privacy-control"/>
    <w:p>
      <w:pPr>
        <w:pStyle w:val="Heading2"/>
      </w:pPr>
      <w:r>
        <w:t xml:space="preserve">21. Do Not Track and Global Privacy Control</w:t>
      </w:r>
    </w:p>
    <w:p>
      <w:pPr>
        <w:pStyle w:val="FirstParagraph"/>
      </w:pPr>
      <w:r>
        <w:t xml:space="preserve">Some browsers offer a</w:t>
      </w:r>
      <w:r>
        <w:t xml:space="preserve"> </w:t>
      </w:r>
      <w:r>
        <w:t xml:space="preserve">“</w:t>
      </w:r>
      <w:r>
        <w:t xml:space="preserve">Do Not Track</w:t>
      </w:r>
      <w:r>
        <w:t xml:space="preserve">”</w:t>
      </w:r>
      <w:r>
        <w:t xml:space="preserve"> </w:t>
      </w:r>
      <w:r>
        <w:t xml:space="preserve">setting. Because there is no consistent industry standard for responding to Do Not Track signals, our website may not respond to them.</w:t>
      </w:r>
    </w:p>
    <w:p>
      <w:pPr>
        <w:pStyle w:val="BodyText"/>
      </w:pPr>
      <w:r>
        <w:t xml:space="preserve">Where required by applicable law, we will process a recognized Global Privacy Control or similar opt-out preference signal as a request to opt out of the sale or sharing of Personal Information or targeted advertising for the browser or device transmitting the signal. A signal may not identify you across devices or accounts; you may need to submit a separate request or sign in to apply a preference to an account where supported.</w:t>
      </w:r>
    </w:p>
    <w:bookmarkEnd w:id="47"/>
    <w:bookmarkStart w:id="48" w:name="changes-to-this-policy"/>
    <w:p>
      <w:pPr>
        <w:pStyle w:val="Heading2"/>
      </w:pPr>
      <w:r>
        <w:t xml:space="preserve">22. Changes to This Policy</w:t>
      </w:r>
    </w:p>
    <w:p>
      <w:pPr>
        <w:pStyle w:val="FirstParagraph"/>
      </w:pPr>
      <w:r>
        <w:t xml:space="preserve">We may update this Policy to reflect changes to our Services, information practices, or legal requirements. We will post the updated Policy on</w:t>
      </w:r>
      <w:r>
        <w:t xml:space="preserve"> </w:t>
      </w:r>
      <w:r>
        <w:rPr>
          <w:bCs/>
          <w:b/>
        </w:rPr>
        <w:t xml:space="preserve">aquarunner247.com</w:t>
      </w:r>
      <w:r>
        <w:t xml:space="preserve"> </w:t>
      </w:r>
      <w:r>
        <w:t xml:space="preserve">and revise the</w:t>
      </w:r>
      <w:r>
        <w:t xml:space="preserve"> </w:t>
      </w:r>
      <w:r>
        <w:t xml:space="preserve">“</w:t>
      </w:r>
      <w:r>
        <w:t xml:space="preserve">Last Updated</w:t>
      </w:r>
      <w:r>
        <w:t xml:space="preserve">”</w:t>
      </w:r>
      <w:r>
        <w:t xml:space="preserve"> </w:t>
      </w:r>
      <w:r>
        <w:t xml:space="preserve">date. If a change is material, we will provide additional notice by email, through the Services, or by another reasonable method where required by law. The updated Policy will apply from its stated effective date.</w:t>
      </w:r>
    </w:p>
    <w:bookmarkEnd w:id="48"/>
    <w:bookmarkStart w:id="49" w:name="contact-us"/>
    <w:p>
      <w:pPr>
        <w:pStyle w:val="Heading2"/>
      </w:pPr>
      <w:r>
        <w:t xml:space="preserve">23. Contact Us</w:t>
      </w:r>
    </w:p>
    <w:p>
      <w:pPr>
        <w:pStyle w:val="FirstParagraph"/>
      </w:pPr>
      <w:r>
        <w:t xml:space="preserve">Questions, comments, and privacy requests may be sent to:</w:t>
      </w:r>
    </w:p>
    <w:p>
      <w:pPr>
        <w:pStyle w:val="BodyText"/>
      </w:pPr>
      <w:r>
        <w:rPr>
          <w:bCs/>
          <w:b/>
        </w:rPr>
        <w:t xml:space="preserve">AquaRunner247 LLC, doing business as AquaRunner247</w:t>
      </w:r>
      <w:r>
        <w:br/>
      </w:r>
      <w:r>
        <w:rPr>
          <w:bCs/>
          <w:b/>
        </w:rPr>
        <w:t xml:space="preserve">[Registered Address]</w:t>
      </w:r>
      <w:r>
        <w:br/>
      </w:r>
      <w:r>
        <w:t xml:space="preserve">Privacy contact or Data Protection Officer:</w:t>
      </w:r>
      <w:r>
        <w:t xml:space="preserve"> </w:t>
      </w:r>
      <w:r>
        <w:rPr>
          <w:bCs/>
          <w:b/>
        </w:rPr>
        <w:t xml:space="preserve">[Privacy Contact or Data Protection Officer]</w:t>
      </w:r>
      <w:r>
        <w:br/>
      </w:r>
      <w:r>
        <w:t xml:space="preserve">Email:</w:t>
      </w:r>
      <w:r>
        <w:t xml:space="preserve"> </w:t>
      </w:r>
      <w:r>
        <w:rPr>
          <w:bCs/>
          <w:b/>
        </w:rPr>
        <w:t xml:space="preserve">aquarunner247@gmail.com</w:t>
      </w:r>
      <w:r>
        <w:br/>
      </w:r>
      <w:r>
        <w:t xml:space="preserve">Website:</w:t>
      </w:r>
      <w:r>
        <w:t xml:space="preserve"> </w:t>
      </w:r>
      <w:r>
        <w:rPr>
          <w:bCs/>
          <w:b/>
        </w:rPr>
        <w:t xml:space="preserve">https://aquarunner247.com</w:t>
      </w:r>
    </w:p>
    <w:bookmarkEnd w:id="49"/>
    <w:bookmarkStart w:id="50" w:name="attorney-review-notice"/>
    <w:p>
      <w:pPr>
        <w:pStyle w:val="Heading2"/>
      </w:pPr>
      <w:r>
        <w:t xml:space="preserve">24. Attorney Review Notice</w:t>
      </w:r>
    </w:p>
    <w:p>
      <w:pPr>
        <w:pStyle w:val="FirstParagraph"/>
      </w:pPr>
      <w:r>
        <w:t xml:space="preserve">This document is informational and is not legal advice. It should be reviewed and completed by a licensed attorney before publication, including verification of the company’s actual data practices, applicable legal entity, privacy rights processes, cookie and tracking practices, sale/share status, retention periods, subprocessors, and transfer safeguards.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E3A5C"/>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sz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2026-10-21T20:24:07Z</dcterms:created>
  <dcterms:modified xsi:type="dcterms:W3CDTF">2026-10-21T20:24:07Z</dcterms:modified>
</cp:coreProperties>
</file>

<file path=docProps/custom.xml><?xml version="1.0" encoding="utf-8"?>
<Properties xmlns="http://schemas.openxmlformats.org/officeDocument/2006/custom-properties" xmlns:vt="http://schemas.openxmlformats.org/officeDocument/2006/docPropsVTypes"/>
</file>