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BBB4F" w14:textId="77777777" w:rsidR="009A1DE8" w:rsidRDefault="009A1DE8" w:rsidP="009A1DE8">
      <w:r>
        <w:t xml:space="preserve">Previous performance report indicated this project was 80% complete through December 31, 2018.  Please update the following outcomes:  </w:t>
      </w:r>
    </w:p>
    <w:p w14:paraId="7A2D8276" w14:textId="77777777" w:rsidR="009A1DE8" w:rsidRDefault="009A1DE8" w:rsidP="009A1DE8"/>
    <w:p w14:paraId="3EF2F4FC" w14:textId="77777777" w:rsidR="009A1DE8" w:rsidRPr="00070BA8" w:rsidRDefault="009A1DE8" w:rsidP="009A1DE8">
      <w:pPr>
        <w:rPr>
          <w:b/>
        </w:rPr>
      </w:pPr>
      <w:r w:rsidRPr="00070BA8">
        <w:rPr>
          <w:b/>
        </w:rPr>
        <w:t>A.  Field Monitoring results from 2019</w:t>
      </w:r>
    </w:p>
    <w:p w14:paraId="09AD34CD" w14:textId="77777777" w:rsidR="009A1DE8" w:rsidRDefault="009A1DE8" w:rsidP="009A1DE8">
      <w:r>
        <w:t>Update</w:t>
      </w:r>
    </w:p>
    <w:p w14:paraId="54CF5A5D" w14:textId="77777777" w:rsidR="009A1DE8" w:rsidRDefault="009A1DE8" w:rsidP="009A1DE8">
      <w:r>
        <w:t xml:space="preserve">BGSU: As in previous years, </w:t>
      </w:r>
      <w:r w:rsidR="00436723">
        <w:t xml:space="preserve">an EXO-2 </w:t>
      </w:r>
      <w:proofErr w:type="spellStart"/>
      <w:r w:rsidR="00436723">
        <w:t>sonde</w:t>
      </w:r>
      <w:proofErr w:type="spellEnd"/>
      <w:r w:rsidR="00436723">
        <w:t xml:space="preserve"> was </w:t>
      </w:r>
      <w:r>
        <w:t xml:space="preserve">deployed </w:t>
      </w:r>
      <w:r w:rsidR="00436723">
        <w:t xml:space="preserve">on </w:t>
      </w:r>
      <w:r>
        <w:t xml:space="preserve">Sandusky Buoy 2 in lower (Eastern) Sandusky Bay to measure water quality parameters in order to establish baseline data in turbidity, conductivity, temperature, dissolved oxygen, pH and algal photopigments prior to the implementation of Sandusky Bay Initiative restoration efforts.  </w:t>
      </w:r>
      <w:proofErr w:type="spellStart"/>
      <w:r w:rsidR="00436723" w:rsidRPr="00436723">
        <w:rPr>
          <w:i/>
        </w:rPr>
        <w:t>Planktothrix</w:t>
      </w:r>
      <w:proofErr w:type="spellEnd"/>
      <w:r w:rsidR="00436723" w:rsidRPr="00436723">
        <w:rPr>
          <w:i/>
        </w:rPr>
        <w:t xml:space="preserve"> </w:t>
      </w:r>
      <w:proofErr w:type="spellStart"/>
      <w:r w:rsidR="00436723" w:rsidRPr="00436723">
        <w:rPr>
          <w:i/>
        </w:rPr>
        <w:t>agardhii</w:t>
      </w:r>
      <w:proofErr w:type="spellEnd"/>
      <w:r w:rsidR="00436723">
        <w:t xml:space="preserve"> was once again the dominant cyanobacterial bloom-forming species present in the Bay.  Additional water quality</w:t>
      </w:r>
      <w:r>
        <w:t xml:space="preserve"> data were also obtained from EXO-2 </w:t>
      </w:r>
      <w:proofErr w:type="spellStart"/>
      <w:r>
        <w:t>sondes</w:t>
      </w:r>
      <w:proofErr w:type="spellEnd"/>
      <w:r>
        <w:t xml:space="preserve"> placed at Big Island Water Works in the City of Sandusky and at the Edison Bridge. </w:t>
      </w:r>
      <w:proofErr w:type="spellStart"/>
      <w:r>
        <w:t>Sonde</w:t>
      </w:r>
      <w:proofErr w:type="spellEnd"/>
      <w:r>
        <w:t xml:space="preserve"> data is reported to the URLs below every 20 minutes. Complementing the </w:t>
      </w:r>
      <w:proofErr w:type="spellStart"/>
      <w:r>
        <w:t>sonde</w:t>
      </w:r>
      <w:proofErr w:type="spellEnd"/>
      <w:r>
        <w:t xml:space="preserve"> data at the Bridge site is a SL-500 Acoustic Doppler Current Profiler </w:t>
      </w:r>
      <w:r w:rsidR="00D16B98">
        <w:t xml:space="preserve">(ADCP) </w:t>
      </w:r>
      <w:r>
        <w:t xml:space="preserve">in constant operation since September 2018, and a </w:t>
      </w:r>
      <w:proofErr w:type="spellStart"/>
      <w:r>
        <w:t>NuLab</w:t>
      </w:r>
      <w:proofErr w:type="spellEnd"/>
      <w:r>
        <w:t xml:space="preserve"> nutrient analyzer measuring dissolved nitrate and phosphate every 4 hours. The nutrient analyzer was installed to yield a continuing data set starting June 12, 2019. Data from these instruments is publicly available</w:t>
      </w:r>
      <w:r w:rsidR="00D16B98">
        <w:t xml:space="preserve"> at:</w:t>
      </w:r>
    </w:p>
    <w:p w14:paraId="31CA7CF9" w14:textId="77777777" w:rsidR="00D16B98" w:rsidRDefault="00D16B98" w:rsidP="009A1DE8"/>
    <w:p w14:paraId="40293878" w14:textId="77777777" w:rsidR="00D16B98" w:rsidRPr="00D16B98" w:rsidRDefault="005D6CE3" w:rsidP="009A1DE8">
      <w:pPr>
        <w:rPr>
          <w:rFonts w:eastAsia="Times New Roman" w:cstheme="minorHAnsi"/>
        </w:rPr>
      </w:pPr>
      <w:hyperlink r:id="rId4" w:history="1">
        <w:r w:rsidR="00D16B98" w:rsidRPr="00D16B98">
          <w:rPr>
            <w:rFonts w:eastAsia="Times New Roman" w:cstheme="minorHAnsi"/>
            <w:color w:val="0000FF"/>
            <w:u w:val="single"/>
          </w:rPr>
          <w:t>https://glbuoys.glos.us/bgsusd2/</w:t>
        </w:r>
      </w:hyperlink>
      <w:r w:rsidR="00D16B98" w:rsidRPr="00D16B98">
        <w:rPr>
          <w:rFonts w:eastAsia="Times New Roman" w:cstheme="minorHAnsi"/>
        </w:rPr>
        <w:t xml:space="preserve">  (Sandusky Buoy 2)</w:t>
      </w:r>
    </w:p>
    <w:p w14:paraId="08682F89" w14:textId="77777777" w:rsidR="00D16B98" w:rsidRPr="00D16B98" w:rsidRDefault="00D16B98" w:rsidP="009A1DE8">
      <w:pPr>
        <w:rPr>
          <w:rFonts w:cstheme="minorHAnsi"/>
        </w:rPr>
      </w:pPr>
    </w:p>
    <w:p w14:paraId="1FF44961" w14:textId="77777777" w:rsidR="00D16B98" w:rsidRPr="00D16B98" w:rsidRDefault="00D16B98" w:rsidP="00D16B98">
      <w:pPr>
        <w:rPr>
          <w:rFonts w:eastAsia="Times New Roman" w:cstheme="minorHAnsi"/>
        </w:rPr>
      </w:pPr>
      <w:hyperlink r:id="rId5" w:history="1">
        <w:r w:rsidRPr="00D16B98">
          <w:rPr>
            <w:rFonts w:eastAsia="Times New Roman" w:cstheme="minorHAnsi"/>
            <w:color w:val="0000FF"/>
            <w:u w:val="single"/>
          </w:rPr>
          <w:t>https://glbuoys.glos.us/lebiww</w:t>
        </w:r>
      </w:hyperlink>
      <w:r w:rsidRPr="00D16B98">
        <w:rPr>
          <w:rFonts w:eastAsia="Times New Roman" w:cstheme="minorHAnsi"/>
        </w:rPr>
        <w:t xml:space="preserve">  (Big Island Water Works)</w:t>
      </w:r>
    </w:p>
    <w:p w14:paraId="79AFC0F6" w14:textId="77777777" w:rsidR="00D16B98" w:rsidRPr="00D16B98" w:rsidRDefault="00D16B98" w:rsidP="009A1DE8">
      <w:pPr>
        <w:rPr>
          <w:rFonts w:cstheme="minorHAnsi"/>
        </w:rPr>
      </w:pPr>
    </w:p>
    <w:p w14:paraId="668A9C72" w14:textId="77777777" w:rsidR="00D16B98" w:rsidRPr="00D16B98" w:rsidRDefault="00D16B98" w:rsidP="00D16B98">
      <w:pPr>
        <w:rPr>
          <w:rFonts w:eastAsia="Times New Roman" w:cstheme="minorHAnsi"/>
        </w:rPr>
      </w:pPr>
      <w:hyperlink r:id="rId6" w:history="1">
        <w:r w:rsidRPr="00D16B98">
          <w:rPr>
            <w:rFonts w:eastAsia="Times New Roman" w:cstheme="minorHAnsi"/>
            <w:color w:val="0000FF"/>
            <w:u w:val="single"/>
          </w:rPr>
          <w:t>https://glbuoys.glos.us/sbedison</w:t>
        </w:r>
      </w:hyperlink>
      <w:r w:rsidRPr="00D16B98">
        <w:rPr>
          <w:rFonts w:eastAsia="Times New Roman" w:cstheme="minorHAnsi"/>
        </w:rPr>
        <w:t xml:space="preserve">  (Edison Bridge; see the ‘Currents’ button for ADCP data)</w:t>
      </w:r>
    </w:p>
    <w:p w14:paraId="6EA09DA6" w14:textId="77777777" w:rsidR="00D16B98" w:rsidRPr="00D16B98" w:rsidRDefault="00D16B98" w:rsidP="00D16B98">
      <w:pPr>
        <w:rPr>
          <w:rFonts w:eastAsia="Times New Roman" w:cstheme="minorHAnsi"/>
        </w:rPr>
      </w:pPr>
    </w:p>
    <w:p w14:paraId="22CCDA26" w14:textId="77777777" w:rsidR="00D16B98" w:rsidRPr="00D16B98" w:rsidRDefault="00D16B98" w:rsidP="00D16B98">
      <w:pPr>
        <w:rPr>
          <w:rFonts w:eastAsia="Times New Roman" w:cstheme="minorHAnsi"/>
        </w:rPr>
      </w:pPr>
      <w:hyperlink r:id="rId7" w:history="1">
        <w:r w:rsidRPr="00D16B98">
          <w:rPr>
            <w:rFonts w:eastAsia="Times New Roman" w:cstheme="minorHAnsi"/>
            <w:color w:val="0000FF"/>
            <w:u w:val="single"/>
          </w:rPr>
          <w:t>http://limnotechdata.com/nulab/sandusky_bay</w:t>
        </w:r>
      </w:hyperlink>
      <w:r w:rsidRPr="00D16B98">
        <w:rPr>
          <w:rFonts w:eastAsia="Times New Roman" w:cstheme="minorHAnsi"/>
        </w:rPr>
        <w:t xml:space="preserve">/ (Edison Bridge </w:t>
      </w:r>
      <w:proofErr w:type="spellStart"/>
      <w:r w:rsidRPr="00D16B98">
        <w:rPr>
          <w:rFonts w:eastAsia="Times New Roman" w:cstheme="minorHAnsi"/>
        </w:rPr>
        <w:t>NuLab</w:t>
      </w:r>
      <w:proofErr w:type="spellEnd"/>
      <w:r w:rsidRPr="00D16B98">
        <w:rPr>
          <w:rFonts w:eastAsia="Times New Roman" w:cstheme="minorHAnsi"/>
        </w:rPr>
        <w:t xml:space="preserve"> nutrient analyzer)</w:t>
      </w:r>
    </w:p>
    <w:p w14:paraId="27D9AC90" w14:textId="77777777" w:rsidR="009A1DE8" w:rsidRPr="00D16B98" w:rsidRDefault="009A1DE8" w:rsidP="009A1DE8">
      <w:pPr>
        <w:rPr>
          <w:rFonts w:cstheme="minorHAnsi"/>
        </w:rPr>
      </w:pPr>
    </w:p>
    <w:p w14:paraId="64BDD219" w14:textId="77777777" w:rsidR="00D16B98" w:rsidRDefault="00D16B98" w:rsidP="009A1DE8">
      <w:r>
        <w:t xml:space="preserve">The nutrient analyzer performance was validated by independent measurements of coincident grab samples.  The </w:t>
      </w:r>
      <w:proofErr w:type="spellStart"/>
      <w:r>
        <w:t>NuLab</w:t>
      </w:r>
      <w:proofErr w:type="spellEnd"/>
      <w:r>
        <w:t xml:space="preserve"> was installed to monitor rates of denitrification in the Bay, as well as document internal loading of P from the sediments.  Testing whether wind events </w:t>
      </w:r>
      <w:r w:rsidR="00E222C8">
        <w:t>cause</w:t>
      </w:r>
      <w:r>
        <w:t xml:space="preserve"> the release of additional sediment phosphorus is an additional aim.</w:t>
      </w:r>
    </w:p>
    <w:p w14:paraId="6131F55A" w14:textId="77777777" w:rsidR="00D16B98" w:rsidRDefault="00D16B98" w:rsidP="009A1DE8">
      <w:r>
        <w:t>In addition</w:t>
      </w:r>
      <w:r w:rsidR="003D4FB7">
        <w:t xml:space="preserve"> to data obtained from deployed instruments, we sampled Sandusky Bay at 9 sites (see table below, Muddy Creek to Bells) roughly biweekly with the assistance of ODNR Watercraft crews on the following dates: June 10 and 17; July 8; August 5 and 19; September 9 and 23.  Additional sampling was done during maintenance trips to the nutrient analyzer at the Bridge site.  Samples were processed for dissolved and total nutrients, dissolved and total </w:t>
      </w:r>
      <w:proofErr w:type="spellStart"/>
      <w:r w:rsidR="003D4FB7">
        <w:t>microcystin</w:t>
      </w:r>
      <w:proofErr w:type="spellEnd"/>
      <w:r w:rsidR="003D4FB7">
        <w:t xml:space="preserve"> (to be tested by ELISA) and total chlorophyll.  Samples were also taken at four sites (ODNR 1, 2, 4 and 6) for chlorophyll and </w:t>
      </w:r>
      <w:proofErr w:type="spellStart"/>
      <w:r w:rsidR="003D4FB7">
        <w:t>microcystin</w:t>
      </w:r>
      <w:proofErr w:type="spellEnd"/>
      <w:r w:rsidR="003D4FB7">
        <w:t xml:space="preserve"> toxin analysis by Ohio EPA</w:t>
      </w:r>
      <w:r w:rsidR="00993E18">
        <w:t>.</w:t>
      </w:r>
    </w:p>
    <w:p w14:paraId="549E6997" w14:textId="77777777" w:rsidR="00D16B98" w:rsidRDefault="00D16B98" w:rsidP="009A1DE8"/>
    <w:p w14:paraId="5C45B546" w14:textId="77777777" w:rsidR="003D4FB7" w:rsidRPr="00AE37A4" w:rsidRDefault="003D4FB7" w:rsidP="003D4FB7">
      <w:pPr>
        <w:widowControl w:val="0"/>
        <w:autoSpaceDE w:val="0"/>
        <w:autoSpaceDN w:val="0"/>
        <w:adjustRightInd w:val="0"/>
        <w:rPr>
          <w:rFonts w:ascii="Calibri" w:hAnsi="Calibri" w:cs="Calibri"/>
          <w:sz w:val="22"/>
          <w:szCs w:val="22"/>
        </w:rPr>
      </w:pPr>
      <w:r w:rsidRPr="00AE37A4">
        <w:rPr>
          <w:rFonts w:ascii="Calibri" w:hAnsi="Calibri" w:cs="Calibri"/>
          <w:b/>
          <w:sz w:val="22"/>
          <w:szCs w:val="22"/>
        </w:rPr>
        <w:t>Sandusky Bay stations.</w:t>
      </w:r>
      <w:r w:rsidRPr="00AE37A4">
        <w:rPr>
          <w:rFonts w:ascii="Calibri" w:hAnsi="Calibri" w:cs="Calibri"/>
          <w:sz w:val="22"/>
          <w:szCs w:val="22"/>
        </w:rPr>
        <w:t xml:space="preserve"> The </w:t>
      </w:r>
      <w:proofErr w:type="spellStart"/>
      <w:r w:rsidRPr="00AE37A4">
        <w:rPr>
          <w:rFonts w:ascii="Calibri" w:hAnsi="Calibri" w:cs="Calibri"/>
          <w:sz w:val="22"/>
          <w:szCs w:val="22"/>
        </w:rPr>
        <w:t>lat</w:t>
      </w:r>
      <w:proofErr w:type="spellEnd"/>
      <w:r w:rsidRPr="00AE37A4">
        <w:rPr>
          <w:rFonts w:ascii="Calibri" w:hAnsi="Calibri" w:cs="Calibri"/>
          <w:sz w:val="22"/>
          <w:szCs w:val="22"/>
        </w:rPr>
        <w:t>/</w:t>
      </w:r>
      <w:proofErr w:type="spellStart"/>
      <w:r w:rsidRPr="00AE37A4">
        <w:rPr>
          <w:rFonts w:ascii="Calibri" w:hAnsi="Calibri" w:cs="Calibri"/>
          <w:sz w:val="22"/>
          <w:szCs w:val="22"/>
        </w:rPr>
        <w:t>lon</w:t>
      </w:r>
      <w:proofErr w:type="spellEnd"/>
      <w:r w:rsidRPr="00AE37A4">
        <w:rPr>
          <w:rFonts w:ascii="Calibri" w:hAnsi="Calibri" w:cs="Calibri"/>
          <w:sz w:val="22"/>
          <w:szCs w:val="22"/>
        </w:rPr>
        <w:t xml:space="preserve"> for each site are provided below.</w:t>
      </w:r>
    </w:p>
    <w:p w14:paraId="79481C16" w14:textId="77777777" w:rsidR="003D4FB7" w:rsidRPr="00AE37A4" w:rsidRDefault="003D4FB7" w:rsidP="003D4FB7">
      <w:pPr>
        <w:rPr>
          <w:sz w:val="22"/>
          <w:szCs w:val="22"/>
        </w:rPr>
      </w:pPr>
    </w:p>
    <w:tbl>
      <w:tblPr>
        <w:tblW w:w="10600" w:type="dxa"/>
        <w:tblInd w:w="-100" w:type="dxa"/>
        <w:tblLook w:val="04A0" w:firstRow="1" w:lastRow="0" w:firstColumn="1" w:lastColumn="0" w:noHBand="0" w:noVBand="1"/>
      </w:tblPr>
      <w:tblGrid>
        <w:gridCol w:w="5720"/>
        <w:gridCol w:w="2400"/>
        <w:gridCol w:w="2480"/>
      </w:tblGrid>
      <w:tr w:rsidR="003D4FB7" w:rsidRPr="00AE37A4" w14:paraId="096533BE" w14:textId="77777777" w:rsidTr="00F37498">
        <w:trPr>
          <w:trHeight w:val="380"/>
        </w:trPr>
        <w:tc>
          <w:tcPr>
            <w:tcW w:w="5720" w:type="dxa"/>
            <w:tcBorders>
              <w:top w:val="single" w:sz="4" w:space="0" w:color="auto"/>
              <w:left w:val="single" w:sz="4" w:space="0" w:color="auto"/>
              <w:bottom w:val="single" w:sz="4" w:space="0" w:color="auto"/>
              <w:right w:val="nil"/>
            </w:tcBorders>
            <w:shd w:val="clear" w:color="auto" w:fill="auto"/>
            <w:noWrap/>
            <w:vAlign w:val="bottom"/>
            <w:hideMark/>
          </w:tcPr>
          <w:p w14:paraId="5E6A7A24" w14:textId="77777777" w:rsidR="003D4FB7" w:rsidRPr="00AE37A4" w:rsidRDefault="003D4FB7" w:rsidP="00F37498">
            <w:pPr>
              <w:rPr>
                <w:rFonts w:ascii="Calibri" w:eastAsia="Times New Roman" w:hAnsi="Calibri" w:cs="Times New Roman"/>
                <w:b/>
                <w:bCs/>
                <w:color w:val="000000"/>
                <w:sz w:val="22"/>
                <w:szCs w:val="22"/>
              </w:rPr>
            </w:pPr>
            <w:r w:rsidRPr="00AE37A4">
              <w:rPr>
                <w:rFonts w:ascii="Calibri" w:eastAsia="Times New Roman" w:hAnsi="Calibri" w:cs="Times New Roman"/>
                <w:b/>
                <w:bCs/>
                <w:color w:val="000000"/>
                <w:sz w:val="22"/>
                <w:szCs w:val="22"/>
              </w:rPr>
              <w:t>Station Name</w:t>
            </w:r>
          </w:p>
        </w:tc>
        <w:tc>
          <w:tcPr>
            <w:tcW w:w="2400" w:type="dxa"/>
            <w:tcBorders>
              <w:top w:val="single" w:sz="4" w:space="0" w:color="auto"/>
              <w:left w:val="nil"/>
              <w:bottom w:val="single" w:sz="4" w:space="0" w:color="auto"/>
              <w:right w:val="nil"/>
            </w:tcBorders>
            <w:shd w:val="clear" w:color="auto" w:fill="auto"/>
            <w:noWrap/>
            <w:vAlign w:val="bottom"/>
            <w:hideMark/>
          </w:tcPr>
          <w:p w14:paraId="35DCA48D" w14:textId="77777777" w:rsidR="003D4FB7" w:rsidRPr="00AE37A4" w:rsidRDefault="003D4FB7" w:rsidP="00F37498">
            <w:pPr>
              <w:jc w:val="center"/>
              <w:rPr>
                <w:rFonts w:ascii="Calibri" w:eastAsia="Times New Roman" w:hAnsi="Calibri" w:cs="Times New Roman"/>
                <w:b/>
                <w:bCs/>
                <w:color w:val="000000"/>
                <w:sz w:val="22"/>
                <w:szCs w:val="22"/>
              </w:rPr>
            </w:pPr>
            <w:r w:rsidRPr="00AE37A4">
              <w:rPr>
                <w:rFonts w:ascii="Calibri" w:eastAsia="Times New Roman" w:hAnsi="Calibri" w:cs="Times New Roman"/>
                <w:b/>
                <w:bCs/>
                <w:color w:val="000000"/>
                <w:sz w:val="22"/>
                <w:szCs w:val="22"/>
              </w:rPr>
              <w:t>Lat decimal N</w:t>
            </w:r>
          </w:p>
        </w:tc>
        <w:tc>
          <w:tcPr>
            <w:tcW w:w="2480" w:type="dxa"/>
            <w:tcBorders>
              <w:top w:val="single" w:sz="4" w:space="0" w:color="auto"/>
              <w:left w:val="nil"/>
              <w:bottom w:val="single" w:sz="4" w:space="0" w:color="auto"/>
              <w:right w:val="nil"/>
            </w:tcBorders>
            <w:shd w:val="clear" w:color="auto" w:fill="auto"/>
            <w:noWrap/>
            <w:vAlign w:val="bottom"/>
            <w:hideMark/>
          </w:tcPr>
          <w:p w14:paraId="6CA17728" w14:textId="77777777" w:rsidR="003D4FB7" w:rsidRPr="00AE37A4" w:rsidRDefault="003D4FB7" w:rsidP="00F37498">
            <w:pPr>
              <w:jc w:val="center"/>
              <w:rPr>
                <w:rFonts w:ascii="Calibri" w:eastAsia="Times New Roman" w:hAnsi="Calibri" w:cs="Times New Roman"/>
                <w:b/>
                <w:bCs/>
                <w:color w:val="000000"/>
                <w:sz w:val="22"/>
                <w:szCs w:val="22"/>
              </w:rPr>
            </w:pPr>
            <w:r w:rsidRPr="00AE37A4">
              <w:rPr>
                <w:rFonts w:ascii="Calibri" w:eastAsia="Times New Roman" w:hAnsi="Calibri" w:cs="Times New Roman"/>
                <w:b/>
                <w:bCs/>
                <w:color w:val="000000"/>
                <w:sz w:val="22"/>
                <w:szCs w:val="22"/>
              </w:rPr>
              <w:t>Lon decimal W</w:t>
            </w:r>
          </w:p>
        </w:tc>
      </w:tr>
      <w:tr w:rsidR="003D4FB7" w:rsidRPr="00AE37A4" w14:paraId="2CBC17DE" w14:textId="77777777" w:rsidTr="00F37498">
        <w:trPr>
          <w:trHeight w:val="380"/>
        </w:trPr>
        <w:tc>
          <w:tcPr>
            <w:tcW w:w="5720" w:type="dxa"/>
            <w:tcBorders>
              <w:top w:val="nil"/>
              <w:left w:val="single" w:sz="4" w:space="0" w:color="auto"/>
              <w:bottom w:val="nil"/>
              <w:right w:val="nil"/>
            </w:tcBorders>
            <w:shd w:val="clear" w:color="auto" w:fill="auto"/>
            <w:noWrap/>
            <w:vAlign w:val="bottom"/>
          </w:tcPr>
          <w:p w14:paraId="0A7EBD65" w14:textId="77777777" w:rsidR="003D4FB7" w:rsidRPr="00AE37A4" w:rsidRDefault="003D4FB7" w:rsidP="00F37498">
            <w:pP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Sandusky Channel Bells (aka ‘Bells’)</w:t>
            </w:r>
          </w:p>
        </w:tc>
        <w:tc>
          <w:tcPr>
            <w:tcW w:w="2400" w:type="dxa"/>
            <w:tcBorders>
              <w:top w:val="nil"/>
              <w:left w:val="nil"/>
              <w:bottom w:val="nil"/>
              <w:right w:val="nil"/>
            </w:tcBorders>
            <w:shd w:val="clear" w:color="auto" w:fill="auto"/>
            <w:noWrap/>
            <w:vAlign w:val="bottom"/>
          </w:tcPr>
          <w:p w14:paraId="3B34761A" w14:textId="77777777" w:rsidR="003D4FB7" w:rsidRPr="00AE37A4" w:rsidRDefault="003D4FB7" w:rsidP="00F37498">
            <w:pPr>
              <w:jc w:val="cente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41.511667°</w:t>
            </w:r>
          </w:p>
        </w:tc>
        <w:tc>
          <w:tcPr>
            <w:tcW w:w="2480" w:type="dxa"/>
            <w:tcBorders>
              <w:top w:val="nil"/>
              <w:left w:val="nil"/>
              <w:bottom w:val="nil"/>
              <w:right w:val="nil"/>
            </w:tcBorders>
            <w:shd w:val="clear" w:color="auto" w:fill="auto"/>
            <w:noWrap/>
            <w:vAlign w:val="bottom"/>
          </w:tcPr>
          <w:p w14:paraId="66A395F0" w14:textId="77777777" w:rsidR="003D4FB7" w:rsidRPr="00AE37A4" w:rsidRDefault="003D4FB7" w:rsidP="00F37498">
            <w:pPr>
              <w:jc w:val="cente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-82.657967°</w:t>
            </w:r>
          </w:p>
        </w:tc>
      </w:tr>
      <w:tr w:rsidR="003D4FB7" w:rsidRPr="00AE37A4" w14:paraId="43CE90D5" w14:textId="77777777" w:rsidTr="00F37498">
        <w:trPr>
          <w:trHeight w:val="380"/>
        </w:trPr>
        <w:tc>
          <w:tcPr>
            <w:tcW w:w="5720" w:type="dxa"/>
            <w:tcBorders>
              <w:top w:val="nil"/>
              <w:left w:val="single" w:sz="4" w:space="0" w:color="auto"/>
              <w:bottom w:val="nil"/>
              <w:right w:val="nil"/>
            </w:tcBorders>
            <w:shd w:val="clear" w:color="auto" w:fill="auto"/>
            <w:noWrap/>
            <w:vAlign w:val="bottom"/>
            <w:hideMark/>
          </w:tcPr>
          <w:p w14:paraId="46EC66E8" w14:textId="77777777" w:rsidR="003D4FB7" w:rsidRPr="00AE37A4" w:rsidRDefault="003D4FB7" w:rsidP="00F37498">
            <w:pP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Environment Canada Station EC 1163 (or ‘1163’)</w:t>
            </w:r>
          </w:p>
        </w:tc>
        <w:tc>
          <w:tcPr>
            <w:tcW w:w="2400" w:type="dxa"/>
            <w:tcBorders>
              <w:top w:val="nil"/>
              <w:left w:val="nil"/>
              <w:bottom w:val="nil"/>
              <w:right w:val="nil"/>
            </w:tcBorders>
            <w:shd w:val="clear" w:color="auto" w:fill="auto"/>
            <w:noWrap/>
            <w:vAlign w:val="bottom"/>
            <w:hideMark/>
          </w:tcPr>
          <w:p w14:paraId="7634A227" w14:textId="77777777" w:rsidR="003D4FB7" w:rsidRPr="00AE37A4" w:rsidRDefault="003D4FB7" w:rsidP="00F37498">
            <w:pPr>
              <w:jc w:val="cente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41.469000°</w:t>
            </w:r>
          </w:p>
        </w:tc>
        <w:tc>
          <w:tcPr>
            <w:tcW w:w="2480" w:type="dxa"/>
            <w:tcBorders>
              <w:top w:val="nil"/>
              <w:left w:val="nil"/>
              <w:bottom w:val="nil"/>
              <w:right w:val="nil"/>
            </w:tcBorders>
            <w:shd w:val="clear" w:color="auto" w:fill="auto"/>
            <w:noWrap/>
            <w:vAlign w:val="bottom"/>
            <w:hideMark/>
          </w:tcPr>
          <w:p w14:paraId="5C3DA422" w14:textId="77777777" w:rsidR="003D4FB7" w:rsidRPr="00AE37A4" w:rsidRDefault="003D4FB7" w:rsidP="00F37498">
            <w:pPr>
              <w:jc w:val="cente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-82.715000°</w:t>
            </w:r>
          </w:p>
        </w:tc>
      </w:tr>
      <w:tr w:rsidR="003D4FB7" w:rsidRPr="00AE37A4" w14:paraId="37C50A1A" w14:textId="77777777" w:rsidTr="00F37498">
        <w:trPr>
          <w:trHeight w:val="380"/>
        </w:trPr>
        <w:tc>
          <w:tcPr>
            <w:tcW w:w="5720" w:type="dxa"/>
            <w:tcBorders>
              <w:top w:val="nil"/>
              <w:left w:val="single" w:sz="4" w:space="0" w:color="auto"/>
              <w:bottom w:val="nil"/>
              <w:right w:val="nil"/>
            </w:tcBorders>
            <w:shd w:val="clear" w:color="auto" w:fill="auto"/>
            <w:noWrap/>
            <w:vAlign w:val="bottom"/>
            <w:hideMark/>
          </w:tcPr>
          <w:p w14:paraId="6697051B" w14:textId="77777777" w:rsidR="003D4FB7" w:rsidRPr="00AE37A4" w:rsidRDefault="003D4FB7" w:rsidP="00F37498">
            <w:pP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lastRenderedPageBreak/>
              <w:t>ODNR 1</w:t>
            </w:r>
          </w:p>
        </w:tc>
        <w:tc>
          <w:tcPr>
            <w:tcW w:w="2400" w:type="dxa"/>
            <w:tcBorders>
              <w:top w:val="nil"/>
              <w:left w:val="nil"/>
              <w:bottom w:val="nil"/>
              <w:right w:val="nil"/>
            </w:tcBorders>
            <w:shd w:val="clear" w:color="auto" w:fill="auto"/>
            <w:noWrap/>
            <w:vAlign w:val="bottom"/>
            <w:hideMark/>
          </w:tcPr>
          <w:p w14:paraId="4AABD2D2" w14:textId="77777777" w:rsidR="003D4FB7" w:rsidRPr="00AE37A4" w:rsidRDefault="003D4FB7" w:rsidP="00F37498">
            <w:pPr>
              <w:jc w:val="cente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41.477367°</w:t>
            </w:r>
          </w:p>
        </w:tc>
        <w:tc>
          <w:tcPr>
            <w:tcW w:w="2480" w:type="dxa"/>
            <w:tcBorders>
              <w:top w:val="nil"/>
              <w:left w:val="nil"/>
              <w:bottom w:val="nil"/>
              <w:right w:val="nil"/>
            </w:tcBorders>
            <w:shd w:val="clear" w:color="auto" w:fill="auto"/>
            <w:noWrap/>
            <w:vAlign w:val="bottom"/>
            <w:hideMark/>
          </w:tcPr>
          <w:p w14:paraId="3CC39F5A" w14:textId="77777777" w:rsidR="003D4FB7" w:rsidRPr="00AE37A4" w:rsidRDefault="003D4FB7" w:rsidP="00F37498">
            <w:pPr>
              <w:jc w:val="cente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-82.739783°</w:t>
            </w:r>
          </w:p>
        </w:tc>
      </w:tr>
      <w:tr w:rsidR="003D4FB7" w:rsidRPr="00AE37A4" w14:paraId="6DB6F888" w14:textId="77777777" w:rsidTr="00F37498">
        <w:trPr>
          <w:trHeight w:val="380"/>
        </w:trPr>
        <w:tc>
          <w:tcPr>
            <w:tcW w:w="5720" w:type="dxa"/>
            <w:tcBorders>
              <w:top w:val="nil"/>
              <w:left w:val="single" w:sz="4" w:space="0" w:color="auto"/>
              <w:bottom w:val="nil"/>
              <w:right w:val="nil"/>
            </w:tcBorders>
            <w:shd w:val="clear" w:color="auto" w:fill="auto"/>
            <w:noWrap/>
            <w:vAlign w:val="bottom"/>
            <w:hideMark/>
          </w:tcPr>
          <w:p w14:paraId="1D214916" w14:textId="77777777" w:rsidR="003D4FB7" w:rsidRPr="00AE37A4" w:rsidRDefault="003D4FB7" w:rsidP="00F37498">
            <w:pP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Sandusky Buoy 2* (or Buoy 2)</w:t>
            </w:r>
          </w:p>
        </w:tc>
        <w:tc>
          <w:tcPr>
            <w:tcW w:w="2400" w:type="dxa"/>
            <w:tcBorders>
              <w:top w:val="nil"/>
              <w:left w:val="nil"/>
              <w:bottom w:val="nil"/>
              <w:right w:val="nil"/>
            </w:tcBorders>
            <w:shd w:val="clear" w:color="auto" w:fill="auto"/>
            <w:noWrap/>
            <w:vAlign w:val="bottom"/>
            <w:hideMark/>
          </w:tcPr>
          <w:p w14:paraId="20FD88F7" w14:textId="77777777" w:rsidR="003D4FB7" w:rsidRPr="00AE37A4" w:rsidRDefault="003D4FB7" w:rsidP="00F37498">
            <w:pPr>
              <w:jc w:val="cente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41.463222</w:t>
            </w:r>
            <w:r w:rsidRPr="00AE37A4">
              <w:rPr>
                <w:rFonts w:ascii="Calibri" w:eastAsia="Times New Roman" w:hAnsi="Calibri" w:cs="Times New Roman"/>
                <w:color w:val="000000"/>
                <w:sz w:val="22"/>
                <w:szCs w:val="22"/>
                <w:vertAlign w:val="superscript"/>
              </w:rPr>
              <w:t>o</w:t>
            </w:r>
          </w:p>
        </w:tc>
        <w:tc>
          <w:tcPr>
            <w:tcW w:w="2480" w:type="dxa"/>
            <w:tcBorders>
              <w:top w:val="nil"/>
              <w:left w:val="nil"/>
              <w:bottom w:val="nil"/>
              <w:right w:val="nil"/>
            </w:tcBorders>
            <w:shd w:val="clear" w:color="auto" w:fill="auto"/>
            <w:noWrap/>
            <w:vAlign w:val="bottom"/>
            <w:hideMark/>
          </w:tcPr>
          <w:p w14:paraId="397C3982" w14:textId="77777777" w:rsidR="003D4FB7" w:rsidRPr="00AE37A4" w:rsidRDefault="003D4FB7" w:rsidP="00F37498">
            <w:pPr>
              <w:jc w:val="cente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-82.769028</w:t>
            </w:r>
            <w:r w:rsidRPr="00AE37A4">
              <w:rPr>
                <w:rFonts w:ascii="Calibri" w:eastAsia="Times New Roman" w:hAnsi="Calibri" w:cs="Times New Roman"/>
                <w:color w:val="000000"/>
                <w:sz w:val="22"/>
                <w:szCs w:val="22"/>
                <w:vertAlign w:val="superscript"/>
              </w:rPr>
              <w:t>o</w:t>
            </w:r>
          </w:p>
        </w:tc>
      </w:tr>
      <w:tr w:rsidR="003D4FB7" w:rsidRPr="00AE37A4" w14:paraId="2B6B813C" w14:textId="77777777" w:rsidTr="00F37498">
        <w:trPr>
          <w:trHeight w:val="380"/>
        </w:trPr>
        <w:tc>
          <w:tcPr>
            <w:tcW w:w="5720" w:type="dxa"/>
            <w:tcBorders>
              <w:top w:val="nil"/>
              <w:left w:val="single" w:sz="4" w:space="0" w:color="auto"/>
              <w:bottom w:val="nil"/>
              <w:right w:val="nil"/>
            </w:tcBorders>
            <w:shd w:val="clear" w:color="auto" w:fill="auto"/>
            <w:noWrap/>
            <w:vAlign w:val="bottom"/>
          </w:tcPr>
          <w:p w14:paraId="1F695E1D" w14:textId="77777777" w:rsidR="003D4FB7" w:rsidRPr="00AE37A4" w:rsidRDefault="003D4FB7" w:rsidP="00F37498">
            <w:pP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ODNR 2</w:t>
            </w:r>
          </w:p>
        </w:tc>
        <w:tc>
          <w:tcPr>
            <w:tcW w:w="2400" w:type="dxa"/>
            <w:tcBorders>
              <w:top w:val="nil"/>
              <w:left w:val="nil"/>
              <w:bottom w:val="nil"/>
              <w:right w:val="nil"/>
            </w:tcBorders>
            <w:shd w:val="clear" w:color="auto" w:fill="auto"/>
            <w:noWrap/>
            <w:vAlign w:val="bottom"/>
          </w:tcPr>
          <w:p w14:paraId="284C36CF" w14:textId="77777777" w:rsidR="003D4FB7" w:rsidRPr="00AE37A4" w:rsidRDefault="003D4FB7" w:rsidP="00F37498">
            <w:pPr>
              <w:jc w:val="cente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41.479817°</w:t>
            </w:r>
          </w:p>
        </w:tc>
        <w:tc>
          <w:tcPr>
            <w:tcW w:w="2480" w:type="dxa"/>
            <w:tcBorders>
              <w:top w:val="nil"/>
              <w:left w:val="nil"/>
              <w:bottom w:val="nil"/>
              <w:right w:val="nil"/>
            </w:tcBorders>
            <w:shd w:val="clear" w:color="auto" w:fill="auto"/>
            <w:noWrap/>
            <w:vAlign w:val="bottom"/>
          </w:tcPr>
          <w:p w14:paraId="0EDF667D" w14:textId="77777777" w:rsidR="003D4FB7" w:rsidRPr="00AE37A4" w:rsidRDefault="003D4FB7" w:rsidP="00F37498">
            <w:pPr>
              <w:jc w:val="cente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-82.782867°</w:t>
            </w:r>
          </w:p>
        </w:tc>
      </w:tr>
      <w:tr w:rsidR="003D4FB7" w:rsidRPr="00AE37A4" w14:paraId="28A5646D" w14:textId="77777777" w:rsidTr="00F37498">
        <w:trPr>
          <w:trHeight w:val="380"/>
        </w:trPr>
        <w:tc>
          <w:tcPr>
            <w:tcW w:w="5720" w:type="dxa"/>
            <w:tcBorders>
              <w:top w:val="nil"/>
              <w:left w:val="single" w:sz="4" w:space="0" w:color="auto"/>
              <w:bottom w:val="nil"/>
              <w:right w:val="nil"/>
            </w:tcBorders>
            <w:shd w:val="clear" w:color="auto" w:fill="auto"/>
            <w:noWrap/>
            <w:vAlign w:val="bottom"/>
            <w:hideMark/>
          </w:tcPr>
          <w:p w14:paraId="56499AA2" w14:textId="77777777" w:rsidR="003D4FB7" w:rsidRPr="00AE37A4" w:rsidRDefault="003D4FB7" w:rsidP="00F37498">
            <w:pP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ODNR 6</w:t>
            </w:r>
          </w:p>
        </w:tc>
        <w:tc>
          <w:tcPr>
            <w:tcW w:w="2400" w:type="dxa"/>
            <w:tcBorders>
              <w:top w:val="nil"/>
              <w:left w:val="nil"/>
              <w:bottom w:val="nil"/>
              <w:right w:val="nil"/>
            </w:tcBorders>
            <w:shd w:val="clear" w:color="auto" w:fill="auto"/>
            <w:noWrap/>
            <w:vAlign w:val="bottom"/>
            <w:hideMark/>
          </w:tcPr>
          <w:p w14:paraId="60BE2FC3" w14:textId="77777777" w:rsidR="003D4FB7" w:rsidRPr="00AE37A4" w:rsidRDefault="003D4FB7" w:rsidP="00F37498">
            <w:pPr>
              <w:jc w:val="cente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41.457300°</w:t>
            </w:r>
          </w:p>
        </w:tc>
        <w:tc>
          <w:tcPr>
            <w:tcW w:w="2480" w:type="dxa"/>
            <w:tcBorders>
              <w:top w:val="nil"/>
              <w:left w:val="nil"/>
              <w:bottom w:val="nil"/>
              <w:right w:val="nil"/>
            </w:tcBorders>
            <w:shd w:val="clear" w:color="auto" w:fill="auto"/>
            <w:noWrap/>
            <w:vAlign w:val="bottom"/>
            <w:hideMark/>
          </w:tcPr>
          <w:p w14:paraId="7B3B2FCA" w14:textId="77777777" w:rsidR="003D4FB7" w:rsidRPr="00AE37A4" w:rsidRDefault="003D4FB7" w:rsidP="00F37498">
            <w:pPr>
              <w:jc w:val="cente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-82.898655°</w:t>
            </w:r>
          </w:p>
        </w:tc>
      </w:tr>
      <w:tr w:rsidR="003D4FB7" w:rsidRPr="00AE37A4" w14:paraId="5E4737A9" w14:textId="77777777" w:rsidTr="00F37498">
        <w:trPr>
          <w:trHeight w:val="380"/>
        </w:trPr>
        <w:tc>
          <w:tcPr>
            <w:tcW w:w="5720" w:type="dxa"/>
            <w:tcBorders>
              <w:top w:val="nil"/>
              <w:left w:val="single" w:sz="4" w:space="0" w:color="auto"/>
              <w:bottom w:val="nil"/>
              <w:right w:val="nil"/>
            </w:tcBorders>
            <w:shd w:val="clear" w:color="auto" w:fill="auto"/>
            <w:noWrap/>
            <w:vAlign w:val="bottom"/>
            <w:hideMark/>
          </w:tcPr>
          <w:p w14:paraId="6C0A6FCE" w14:textId="77777777" w:rsidR="003D4FB7" w:rsidRPr="00AE37A4" w:rsidRDefault="003D4FB7" w:rsidP="00F37498">
            <w:pPr>
              <w:rPr>
                <w:rFonts w:ascii="Calibri" w:eastAsia="Times New Roman" w:hAnsi="Calibri" w:cs="Times New Roman"/>
                <w:b/>
                <w:bCs/>
                <w:sz w:val="22"/>
                <w:szCs w:val="22"/>
              </w:rPr>
            </w:pPr>
            <w:r w:rsidRPr="00AE37A4">
              <w:rPr>
                <w:rFonts w:ascii="Calibri" w:eastAsia="Times New Roman" w:hAnsi="Calibri" w:cs="Times New Roman"/>
                <w:color w:val="000000"/>
                <w:sz w:val="22"/>
                <w:szCs w:val="22"/>
              </w:rPr>
              <w:t>Edison Bridge* (or ‘Bridge’)</w:t>
            </w:r>
          </w:p>
        </w:tc>
        <w:tc>
          <w:tcPr>
            <w:tcW w:w="2400" w:type="dxa"/>
            <w:tcBorders>
              <w:top w:val="nil"/>
              <w:left w:val="nil"/>
              <w:bottom w:val="nil"/>
              <w:right w:val="nil"/>
            </w:tcBorders>
            <w:shd w:val="clear" w:color="auto" w:fill="auto"/>
            <w:noWrap/>
            <w:vAlign w:val="bottom"/>
            <w:hideMark/>
          </w:tcPr>
          <w:p w14:paraId="6770133E" w14:textId="77777777" w:rsidR="003D4FB7" w:rsidRPr="00AE37A4" w:rsidRDefault="003D4FB7" w:rsidP="00F37498">
            <w:pPr>
              <w:jc w:val="center"/>
              <w:rPr>
                <w:rFonts w:ascii="Calibri" w:eastAsia="Times New Roman" w:hAnsi="Calibri" w:cs="Times New Roman"/>
                <w:b/>
                <w:bCs/>
                <w:sz w:val="22"/>
                <w:szCs w:val="22"/>
              </w:rPr>
            </w:pPr>
            <w:r w:rsidRPr="00AE37A4">
              <w:rPr>
                <w:rFonts w:ascii="Calibri" w:eastAsia="Times New Roman" w:hAnsi="Calibri" w:cs="Times New Roman"/>
                <w:color w:val="000000"/>
                <w:sz w:val="22"/>
                <w:szCs w:val="22"/>
              </w:rPr>
              <w:t>41.480156</w:t>
            </w:r>
            <w:r w:rsidRPr="00AE37A4">
              <w:rPr>
                <w:rFonts w:ascii="Calibri" w:eastAsia="Times New Roman" w:hAnsi="Calibri" w:cs="Times New Roman"/>
                <w:color w:val="000000"/>
                <w:sz w:val="22"/>
                <w:szCs w:val="22"/>
                <w:vertAlign w:val="superscript"/>
              </w:rPr>
              <w:t>o</w:t>
            </w:r>
          </w:p>
        </w:tc>
        <w:tc>
          <w:tcPr>
            <w:tcW w:w="2480" w:type="dxa"/>
            <w:tcBorders>
              <w:top w:val="nil"/>
              <w:left w:val="nil"/>
              <w:bottom w:val="nil"/>
              <w:right w:val="nil"/>
            </w:tcBorders>
            <w:shd w:val="clear" w:color="auto" w:fill="auto"/>
            <w:noWrap/>
            <w:vAlign w:val="bottom"/>
            <w:hideMark/>
          </w:tcPr>
          <w:p w14:paraId="519F1075" w14:textId="77777777" w:rsidR="003D4FB7" w:rsidRPr="00AE37A4" w:rsidRDefault="003D4FB7" w:rsidP="00F37498">
            <w:pPr>
              <w:jc w:val="center"/>
              <w:rPr>
                <w:rFonts w:ascii="Calibri" w:eastAsia="Times New Roman" w:hAnsi="Calibri" w:cs="Times New Roman"/>
                <w:b/>
                <w:bCs/>
                <w:sz w:val="22"/>
                <w:szCs w:val="22"/>
              </w:rPr>
            </w:pPr>
            <w:r w:rsidRPr="00AE37A4">
              <w:rPr>
                <w:rFonts w:ascii="Calibri" w:eastAsia="Times New Roman" w:hAnsi="Calibri" w:cs="Times New Roman"/>
                <w:color w:val="000000"/>
                <w:sz w:val="22"/>
                <w:szCs w:val="22"/>
              </w:rPr>
              <w:t>-82.834328</w:t>
            </w:r>
            <w:r w:rsidRPr="00AE37A4">
              <w:rPr>
                <w:rFonts w:ascii="Calibri" w:eastAsia="Times New Roman" w:hAnsi="Calibri" w:cs="Times New Roman"/>
                <w:color w:val="000000"/>
                <w:sz w:val="22"/>
                <w:szCs w:val="22"/>
                <w:vertAlign w:val="superscript"/>
              </w:rPr>
              <w:t>o</w:t>
            </w:r>
          </w:p>
        </w:tc>
      </w:tr>
      <w:tr w:rsidR="003D4FB7" w:rsidRPr="00AE37A4" w14:paraId="4B518BBD" w14:textId="77777777" w:rsidTr="00F37498">
        <w:trPr>
          <w:trHeight w:val="380"/>
        </w:trPr>
        <w:tc>
          <w:tcPr>
            <w:tcW w:w="5720" w:type="dxa"/>
            <w:tcBorders>
              <w:top w:val="nil"/>
              <w:left w:val="single" w:sz="4" w:space="0" w:color="auto"/>
              <w:bottom w:val="single" w:sz="4" w:space="0" w:color="auto"/>
              <w:right w:val="nil"/>
            </w:tcBorders>
            <w:shd w:val="clear" w:color="auto" w:fill="auto"/>
            <w:noWrap/>
            <w:vAlign w:val="bottom"/>
          </w:tcPr>
          <w:p w14:paraId="6D2F4275" w14:textId="77777777" w:rsidR="003D4FB7" w:rsidRPr="00AE37A4" w:rsidRDefault="003D4FB7" w:rsidP="00F37498">
            <w:pP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ODNR 4</w:t>
            </w:r>
          </w:p>
        </w:tc>
        <w:tc>
          <w:tcPr>
            <w:tcW w:w="2400" w:type="dxa"/>
            <w:tcBorders>
              <w:top w:val="nil"/>
              <w:left w:val="nil"/>
              <w:bottom w:val="single" w:sz="4" w:space="0" w:color="auto"/>
              <w:right w:val="nil"/>
            </w:tcBorders>
            <w:shd w:val="clear" w:color="auto" w:fill="auto"/>
            <w:noWrap/>
            <w:vAlign w:val="bottom"/>
          </w:tcPr>
          <w:p w14:paraId="49156A34" w14:textId="77777777" w:rsidR="003D4FB7" w:rsidRPr="00AE37A4" w:rsidRDefault="003D4FB7" w:rsidP="00F37498">
            <w:pPr>
              <w:jc w:val="cente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41.453333°</w:t>
            </w:r>
          </w:p>
        </w:tc>
        <w:tc>
          <w:tcPr>
            <w:tcW w:w="2480" w:type="dxa"/>
            <w:tcBorders>
              <w:top w:val="nil"/>
              <w:left w:val="nil"/>
              <w:bottom w:val="single" w:sz="4" w:space="0" w:color="auto"/>
              <w:right w:val="nil"/>
            </w:tcBorders>
            <w:shd w:val="clear" w:color="auto" w:fill="auto"/>
            <w:noWrap/>
            <w:vAlign w:val="bottom"/>
          </w:tcPr>
          <w:p w14:paraId="559835B7" w14:textId="77777777" w:rsidR="003D4FB7" w:rsidRPr="00AE37A4" w:rsidRDefault="003D4FB7" w:rsidP="00F37498">
            <w:pPr>
              <w:jc w:val="cente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-82.960767°</w:t>
            </w:r>
          </w:p>
        </w:tc>
      </w:tr>
      <w:tr w:rsidR="003D4FB7" w:rsidRPr="00AE37A4" w14:paraId="35A7696A" w14:textId="77777777" w:rsidTr="00F37498">
        <w:trPr>
          <w:trHeight w:val="333"/>
        </w:trPr>
        <w:tc>
          <w:tcPr>
            <w:tcW w:w="5720" w:type="dxa"/>
            <w:tcBorders>
              <w:top w:val="nil"/>
              <w:left w:val="nil"/>
              <w:bottom w:val="nil"/>
              <w:right w:val="nil"/>
            </w:tcBorders>
            <w:shd w:val="clear" w:color="auto" w:fill="auto"/>
            <w:noWrap/>
            <w:vAlign w:val="bottom"/>
            <w:hideMark/>
          </w:tcPr>
          <w:p w14:paraId="126ABED5" w14:textId="77777777" w:rsidR="003D4FB7" w:rsidRPr="00AE37A4" w:rsidRDefault="003D4FB7" w:rsidP="00F37498">
            <w:pP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Muddy Creek</w:t>
            </w:r>
            <w:r w:rsidRPr="00AE37A4">
              <w:rPr>
                <w:rFonts w:ascii="Calibri" w:eastAsia="Times New Roman" w:hAnsi="Calibri" w:cs="Times New Roman"/>
                <w:color w:val="000000"/>
                <w:sz w:val="22"/>
                <w:szCs w:val="22"/>
                <w:vertAlign w:val="superscript"/>
              </w:rPr>
              <w:t>#</w:t>
            </w:r>
          </w:p>
        </w:tc>
        <w:tc>
          <w:tcPr>
            <w:tcW w:w="2400" w:type="dxa"/>
            <w:tcBorders>
              <w:top w:val="nil"/>
              <w:left w:val="nil"/>
              <w:bottom w:val="nil"/>
              <w:right w:val="nil"/>
            </w:tcBorders>
            <w:shd w:val="clear" w:color="auto" w:fill="auto"/>
            <w:noWrap/>
            <w:vAlign w:val="bottom"/>
            <w:hideMark/>
          </w:tcPr>
          <w:p w14:paraId="2427BDCF" w14:textId="77777777" w:rsidR="003D4FB7" w:rsidRPr="00AE37A4" w:rsidRDefault="003D4FB7" w:rsidP="00F37498">
            <w:pPr>
              <w:jc w:val="cente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41.4561</w:t>
            </w:r>
            <w:r w:rsidRPr="00AE37A4">
              <w:rPr>
                <w:rFonts w:ascii="Calibri" w:eastAsia="Times New Roman" w:hAnsi="Calibri" w:cs="Times New Roman"/>
                <w:color w:val="000000"/>
                <w:sz w:val="22"/>
                <w:szCs w:val="22"/>
                <w:vertAlign w:val="superscript"/>
              </w:rPr>
              <w:t>o</w:t>
            </w:r>
          </w:p>
        </w:tc>
        <w:tc>
          <w:tcPr>
            <w:tcW w:w="2480" w:type="dxa"/>
            <w:tcBorders>
              <w:top w:val="nil"/>
              <w:left w:val="nil"/>
              <w:bottom w:val="nil"/>
              <w:right w:val="nil"/>
            </w:tcBorders>
            <w:shd w:val="clear" w:color="auto" w:fill="auto"/>
            <w:noWrap/>
            <w:vAlign w:val="bottom"/>
            <w:hideMark/>
          </w:tcPr>
          <w:p w14:paraId="23A96C2B" w14:textId="77777777" w:rsidR="003D4FB7" w:rsidRPr="00AE37A4" w:rsidRDefault="003D4FB7" w:rsidP="00F37498">
            <w:pPr>
              <w:jc w:val="center"/>
              <w:rPr>
                <w:rFonts w:ascii="Calibri" w:eastAsia="Times New Roman" w:hAnsi="Calibri" w:cs="Times New Roman"/>
                <w:color w:val="000000"/>
                <w:sz w:val="22"/>
                <w:szCs w:val="22"/>
              </w:rPr>
            </w:pPr>
            <w:r w:rsidRPr="00AE37A4">
              <w:rPr>
                <w:rFonts w:ascii="Calibri" w:eastAsia="Times New Roman" w:hAnsi="Calibri" w:cs="Times New Roman"/>
                <w:color w:val="000000"/>
                <w:sz w:val="22"/>
                <w:szCs w:val="22"/>
              </w:rPr>
              <w:t>-83.007133</w:t>
            </w:r>
            <w:r w:rsidRPr="00AE37A4">
              <w:rPr>
                <w:rFonts w:ascii="Calibri" w:eastAsia="Times New Roman" w:hAnsi="Calibri" w:cs="Times New Roman"/>
                <w:color w:val="000000"/>
                <w:sz w:val="22"/>
                <w:szCs w:val="22"/>
                <w:vertAlign w:val="superscript"/>
              </w:rPr>
              <w:t>o</w:t>
            </w:r>
          </w:p>
        </w:tc>
      </w:tr>
    </w:tbl>
    <w:p w14:paraId="7283DF65" w14:textId="77777777" w:rsidR="003D4FB7" w:rsidRDefault="003D4FB7" w:rsidP="009A1DE8"/>
    <w:p w14:paraId="481E285E" w14:textId="77777777" w:rsidR="003D4FB7" w:rsidRDefault="00993E18" w:rsidP="009A1DE8">
      <w:r>
        <w:t>We are currently completing all the analyses of grab samples</w:t>
      </w:r>
      <w:r w:rsidR="00436723">
        <w:t>,</w:t>
      </w:r>
      <w:r>
        <w:t xml:space="preserve"> and all data when they are available can be found in the folder named ‘Sandusky Bay 2019’ in Google Drive:</w:t>
      </w:r>
    </w:p>
    <w:p w14:paraId="47FF6F98" w14:textId="77777777" w:rsidR="00993E18" w:rsidRDefault="00993E18" w:rsidP="009A1DE8"/>
    <w:p w14:paraId="2D690511" w14:textId="77777777" w:rsidR="00993E18" w:rsidRPr="00993E18" w:rsidRDefault="005D6CE3" w:rsidP="00993E18">
      <w:pPr>
        <w:rPr>
          <w:rFonts w:eastAsia="Times New Roman" w:cstheme="minorHAnsi"/>
        </w:rPr>
      </w:pPr>
      <w:hyperlink r:id="rId8" w:history="1">
        <w:r w:rsidR="00993E18" w:rsidRPr="00993E18">
          <w:rPr>
            <w:rFonts w:eastAsia="Times New Roman" w:cstheme="minorHAnsi"/>
            <w:color w:val="0000FF"/>
            <w:u w:val="single"/>
          </w:rPr>
          <w:t>https://drive.google.com/drive/folders/0B8ktYgbIaZWIM3hNOG56enlkZUU</w:t>
        </w:r>
      </w:hyperlink>
    </w:p>
    <w:p w14:paraId="30F437C4" w14:textId="77777777" w:rsidR="00993E18" w:rsidRDefault="00993E18" w:rsidP="009A1DE8"/>
    <w:p w14:paraId="240C24D5" w14:textId="77777777" w:rsidR="00993E18" w:rsidRDefault="00993E18" w:rsidP="009A1DE8">
      <w:r>
        <w:t>The nutrient analyzer data clearly show the typical summertime trend of nitrogen depletion due to sedimentary denitrification as documented in Salk et al. (2018)</w:t>
      </w:r>
      <w:r w:rsidR="00436723">
        <w:t xml:space="preserve">.  The abundance of data points combined with flow velocities measured by the ADCP will allow the calculation of total N losses and Bay-wide denitrification rates during the bloom season.  </w:t>
      </w:r>
      <w:r w:rsidR="00AE37A4">
        <w:t xml:space="preserve">At the same time, consistent low levels of phosphate were measured throughout the summer, suggesting internal loading of P from the sediments. </w:t>
      </w:r>
      <w:proofErr w:type="spellStart"/>
      <w:r w:rsidR="00436723">
        <w:t>Microcystin</w:t>
      </w:r>
      <w:proofErr w:type="spellEnd"/>
      <w:r w:rsidR="00436723">
        <w:t xml:space="preserve"> toxin levels followed a trend of high springtime values at or above the Ohio EPA contact advisory (peaking above 20 ppb) to below 2 ppb by September.  As typical for most years, the </w:t>
      </w:r>
      <w:proofErr w:type="spellStart"/>
      <w:r w:rsidR="00436723" w:rsidRPr="00436723">
        <w:rPr>
          <w:i/>
        </w:rPr>
        <w:t>Planktothrix</w:t>
      </w:r>
      <w:proofErr w:type="spellEnd"/>
      <w:r w:rsidR="00436723" w:rsidRPr="00436723">
        <w:rPr>
          <w:i/>
        </w:rPr>
        <w:t xml:space="preserve"> </w:t>
      </w:r>
      <w:proofErr w:type="spellStart"/>
      <w:r w:rsidR="00436723" w:rsidRPr="00436723">
        <w:rPr>
          <w:i/>
        </w:rPr>
        <w:t>agardhii</w:t>
      </w:r>
      <w:proofErr w:type="spellEnd"/>
      <w:r w:rsidR="00436723" w:rsidRPr="00436723">
        <w:rPr>
          <w:i/>
        </w:rPr>
        <w:t xml:space="preserve"> </w:t>
      </w:r>
      <w:r w:rsidR="00436723">
        <w:t xml:space="preserve">bloom was evident from late May into October, persisting well after the 2019 </w:t>
      </w:r>
      <w:proofErr w:type="spellStart"/>
      <w:r w:rsidR="00436723" w:rsidRPr="00436723">
        <w:rPr>
          <w:i/>
        </w:rPr>
        <w:t>Microcystis</w:t>
      </w:r>
      <w:proofErr w:type="spellEnd"/>
      <w:r w:rsidR="00436723">
        <w:t xml:space="preserve"> bloom had declined in the open waters of Lake Erie.</w:t>
      </w:r>
    </w:p>
    <w:p w14:paraId="00EDD5ED" w14:textId="77777777" w:rsidR="00436723" w:rsidRDefault="00436723" w:rsidP="009A1DE8"/>
    <w:p w14:paraId="3F3490B5" w14:textId="77777777" w:rsidR="00436723" w:rsidRDefault="00436723" w:rsidP="009A1DE8">
      <w:r>
        <w:t xml:space="preserve">Due to a lack of sustained wind events </w:t>
      </w:r>
      <w:r w:rsidR="00840CAC">
        <w:t xml:space="preserve">(24 h of 20 </w:t>
      </w:r>
      <w:proofErr w:type="spellStart"/>
      <w:r w:rsidR="00840CAC">
        <w:t>kts</w:t>
      </w:r>
      <w:proofErr w:type="spellEnd"/>
      <w:r w:rsidR="00840CAC">
        <w:t xml:space="preserve">.) </w:t>
      </w:r>
      <w:r>
        <w:t xml:space="preserve">during late summer 2019, we are to date unable to document whether wind-mediated resuspension of sediments contributes to increased nitrate or phosphate </w:t>
      </w:r>
      <w:r w:rsidR="00840CAC">
        <w:t>in the water column.  The nutrient analyzer will be deployed until late October, so perhaps a wind event will arise to help answer this question.</w:t>
      </w:r>
    </w:p>
    <w:p w14:paraId="5EA03EA7" w14:textId="77777777" w:rsidR="00993E18" w:rsidRDefault="00993E18" w:rsidP="009A1DE8"/>
    <w:p w14:paraId="44907C3C" w14:textId="77777777" w:rsidR="00436723" w:rsidRPr="00436723" w:rsidRDefault="00436723" w:rsidP="00AE37A4">
      <w:pPr>
        <w:ind w:left="360"/>
        <w:rPr>
          <w:rFonts w:cstheme="minorHAnsi"/>
        </w:rPr>
      </w:pPr>
      <w:r w:rsidRPr="00436723">
        <w:rPr>
          <w:rFonts w:cstheme="minorHAnsi"/>
          <w:color w:val="000000"/>
          <w:sz w:val="22"/>
          <w:szCs w:val="22"/>
          <w:shd w:val="clear" w:color="auto" w:fill="FFFFFF"/>
        </w:rPr>
        <w:t xml:space="preserve">Salk, K. R., G.S. </w:t>
      </w:r>
      <w:proofErr w:type="spellStart"/>
      <w:r w:rsidRPr="00436723">
        <w:rPr>
          <w:rFonts w:cstheme="minorHAnsi"/>
          <w:color w:val="000000"/>
          <w:sz w:val="22"/>
          <w:szCs w:val="22"/>
          <w:shd w:val="clear" w:color="auto" w:fill="FFFFFF"/>
        </w:rPr>
        <w:t>Bullerjahn</w:t>
      </w:r>
      <w:proofErr w:type="spellEnd"/>
      <w:r w:rsidRPr="00436723">
        <w:rPr>
          <w:rFonts w:cstheme="minorHAnsi"/>
          <w:color w:val="000000"/>
          <w:sz w:val="22"/>
          <w:szCs w:val="22"/>
          <w:shd w:val="clear" w:color="auto" w:fill="FFFFFF"/>
        </w:rPr>
        <w:t xml:space="preserve">, R.M.L. McKay, J.D. Chaffin, and N.E. Ostrom. 2018. Nitrogen cycling in Sandusky Bay, Lake Erie: Oscillations between strong and weak export and implications for harmful algal blooms, </w:t>
      </w:r>
      <w:proofErr w:type="spellStart"/>
      <w:r w:rsidRPr="00436723">
        <w:rPr>
          <w:rFonts w:cstheme="minorHAnsi"/>
          <w:color w:val="000000"/>
          <w:sz w:val="22"/>
          <w:szCs w:val="22"/>
          <w:shd w:val="clear" w:color="auto" w:fill="FFFFFF"/>
        </w:rPr>
        <w:t>Biogeosciences</w:t>
      </w:r>
      <w:proofErr w:type="spellEnd"/>
      <w:r w:rsidRPr="00436723">
        <w:rPr>
          <w:rFonts w:cstheme="minorHAnsi"/>
          <w:color w:val="000000"/>
          <w:sz w:val="22"/>
          <w:szCs w:val="22"/>
          <w:shd w:val="clear" w:color="auto" w:fill="FFFFFF"/>
        </w:rPr>
        <w:t xml:space="preserve"> </w:t>
      </w:r>
      <w:r w:rsidRPr="00436723">
        <w:rPr>
          <w:rFonts w:cstheme="minorHAnsi"/>
          <w:sz w:val="22"/>
          <w:szCs w:val="22"/>
        </w:rPr>
        <w:t>15: 2891–2907</w:t>
      </w:r>
      <w:r w:rsidRPr="00436723">
        <w:rPr>
          <w:rFonts w:cstheme="minorHAnsi"/>
          <w:color w:val="000000"/>
          <w:sz w:val="22"/>
          <w:szCs w:val="22"/>
          <w:shd w:val="clear" w:color="auto" w:fill="FFFFFF"/>
        </w:rPr>
        <w:t>.</w:t>
      </w:r>
    </w:p>
    <w:p w14:paraId="75FAF564" w14:textId="77777777" w:rsidR="00436723" w:rsidRDefault="00436723" w:rsidP="009A1DE8"/>
    <w:p w14:paraId="37A4F73D" w14:textId="77777777" w:rsidR="009A1DE8" w:rsidRPr="00070BA8" w:rsidRDefault="009A1DE8" w:rsidP="009A1DE8">
      <w:pPr>
        <w:rPr>
          <w:b/>
        </w:rPr>
      </w:pPr>
      <w:r w:rsidRPr="00070BA8">
        <w:rPr>
          <w:b/>
        </w:rPr>
        <w:t>B.  Summary</w:t>
      </w:r>
    </w:p>
    <w:p w14:paraId="4EADA704" w14:textId="77777777" w:rsidR="00AE37A4" w:rsidRDefault="00AE37A4" w:rsidP="009A1DE8"/>
    <w:p w14:paraId="76ED25B5" w14:textId="77777777" w:rsidR="00436723" w:rsidRDefault="00436723" w:rsidP="009A1DE8">
      <w:r>
        <w:t xml:space="preserve">BGSU: As indicated above, </w:t>
      </w:r>
      <w:r w:rsidR="00AE37A4">
        <w:t xml:space="preserve">summertime denitrification once again occurred during July and August 2019, yielding nitrate values below detection. Consistent detection of phosphate throughout the bloom season provided evidence of internal loading of phosphorus in the system.  The </w:t>
      </w:r>
      <w:proofErr w:type="spellStart"/>
      <w:r w:rsidR="00AE37A4" w:rsidRPr="00AE37A4">
        <w:rPr>
          <w:i/>
        </w:rPr>
        <w:t>Planktothrix</w:t>
      </w:r>
      <w:proofErr w:type="spellEnd"/>
      <w:r w:rsidR="00AE37A4">
        <w:t xml:space="preserve"> bloom has been shown to persist in a low dissolved N:P environment, likely due to accumulation of N-rich storage polymers (</w:t>
      </w:r>
      <w:proofErr w:type="spellStart"/>
      <w:r w:rsidR="00AE37A4">
        <w:t>cyanophycin</w:t>
      </w:r>
      <w:proofErr w:type="spellEnd"/>
      <w:r w:rsidR="00AE37A4">
        <w:t xml:space="preserve">) and the ability of </w:t>
      </w:r>
      <w:proofErr w:type="spellStart"/>
      <w:r w:rsidR="00AE37A4" w:rsidRPr="005D6CE3">
        <w:rPr>
          <w:i/>
        </w:rPr>
        <w:t>Planktothrix</w:t>
      </w:r>
      <w:proofErr w:type="spellEnd"/>
      <w:r w:rsidR="00AE37A4">
        <w:t xml:space="preserve"> to effectively scavenge regenerated ammonium (Hampel et al. 2019).</w:t>
      </w:r>
    </w:p>
    <w:p w14:paraId="02CC881E" w14:textId="77777777" w:rsidR="00AE37A4" w:rsidRDefault="00AE37A4" w:rsidP="009A1DE8">
      <w:bookmarkStart w:id="0" w:name="_GoBack"/>
      <w:bookmarkEnd w:id="0"/>
    </w:p>
    <w:p w14:paraId="7B8EA802" w14:textId="77777777" w:rsidR="00AE37A4" w:rsidRPr="00AE37A4" w:rsidRDefault="00AE37A4" w:rsidP="00AE37A4">
      <w:pPr>
        <w:ind w:left="360"/>
        <w:rPr>
          <w:rFonts w:cstheme="minorHAnsi"/>
        </w:rPr>
      </w:pPr>
      <w:r w:rsidRPr="00AE37A4">
        <w:rPr>
          <w:rFonts w:cstheme="minorHAnsi"/>
          <w:sz w:val="22"/>
          <w:szCs w:val="22"/>
        </w:rPr>
        <w:lastRenderedPageBreak/>
        <w:t xml:space="preserve">Hampel, J., M.J. McCarthy, M. </w:t>
      </w:r>
      <w:proofErr w:type="spellStart"/>
      <w:r w:rsidRPr="00AE37A4">
        <w:rPr>
          <w:rFonts w:cstheme="minorHAnsi"/>
          <w:sz w:val="22"/>
          <w:szCs w:val="22"/>
        </w:rPr>
        <w:t>Neudeck</w:t>
      </w:r>
      <w:proofErr w:type="spellEnd"/>
      <w:r w:rsidRPr="00AE37A4">
        <w:rPr>
          <w:rFonts w:cstheme="minorHAnsi"/>
          <w:sz w:val="22"/>
          <w:szCs w:val="22"/>
        </w:rPr>
        <w:t xml:space="preserve">, G.S. </w:t>
      </w:r>
      <w:proofErr w:type="spellStart"/>
      <w:r w:rsidRPr="00AE37A4">
        <w:rPr>
          <w:rFonts w:cstheme="minorHAnsi"/>
          <w:sz w:val="22"/>
          <w:szCs w:val="22"/>
        </w:rPr>
        <w:t>Bullerjahn</w:t>
      </w:r>
      <w:proofErr w:type="spellEnd"/>
      <w:r w:rsidRPr="00AE37A4">
        <w:rPr>
          <w:rFonts w:cstheme="minorHAnsi"/>
          <w:sz w:val="22"/>
          <w:szCs w:val="22"/>
        </w:rPr>
        <w:t xml:space="preserve">, R.M. McKay and S.E. Newell. 2019. Ammonium recycling supports toxic </w:t>
      </w:r>
      <w:proofErr w:type="spellStart"/>
      <w:r w:rsidRPr="00AE37A4">
        <w:rPr>
          <w:rFonts w:cstheme="minorHAnsi"/>
          <w:i/>
          <w:sz w:val="22"/>
          <w:szCs w:val="22"/>
        </w:rPr>
        <w:t>Planktothrix</w:t>
      </w:r>
      <w:proofErr w:type="spellEnd"/>
      <w:r w:rsidRPr="00AE37A4">
        <w:rPr>
          <w:rFonts w:cstheme="minorHAnsi"/>
          <w:sz w:val="22"/>
          <w:szCs w:val="22"/>
        </w:rPr>
        <w:t xml:space="preserve"> blooms in Sandusky Bay, Lake Erie: evidence from stable isotope and </w:t>
      </w:r>
      <w:proofErr w:type="spellStart"/>
      <w:r w:rsidRPr="00AE37A4">
        <w:rPr>
          <w:rFonts w:cstheme="minorHAnsi"/>
          <w:sz w:val="22"/>
          <w:szCs w:val="22"/>
        </w:rPr>
        <w:t>metatranscriptome</w:t>
      </w:r>
      <w:proofErr w:type="spellEnd"/>
      <w:r w:rsidRPr="00AE37A4">
        <w:rPr>
          <w:rFonts w:cstheme="minorHAnsi"/>
          <w:sz w:val="22"/>
          <w:szCs w:val="22"/>
        </w:rPr>
        <w:t xml:space="preserve"> data.  Harmful Algae 81: 42-52.</w:t>
      </w:r>
    </w:p>
    <w:sectPr w:rsidR="00AE37A4" w:rsidRPr="00AE37A4" w:rsidSect="00AB1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E8"/>
    <w:rsid w:val="00070BA8"/>
    <w:rsid w:val="002739FC"/>
    <w:rsid w:val="00387A8F"/>
    <w:rsid w:val="003D4FB7"/>
    <w:rsid w:val="00436723"/>
    <w:rsid w:val="005D6CE3"/>
    <w:rsid w:val="00840CAC"/>
    <w:rsid w:val="00993E18"/>
    <w:rsid w:val="009A1DE8"/>
    <w:rsid w:val="00AB1FC5"/>
    <w:rsid w:val="00AE37A4"/>
    <w:rsid w:val="00C25FB1"/>
    <w:rsid w:val="00D16B98"/>
    <w:rsid w:val="00E22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016E"/>
  <w15:chartTrackingRefBased/>
  <w15:docId w15:val="{A0D0BFFA-3A9A-D84A-8A1C-74EA7034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B98"/>
    <w:rPr>
      <w:color w:val="0000FF"/>
      <w:u w:val="single"/>
    </w:rPr>
  </w:style>
  <w:style w:type="character" w:styleId="UnresolvedMention">
    <w:name w:val="Unresolved Mention"/>
    <w:basedOn w:val="DefaultParagraphFont"/>
    <w:uiPriority w:val="99"/>
    <w:rsid w:val="00D16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235274">
      <w:bodyDiv w:val="1"/>
      <w:marLeft w:val="0"/>
      <w:marRight w:val="0"/>
      <w:marTop w:val="0"/>
      <w:marBottom w:val="0"/>
      <w:divBdr>
        <w:top w:val="none" w:sz="0" w:space="0" w:color="auto"/>
        <w:left w:val="none" w:sz="0" w:space="0" w:color="auto"/>
        <w:bottom w:val="none" w:sz="0" w:space="0" w:color="auto"/>
        <w:right w:val="none" w:sz="0" w:space="0" w:color="auto"/>
      </w:divBdr>
    </w:div>
    <w:div w:id="344285521">
      <w:bodyDiv w:val="1"/>
      <w:marLeft w:val="0"/>
      <w:marRight w:val="0"/>
      <w:marTop w:val="0"/>
      <w:marBottom w:val="0"/>
      <w:divBdr>
        <w:top w:val="none" w:sz="0" w:space="0" w:color="auto"/>
        <w:left w:val="none" w:sz="0" w:space="0" w:color="auto"/>
        <w:bottom w:val="none" w:sz="0" w:space="0" w:color="auto"/>
        <w:right w:val="none" w:sz="0" w:space="0" w:color="auto"/>
      </w:divBdr>
    </w:div>
    <w:div w:id="763384036">
      <w:bodyDiv w:val="1"/>
      <w:marLeft w:val="0"/>
      <w:marRight w:val="0"/>
      <w:marTop w:val="0"/>
      <w:marBottom w:val="0"/>
      <w:divBdr>
        <w:top w:val="none" w:sz="0" w:space="0" w:color="auto"/>
        <w:left w:val="none" w:sz="0" w:space="0" w:color="auto"/>
        <w:bottom w:val="none" w:sz="0" w:space="0" w:color="auto"/>
        <w:right w:val="none" w:sz="0" w:space="0" w:color="auto"/>
      </w:divBdr>
    </w:div>
    <w:div w:id="947272961">
      <w:bodyDiv w:val="1"/>
      <w:marLeft w:val="0"/>
      <w:marRight w:val="0"/>
      <w:marTop w:val="0"/>
      <w:marBottom w:val="0"/>
      <w:divBdr>
        <w:top w:val="none" w:sz="0" w:space="0" w:color="auto"/>
        <w:left w:val="none" w:sz="0" w:space="0" w:color="auto"/>
        <w:bottom w:val="none" w:sz="0" w:space="0" w:color="auto"/>
        <w:right w:val="none" w:sz="0" w:space="0" w:color="auto"/>
      </w:divBdr>
    </w:div>
    <w:div w:id="1542285786">
      <w:bodyDiv w:val="1"/>
      <w:marLeft w:val="0"/>
      <w:marRight w:val="0"/>
      <w:marTop w:val="0"/>
      <w:marBottom w:val="0"/>
      <w:divBdr>
        <w:top w:val="none" w:sz="0" w:space="0" w:color="auto"/>
        <w:left w:val="none" w:sz="0" w:space="0" w:color="auto"/>
        <w:bottom w:val="none" w:sz="0" w:space="0" w:color="auto"/>
        <w:right w:val="none" w:sz="0" w:space="0" w:color="auto"/>
      </w:divBdr>
    </w:div>
    <w:div w:id="1705248641">
      <w:bodyDiv w:val="1"/>
      <w:marLeft w:val="0"/>
      <w:marRight w:val="0"/>
      <w:marTop w:val="0"/>
      <w:marBottom w:val="0"/>
      <w:divBdr>
        <w:top w:val="none" w:sz="0" w:space="0" w:color="auto"/>
        <w:left w:val="none" w:sz="0" w:space="0" w:color="auto"/>
        <w:bottom w:val="none" w:sz="0" w:space="0" w:color="auto"/>
        <w:right w:val="none" w:sz="0" w:space="0" w:color="auto"/>
      </w:divBdr>
    </w:div>
    <w:div w:id="205962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0B8ktYgbIaZWIM3hNOG56enlkZUU" TargetMode="External"/><Relationship Id="rId3" Type="http://schemas.openxmlformats.org/officeDocument/2006/relationships/webSettings" Target="webSettings.xml"/><Relationship Id="rId7" Type="http://schemas.openxmlformats.org/officeDocument/2006/relationships/hyperlink" Target="http://limnotechdata.com/nulab/sandusky_ba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lbuoys.glos.us/sbedison" TargetMode="External"/><Relationship Id="rId5" Type="http://schemas.openxmlformats.org/officeDocument/2006/relationships/hyperlink" Target="https://glbuoys.glos.us/lebiww" TargetMode="External"/><Relationship Id="rId10" Type="http://schemas.openxmlformats.org/officeDocument/2006/relationships/theme" Target="theme/theme1.xml"/><Relationship Id="rId4" Type="http://schemas.openxmlformats.org/officeDocument/2006/relationships/hyperlink" Target="https://glbuoys.glos.us/bgsusd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 Bullerjahn</dc:creator>
  <cp:keywords/>
  <dc:description/>
  <cp:lastModifiedBy>George S Bullerjahn</cp:lastModifiedBy>
  <cp:revision>5</cp:revision>
  <dcterms:created xsi:type="dcterms:W3CDTF">2019-10-03T18:07:00Z</dcterms:created>
  <dcterms:modified xsi:type="dcterms:W3CDTF">2019-10-03T19:19:00Z</dcterms:modified>
</cp:coreProperties>
</file>