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0"/>
      </w:pPr>
      <w:r>
        <w:t xml:space="preserve"/>
      </w:r>
    </w:p>
    <w:p>
      <w:pPr>
        <w:spacing w:before="0" w:after="300"/>
        <w:jc w:val="center"/>
      </w:pPr>
      <w:r>
        <w:rPr>
          <w:rFonts w:ascii="Arial" w:cs="Arial" w:eastAsia="Arial" w:hAnsi="Arial"/>
          <w:b/>
          <w:bCs/>
          <w:color w:val="0D47A1"/>
          <w:sz w:val="60"/>
          <w:szCs w:val="60"/>
        </w:rPr>
        <w:t xml:space="preserve">Water Potability Prediction</w:t>
      </w:r>
    </w:p>
    <w:p>
      <w:pPr>
        <w:spacing w:before="0" w:after="200"/>
        <w:jc w:val="center"/>
      </w:pPr>
      <w:r>
        <w:rPr>
          <w:rFonts w:ascii="Arial" w:cs="Arial" w:eastAsia="Arial" w:hAnsi="Arial"/>
          <w:b/>
          <w:bCs/>
          <w:color w:val="1565C0"/>
          <w:sz w:val="36"/>
          <w:szCs w:val="36"/>
        </w:rPr>
        <w:t xml:space="preserve">Machine Learning Project Report</w:t>
      </w:r>
    </w:p>
    <w:p>
      <w:pPr>
        <w:spacing w:before="0" w:after="500"/>
        <w:jc w:val="center"/>
      </w:pPr>
      <w:r>
        <w:rPr>
          <w:rFonts w:ascii="Arial" w:cs="Arial" w:eastAsia="Arial" w:hAnsi="Arial"/>
          <w:i/>
          <w:iCs/>
          <w:color w:val="555555"/>
          <w:sz w:val="24"/>
          <w:szCs w:val="24"/>
        </w:rPr>
        <w:t xml:space="preserve">Predicting Water Safety Using Advanced ML Classifiers</w:t>
      </w:r>
    </w:p>
    <w:p>
      <w:pPr>
        <w:spacing w:before="0" w:after="100"/>
        <w:jc w:val="center"/>
      </w:pPr>
      <w:r>
        <w:rPr>
          <w:rFonts w:ascii="Arial" w:cs="Arial" w:eastAsia="Arial" w:hAnsi="Arial"/>
          <w:color w:val="333333"/>
          <w:sz w:val="22"/>
          <w:szCs w:val="22"/>
        </w:rPr>
        <w:t xml:space="preserve">Project Submission  |  February 2026</w:t>
      </w:r>
    </w:p>
    <w:p>
      <w:pPr>
        <w:spacing w:before="0" w:after="100"/>
        <w:jc w:val="center"/>
      </w:pPr>
      <w:r>
        <w:rPr>
          <w:rFonts w:ascii="Arial" w:cs="Arial" w:eastAsia="Arial" w:hAnsi="Arial"/>
          <w:color w:val="333333"/>
          <w:sz w:val="22"/>
          <w:szCs w:val="22"/>
        </w:rPr>
        <w:t xml:space="preserve">Dataset: 3,276 samples  |  9 features  |  Binary Classification</w:t>
      </w:r>
    </w:p>
    <w:p>
      <w:pPr>
        <w:spacing w:before="0" w:after="100"/>
        <w:jc w:val="center"/>
      </w:pPr>
      <w:r>
        <w:rPr>
          <w:rFonts w:ascii="Arial" w:cs="Arial" w:eastAsia="Arial" w:hAnsi="Arial"/>
          <w:b/>
          <w:bCs/>
          <w:color w:val="0D47A1"/>
          <w:sz w:val="22"/>
          <w:szCs w:val="22"/>
        </w:rPr>
        <w:t xml:space="preserve">Best Model: Gradient Boosting (Tuned)  |  F1: 89.28%  |  Accuracy: 89.25%</w:t>
      </w:r>
    </w:p>
    <w:p>
      <w:pPr>
        <w:spacing w:before="0" w:after="0"/>
      </w:pPr>
      <w:r>
        <w:br w:type="page"/>
      </w:r>
    </w:p>
    <w:p>
      <w:pPr>
        <w:pStyle w:val="Heading1"/>
        <w:spacing w:before="400" w:after="200"/>
      </w:pPr>
      <w:r>
        <w:rPr>
          <w:rFonts w:ascii="Arial" w:cs="Arial" w:eastAsia="Arial" w:hAnsi="Arial"/>
          <w:b/>
          <w:bCs/>
          <w:color w:val="0D47A1"/>
          <w:sz w:val="32"/>
          <w:szCs w:val="32"/>
        </w:rPr>
        <w:t xml:space="preserve">1. Executive Summary</w:t>
      </w:r>
    </w:p>
    <w:p>
      <w:pPr>
        <w:spacing w:before="60" w:after="100"/>
        <w:jc w:val="both"/>
      </w:pPr>
      <w:r>
        <w:rPr>
          <w:rFonts w:ascii="Arial" w:cs="Arial" w:eastAsia="Arial" w:hAnsi="Arial"/>
          <w:sz w:val="22"/>
          <w:szCs w:val="22"/>
        </w:rPr>
        <w:t xml:space="preserve">This report presents a comprehensive machine learning pipeline to predict water potability from physicochemical parameters. A dataset of 3,276 water samples with 9 features was used, including pH, Hardness, Solids, Chloramines, Sulfate, Conductivity, Organic Carbon, Trihalomethanes, and Turbidity.</w:t>
      </w:r>
    </w:p>
    <w:p>
      <w:pPr>
        <w:spacing w:before="60" w:after="100"/>
        <w:jc w:val="both"/>
      </w:pPr>
      <w:r>
        <w:rPr>
          <w:rFonts w:ascii="Arial" w:cs="Arial" w:eastAsia="Arial" w:hAnsi="Arial"/>
          <w:sz w:val="22"/>
          <w:szCs w:val="22"/>
        </w:rPr>
        <w:t xml:space="preserve">Five ML classifiers were trained, cross-validated, and hyperparameter-tuned. The best model — Gradient Boosting (Tuned) — achieved F1-Score: 0.893, Accuracy: 89.25%, Precision: 89.05%, and Recall: 89.50% on the held-out test set. The model is deployed as a Flask web application enabling real-time predictions via an interactive UI and REST API.</w:t>
      </w:r>
    </w:p>
    <w:p>
      <w:pPr>
        <w:spacing w:before="160" w:after="160"/>
      </w:pPr>
      <w:r>
        <w:t xml:space="preserve"/>
      </w:r>
    </w:p>
    <w:p>
      <w:pPr>
        <w:pStyle w:val="Heading1"/>
        <w:spacing w:before="400" w:after="200"/>
      </w:pPr>
      <w:r>
        <w:rPr>
          <w:rFonts w:ascii="Arial" w:cs="Arial" w:eastAsia="Arial" w:hAnsi="Arial"/>
          <w:b/>
          <w:bCs/>
          <w:color w:val="0D47A1"/>
          <w:sz w:val="32"/>
          <w:szCs w:val="32"/>
        </w:rPr>
        <w:t xml:space="preserve">2. Problem Statement &amp; Objectives</w:t>
      </w:r>
    </w:p>
    <w:p>
      <w:pPr>
        <w:spacing w:before="60" w:after="100"/>
        <w:jc w:val="both"/>
      </w:pPr>
      <w:r>
        <w:rPr>
          <w:rFonts w:ascii="Arial" w:cs="Arial" w:eastAsia="Arial" w:hAnsi="Arial"/>
          <w:sz w:val="22"/>
          <w:szCs w:val="22"/>
        </w:rPr>
        <w:t xml:space="preserve">Access to safe drinking water is a global public health priority. Traditional lab-based water testing is slow and costly. This project builds an ML classifier that can instantly assess water safety from measurable physicochemical parameters.</w:t>
      </w:r>
    </w:p>
    <w:p>
      <w:pPr>
        <w:pStyle w:val="ListParagraph"/>
        <w:numPr>
          <w:ilvl w:val="0"/>
          <w:numId w:val="2"/>
        </w:numPr>
        <w:spacing w:before="40" w:after="40"/>
      </w:pPr>
      <w:r>
        <w:rPr>
          <w:rFonts w:ascii="Arial" w:cs="Arial" w:eastAsia="Arial" w:hAnsi="Arial"/>
          <w:sz w:val="22"/>
          <w:szCs w:val="22"/>
        </w:rPr>
        <w:t xml:space="preserve">Build a reliable classifier for water potability prediction</w:t>
      </w:r>
    </w:p>
    <w:p>
      <w:pPr>
        <w:pStyle w:val="ListParagraph"/>
        <w:numPr>
          <w:ilvl w:val="0"/>
          <w:numId w:val="2"/>
        </w:numPr>
        <w:spacing w:before="40" w:after="40"/>
      </w:pPr>
      <w:r>
        <w:rPr>
          <w:rFonts w:ascii="Arial" w:cs="Arial" w:eastAsia="Arial" w:hAnsi="Arial"/>
          <w:sz w:val="22"/>
          <w:szCs w:val="22"/>
        </w:rPr>
        <w:t xml:space="preserve">Compare SVC, Random Forest, KNN, Decision Tree, and Gradient Boosting</w:t>
      </w:r>
    </w:p>
    <w:p>
      <w:pPr>
        <w:pStyle w:val="ListParagraph"/>
        <w:numPr>
          <w:ilvl w:val="0"/>
          <w:numId w:val="2"/>
        </w:numPr>
        <w:spacing w:before="40" w:after="40"/>
      </w:pPr>
      <w:r>
        <w:rPr>
          <w:rFonts w:ascii="Arial" w:cs="Arial" w:eastAsia="Arial" w:hAnsi="Arial"/>
          <w:sz w:val="22"/>
          <w:szCs w:val="22"/>
        </w:rPr>
        <w:t xml:space="preserve">Handle 15–24% missing values and 61/39 class imbalance effectively</w:t>
      </w:r>
    </w:p>
    <w:p>
      <w:pPr>
        <w:pStyle w:val="ListParagraph"/>
        <w:numPr>
          <w:ilvl w:val="0"/>
          <w:numId w:val="2"/>
        </w:numPr>
        <w:spacing w:before="40" w:after="40"/>
      </w:pPr>
      <w:r>
        <w:rPr>
          <w:rFonts w:ascii="Arial" w:cs="Arial" w:eastAsia="Arial" w:hAnsi="Arial"/>
          <w:sz w:val="22"/>
          <w:szCs w:val="22"/>
        </w:rPr>
        <w:t xml:space="preserve">Apply hyperparameter tuning via RandomizedSearchCV</w:t>
      </w:r>
    </w:p>
    <w:p>
      <w:pPr>
        <w:pStyle w:val="ListParagraph"/>
        <w:numPr>
          <w:ilvl w:val="0"/>
          <w:numId w:val="2"/>
        </w:numPr>
        <w:spacing w:before="40" w:after="40"/>
      </w:pPr>
      <w:r>
        <w:rPr>
          <w:rFonts w:ascii="Arial" w:cs="Arial" w:eastAsia="Arial" w:hAnsi="Arial"/>
          <w:sz w:val="22"/>
          <w:szCs w:val="22"/>
        </w:rPr>
        <w:t xml:space="preserve">Deploy the model as a Flask web application</w:t>
      </w:r>
    </w:p>
    <w:p>
      <w:pPr>
        <w:pStyle w:val="ListParagraph"/>
        <w:numPr>
          <w:ilvl w:val="0"/>
          <w:numId w:val="2"/>
        </w:numPr>
        <w:spacing w:before="40" w:after="40"/>
      </w:pPr>
      <w:r>
        <w:rPr>
          <w:rFonts w:ascii="Arial" w:cs="Arial" w:eastAsia="Arial" w:hAnsi="Arial"/>
          <w:sz w:val="22"/>
          <w:szCs w:val="22"/>
        </w:rPr>
        <w:t xml:space="preserve">Provide a Power BI dashboard for stakeholder reporting</w:t>
      </w:r>
    </w:p>
    <w:p>
      <w:pPr>
        <w:spacing w:before="160" w:after="160"/>
      </w:pPr>
      <w:r>
        <w:t xml:space="preserve"/>
      </w:r>
    </w:p>
    <w:p>
      <w:pPr>
        <w:pStyle w:val="Heading1"/>
        <w:spacing w:before="400" w:after="200"/>
      </w:pPr>
      <w:r>
        <w:rPr>
          <w:rFonts w:ascii="Arial" w:cs="Arial" w:eastAsia="Arial" w:hAnsi="Arial"/>
          <w:b/>
          <w:bCs/>
          <w:color w:val="0D47A1"/>
          <w:sz w:val="32"/>
          <w:szCs w:val="32"/>
        </w:rPr>
        <w:t xml:space="preserve">3. Dataset Description</w:t>
      </w:r>
    </w:p>
    <w:p>
      <w:pPr>
        <w:pStyle w:val="Heading2"/>
        <w:spacing w:before="280" w:after="140"/>
      </w:pPr>
      <w:r>
        <w:rPr>
          <w:rFonts w:ascii="Arial" w:cs="Arial" w:eastAsia="Arial" w:hAnsi="Arial"/>
          <w:b/>
          <w:bCs/>
          <w:color w:val="1565C0"/>
          <w:sz w:val="26"/>
          <w:szCs w:val="26"/>
        </w:rPr>
        <w:t xml:space="preserve">3.1 Overview</w:t>
      </w:r>
    </w:p>
    <w:p>
      <w:pPr>
        <w:spacing w:before="60" w:after="100"/>
        <w:jc w:val="both"/>
      </w:pPr>
      <w:r>
        <w:rPr>
          <w:rFonts w:ascii="Arial" w:cs="Arial" w:eastAsia="Arial" w:hAnsi="Arial"/>
          <w:sz w:val="22"/>
          <w:szCs w:val="22"/>
        </w:rPr>
        <w:t xml:space="preserve">The Water Potability dataset contains 3,276 samples, each described by 9 physicochemical measurements and a binary potability target (0 = Not Safe, 1 = Safe for Drinking).</w:t>
      </w:r>
    </w:p>
    <w:p>
      <w:pPr>
        <w:spacing w:before="80" w:after="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1800"/>
        <w:gridCol w:w="1860"/>
      </w:tblGrid>
      <w:tr>
        <w:tc>
          <w:tcPr>
            <w:tcW w:type="dxa" w:w="1900"/>
            <w:tcBorders>
              <w:top w:val="single" w:color="AAAAAA" w:sz="1"/>
              <w:left w:val="single" w:color="AAAAAA" w:sz="1"/>
              <w:bottom w:val="single" w:color="AAAAAA" w:sz="1"/>
              <w:right w:val="single" w:color="AAAAAA" w:sz="1"/>
            </w:tcBorders>
            <w:shd w:fill="1565C0"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2800"/>
            <w:tcBorders>
              <w:top w:val="single" w:color="AAAAAA" w:sz="1"/>
              <w:left w:val="single" w:color="AAAAAA" w:sz="1"/>
              <w:bottom w:val="single" w:color="AAAAAA" w:sz="1"/>
              <w:right w:val="single" w:color="AAAAAA" w:sz="1"/>
            </w:tcBorders>
            <w:shd w:fill="1565C0"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1800"/>
            <w:tcBorders>
              <w:top w:val="single" w:color="AAAAAA" w:sz="1"/>
              <w:left w:val="single" w:color="AAAAAA" w:sz="1"/>
              <w:bottom w:val="single" w:color="AAAAAA" w:sz="1"/>
              <w:right w:val="single" w:color="AAAAAA" w:sz="1"/>
            </w:tcBorders>
            <w:shd w:fill="1565C0" w:val="clear"/>
            <w:tcMar>
              <w:top w:type="dxa" w:w="80"/>
              <w:left w:type="dxa" w:w="140"/>
              <w:bottom w:type="dxa" w:w="80"/>
              <w:right w:type="dxa" w:w="140"/>
            </w:tcMar>
          </w:tcPr>
          <w:p>
            <w:r>
              <w:rPr>
                <w:rFonts w:ascii="Arial" w:cs="Arial" w:eastAsia="Arial" w:hAnsi="Arial"/>
                <w:b/>
                <w:bCs/>
                <w:color w:val="FFFFFF"/>
                <w:sz w:val="20"/>
                <w:szCs w:val="20"/>
              </w:rPr>
              <w:t xml:space="preserve">WHO Standard</w:t>
            </w:r>
          </w:p>
        </w:tc>
        <w:tc>
          <w:tcPr>
            <w:tcW w:type="dxa" w:w="1860"/>
            <w:tcBorders>
              <w:top w:val="single" w:color="AAAAAA" w:sz="1"/>
              <w:left w:val="single" w:color="AAAAAA" w:sz="1"/>
              <w:bottom w:val="single" w:color="AAAAAA" w:sz="1"/>
              <w:right w:val="single" w:color="AAAAAA" w:sz="1"/>
            </w:tcBorders>
            <w:shd w:fill="1565C0" w:val="clear"/>
            <w:tcMar>
              <w:top w:type="dxa" w:w="80"/>
              <w:left w:type="dxa" w:w="140"/>
              <w:bottom w:type="dxa" w:w="80"/>
              <w:right w:type="dxa" w:w="140"/>
            </w:tcMar>
          </w:tcPr>
          <w:p>
            <w:r>
              <w:rPr>
                <w:rFonts w:ascii="Arial" w:cs="Arial" w:eastAsia="Arial" w:hAnsi="Arial"/>
                <w:b/>
                <w:bCs/>
                <w:color w:val="FFFFFF"/>
                <w:sz w:val="20"/>
                <w:szCs w:val="20"/>
              </w:rPr>
              <w:t xml:space="preserve">Missing</w:t>
            </w:r>
          </w:p>
        </w:tc>
      </w:tr>
      <w:tr>
        <w:tc>
          <w:tcPr>
            <w:tcW w:type="dxa" w:w="19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pH</w:t>
            </w:r>
          </w:p>
        </w:tc>
        <w:tc>
          <w:tcPr>
            <w:tcW w:type="dxa" w:w="28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Acidity / alkalinity</w:t>
            </w:r>
          </w:p>
        </w:tc>
        <w:tc>
          <w:tcPr>
            <w:tcW w:type="dxa" w:w="18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6.5 – 8.5</w:t>
            </w:r>
          </w:p>
        </w:tc>
        <w:tc>
          <w:tcPr>
            <w:tcW w:type="dxa" w:w="18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491 (14.99%)</w:t>
            </w:r>
          </w:p>
        </w:tc>
      </w:tr>
      <w:tr>
        <w:tc>
          <w:tcPr>
            <w:tcW w:type="dxa" w:w="19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Hardness</w:t>
            </w:r>
          </w:p>
        </w:tc>
        <w:tc>
          <w:tcPr>
            <w:tcW w:type="dxa" w:w="28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Mineral content (mg/L)</w:t>
            </w:r>
          </w:p>
        </w:tc>
        <w:tc>
          <w:tcPr>
            <w:tcW w:type="dxa" w:w="18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&lt; 300 mg/L</w:t>
            </w:r>
          </w:p>
        </w:tc>
        <w:tc>
          <w:tcPr>
            <w:tcW w:type="dxa" w:w="18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0</w:t>
            </w:r>
          </w:p>
        </w:tc>
      </w:tr>
      <w:tr>
        <w:tc>
          <w:tcPr>
            <w:tcW w:type="dxa" w:w="19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Solids</w:t>
            </w:r>
          </w:p>
        </w:tc>
        <w:tc>
          <w:tcPr>
            <w:tcW w:type="dxa" w:w="28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Total dissolved solids (ppm)</w:t>
            </w:r>
          </w:p>
        </w:tc>
        <w:tc>
          <w:tcPr>
            <w:tcW w:type="dxa" w:w="18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&lt; 500 ppm</w:t>
            </w:r>
          </w:p>
        </w:tc>
        <w:tc>
          <w:tcPr>
            <w:tcW w:type="dxa" w:w="18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0</w:t>
            </w:r>
          </w:p>
        </w:tc>
      </w:tr>
      <w:tr>
        <w:tc>
          <w:tcPr>
            <w:tcW w:type="dxa" w:w="19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Chloramines</w:t>
            </w:r>
          </w:p>
        </w:tc>
        <w:tc>
          <w:tcPr>
            <w:tcW w:type="dxa" w:w="28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Chloramine level (ppm)</w:t>
            </w:r>
          </w:p>
        </w:tc>
        <w:tc>
          <w:tcPr>
            <w:tcW w:type="dxa" w:w="18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&lt; 4 ppm</w:t>
            </w:r>
          </w:p>
        </w:tc>
        <w:tc>
          <w:tcPr>
            <w:tcW w:type="dxa" w:w="18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0</w:t>
            </w:r>
          </w:p>
        </w:tc>
      </w:tr>
      <w:tr>
        <w:tc>
          <w:tcPr>
            <w:tcW w:type="dxa" w:w="19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Sulfate</w:t>
            </w:r>
          </w:p>
        </w:tc>
        <w:tc>
          <w:tcPr>
            <w:tcW w:type="dxa" w:w="28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Sulfate concentration (mg/L)</w:t>
            </w:r>
          </w:p>
        </w:tc>
        <w:tc>
          <w:tcPr>
            <w:tcW w:type="dxa" w:w="18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&lt; 250 mg/L</w:t>
            </w:r>
          </w:p>
        </w:tc>
        <w:tc>
          <w:tcPr>
            <w:tcW w:type="dxa" w:w="18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781 (23.83%)</w:t>
            </w:r>
          </w:p>
        </w:tc>
      </w:tr>
      <w:tr>
        <w:tc>
          <w:tcPr>
            <w:tcW w:type="dxa" w:w="19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Conductivity</w:t>
            </w:r>
          </w:p>
        </w:tc>
        <w:tc>
          <w:tcPr>
            <w:tcW w:type="dxa" w:w="28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Electrical conductivity (μS/cm)</w:t>
            </w:r>
          </w:p>
        </w:tc>
        <w:tc>
          <w:tcPr>
            <w:tcW w:type="dxa" w:w="18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&lt; 400 μS/cm</w:t>
            </w:r>
          </w:p>
        </w:tc>
        <w:tc>
          <w:tcPr>
            <w:tcW w:type="dxa" w:w="18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0</w:t>
            </w:r>
          </w:p>
        </w:tc>
      </w:tr>
      <w:tr>
        <w:tc>
          <w:tcPr>
            <w:tcW w:type="dxa" w:w="19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Organic_carbon</w:t>
            </w:r>
          </w:p>
        </w:tc>
        <w:tc>
          <w:tcPr>
            <w:tcW w:type="dxa" w:w="28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Organic carbon (ppm)</w:t>
            </w:r>
          </w:p>
        </w:tc>
        <w:tc>
          <w:tcPr>
            <w:tcW w:type="dxa" w:w="18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&lt; 2 ppm</w:t>
            </w:r>
          </w:p>
        </w:tc>
        <w:tc>
          <w:tcPr>
            <w:tcW w:type="dxa" w:w="18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0</w:t>
            </w:r>
          </w:p>
        </w:tc>
      </w:tr>
      <w:tr>
        <w:tc>
          <w:tcPr>
            <w:tcW w:type="dxa" w:w="19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Trihalomethanes</w:t>
            </w:r>
          </w:p>
        </w:tc>
        <w:tc>
          <w:tcPr>
            <w:tcW w:type="dxa" w:w="28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THM concentration (μg/L)</w:t>
            </w:r>
          </w:p>
        </w:tc>
        <w:tc>
          <w:tcPr>
            <w:tcW w:type="dxa" w:w="18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&lt; 80 μg/L</w:t>
            </w:r>
          </w:p>
        </w:tc>
        <w:tc>
          <w:tcPr>
            <w:tcW w:type="dxa" w:w="18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162 (4.95%)</w:t>
            </w:r>
          </w:p>
        </w:tc>
      </w:tr>
      <w:tr>
        <w:tc>
          <w:tcPr>
            <w:tcW w:type="dxa" w:w="19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Turbidity</w:t>
            </w:r>
          </w:p>
        </w:tc>
        <w:tc>
          <w:tcPr>
            <w:tcW w:type="dxa" w:w="28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Water clarity (NTU)</w:t>
            </w:r>
          </w:p>
        </w:tc>
        <w:tc>
          <w:tcPr>
            <w:tcW w:type="dxa" w:w="18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&lt; 5 NTU</w:t>
            </w:r>
          </w:p>
        </w:tc>
        <w:tc>
          <w:tcPr>
            <w:tcW w:type="dxa" w:w="18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0</w:t>
            </w:r>
          </w:p>
        </w:tc>
      </w:tr>
      <w:tr>
        <w:tc>
          <w:tcPr>
            <w:tcW w:type="dxa" w:w="19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Potability</w:t>
            </w:r>
          </w:p>
        </w:tc>
        <w:tc>
          <w:tcPr>
            <w:tcW w:type="dxa" w:w="28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Target: 1=Potable, 0=Not Potable</w:t>
            </w:r>
          </w:p>
        </w:tc>
        <w:tc>
          <w:tcPr>
            <w:tcW w:type="dxa" w:w="18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0</w:t>
            </w:r>
          </w:p>
        </w:tc>
      </w:tr>
    </w:tbl>
    <w:p>
      <w:pPr>
        <w:spacing w:before="160" w:after="160"/>
      </w:pPr>
      <w:r>
        <w:t xml:space="preserve"/>
      </w:r>
    </w:p>
    <w:p>
      <w:pPr>
        <w:pStyle w:val="Heading2"/>
        <w:spacing w:before="280" w:after="140"/>
      </w:pPr>
      <w:r>
        <w:rPr>
          <w:rFonts w:ascii="Arial" w:cs="Arial" w:eastAsia="Arial" w:hAnsi="Arial"/>
          <w:b/>
          <w:bCs/>
          <w:color w:val="1565C0"/>
          <w:sz w:val="26"/>
          <w:szCs w:val="26"/>
        </w:rPr>
        <w:t xml:space="preserve">3.2 Class Distribution</w:t>
      </w:r>
    </w:p>
    <w:p>
      <w:pPr>
        <w:spacing w:before="60" w:after="100"/>
        <w:jc w:val="both"/>
      </w:pPr>
      <w:r>
        <w:rPr>
          <w:rFonts w:ascii="Arial" w:cs="Arial" w:eastAsia="Arial" w:hAnsi="Arial"/>
          <w:sz w:val="22"/>
          <w:szCs w:val="22"/>
        </w:rPr>
        <w:t xml:space="preserve">Original dataset: 1,998 non-potable samples (61%) and 1,278 potable samples (39%). Class imbalance was handled using random oversampling (see Section 5.2), producing a balanced dataset of 3,996 samples (1,998 per class).</w:t>
      </w:r>
    </w:p>
    <w:p>
      <w:pPr>
        <w:spacing w:before="160" w:after="160"/>
      </w:pPr>
      <w:r>
        <w:t xml:space="preserve"/>
      </w:r>
    </w:p>
    <w:p>
      <w:pPr>
        <w:pStyle w:val="Heading1"/>
        <w:spacing w:before="400" w:after="200"/>
      </w:pPr>
      <w:r>
        <w:rPr>
          <w:rFonts w:ascii="Arial" w:cs="Arial" w:eastAsia="Arial" w:hAnsi="Arial"/>
          <w:b/>
          <w:bCs/>
          <w:color w:val="0D47A1"/>
          <w:sz w:val="32"/>
          <w:szCs w:val="32"/>
        </w:rPr>
        <w:t xml:space="preserve">4. Exploratory Data Analysis</w:t>
      </w:r>
    </w:p>
    <w:p>
      <w:pPr>
        <w:pStyle w:val="Heading2"/>
        <w:spacing w:before="280" w:after="140"/>
      </w:pPr>
      <w:r>
        <w:rPr>
          <w:rFonts w:ascii="Arial" w:cs="Arial" w:eastAsia="Arial" w:hAnsi="Arial"/>
          <w:b/>
          <w:bCs/>
          <w:color w:val="1565C0"/>
          <w:sz w:val="26"/>
          <w:szCs w:val="26"/>
        </w:rPr>
        <w:t xml:space="preserve">4.1 Feature Distributions</w:t>
      </w:r>
    </w:p>
    <w:p>
      <w:pPr>
        <w:spacing w:before="60" w:after="100"/>
        <w:jc w:val="both"/>
      </w:pPr>
      <w:r>
        <w:rPr>
          <w:rFonts w:ascii="Arial" w:cs="Arial" w:eastAsia="Arial" w:hAnsi="Arial"/>
          <w:sz w:val="22"/>
          <w:szCs w:val="22"/>
        </w:rPr>
        <w:t xml:space="preserve">All features follow approximately normal distributions. Key observations: Solids has very high variance (std ≈ 8,769 ppm, range 321–61,227 ppm); Conductivity ranges 181–753 μS/cm; pH is centered near 7.08 (neutral). No feature shows a strongly skewed distribution requiring log-transformation.</w:t>
      </w:r>
    </w:p>
    <w:p>
      <w:pPr>
        <w:pStyle w:val="Heading2"/>
        <w:spacing w:before="280" w:after="140"/>
      </w:pPr>
      <w:r>
        <w:rPr>
          <w:rFonts w:ascii="Arial" w:cs="Arial" w:eastAsia="Arial" w:hAnsi="Arial"/>
          <w:b/>
          <w:bCs/>
          <w:color w:val="1565C0"/>
          <w:sz w:val="26"/>
          <w:szCs w:val="26"/>
        </w:rPr>
        <w:t xml:space="preserve">4.2 Missing Value Analysis</w:t>
      </w:r>
    </w:p>
    <w:p>
      <w:pPr>
        <w:spacing w:before="60" w:after="100"/>
        <w:jc w:val="both"/>
      </w:pPr>
      <w:r>
        <w:rPr>
          <w:rFonts w:ascii="Arial" w:cs="Arial" w:eastAsia="Arial" w:hAnsi="Arial"/>
          <w:sz w:val="22"/>
          <w:szCs w:val="22"/>
        </w:rPr>
        <w:t xml:space="preserve">Three features have missing values: pH (14.99%), Sulfate (23.83%), and Trihalomethanes (4.95%). Sulfate missing values are the most critical at nearly 1-in-4 rows. Group-wise median imputation (by Potability class) was selected to preserve class-specific distributions and avoid introducing bias from global statistics.</w:t>
      </w:r>
    </w:p>
    <w:p>
      <w:pPr>
        <w:pStyle w:val="Heading2"/>
        <w:spacing w:before="280" w:after="140"/>
      </w:pPr>
      <w:r>
        <w:rPr>
          <w:rFonts w:ascii="Arial" w:cs="Arial" w:eastAsia="Arial" w:hAnsi="Arial"/>
          <w:b/>
          <w:bCs/>
          <w:color w:val="1565C0"/>
          <w:sz w:val="26"/>
          <w:szCs w:val="26"/>
        </w:rPr>
        <w:t xml:space="preserve">4.3 Correlation Analysis</w:t>
      </w:r>
    </w:p>
    <w:p>
      <w:pPr>
        <w:spacing w:before="60" w:after="100"/>
        <w:jc w:val="both"/>
      </w:pPr>
      <w:r>
        <w:rPr>
          <w:rFonts w:ascii="Arial" w:cs="Arial" w:eastAsia="Arial" w:hAnsi="Arial"/>
          <w:sz w:val="22"/>
          <w:szCs w:val="22"/>
        </w:rPr>
        <w:t xml:space="preserve">Pearson correlation analysis reveals no strong inter-feature correlations (all |r| &lt; 0.15). Correlations with the target are also weak (highest |r| ≈ 0.06). This absence of strong linear relationships justifies the use of non-linear ensemble methods over linear classifiers, and means no features were dropped for multicollinearity.</w:t>
      </w:r>
    </w:p>
    <w:p>
      <w:pPr>
        <w:pStyle w:val="Heading2"/>
        <w:spacing w:before="280" w:after="140"/>
      </w:pPr>
      <w:r>
        <w:rPr>
          <w:rFonts w:ascii="Arial" w:cs="Arial" w:eastAsia="Arial" w:hAnsi="Arial"/>
          <w:b/>
          <w:bCs/>
          <w:color w:val="1565C0"/>
          <w:sz w:val="26"/>
          <w:szCs w:val="26"/>
        </w:rPr>
        <w:t xml:space="preserve">4.4 Class-Specific Distributions</w:t>
      </w:r>
    </w:p>
    <w:p>
      <w:pPr>
        <w:spacing w:before="60" w:after="100"/>
        <w:jc w:val="both"/>
      </w:pPr>
      <w:r>
        <w:rPr>
          <w:rFonts w:ascii="Arial" w:cs="Arial" w:eastAsia="Arial" w:hAnsi="Arial"/>
          <w:sz w:val="22"/>
          <w:szCs w:val="22"/>
        </w:rPr>
        <w:t xml:space="preserve">Box plots by Potability class show subtle but consistent differences across all 9 features, with significant overlap. This overlap is why models achieve ~89% rather than near-perfect accuracy — the features provide probabilistic rather than deterministic class separation.</w:t>
      </w:r>
    </w:p>
    <w:p>
      <w:pPr>
        <w:spacing w:before="160" w:after="160"/>
      </w:pPr>
      <w:r>
        <w:t xml:space="preserve"/>
      </w:r>
    </w:p>
    <w:p>
      <w:pPr>
        <w:pStyle w:val="Heading1"/>
        <w:spacing w:before="400" w:after="200"/>
      </w:pPr>
      <w:r>
        <w:rPr>
          <w:rFonts w:ascii="Arial" w:cs="Arial" w:eastAsia="Arial" w:hAnsi="Arial"/>
          <w:b/>
          <w:bCs/>
          <w:color w:val="0D47A1"/>
          <w:sz w:val="32"/>
          <w:szCs w:val="32"/>
        </w:rPr>
        <w:t xml:space="preserve">5. Preprocessing &amp; Feature Engineering</w:t>
      </w:r>
    </w:p>
    <w:p>
      <w:pPr>
        <w:pStyle w:val="Heading2"/>
        <w:spacing w:before="280" w:after="140"/>
      </w:pPr>
      <w:r>
        <w:rPr>
          <w:rFonts w:ascii="Arial" w:cs="Arial" w:eastAsia="Arial" w:hAnsi="Arial"/>
          <w:b/>
          <w:bCs/>
          <w:color w:val="1565C0"/>
          <w:sz w:val="26"/>
          <w:szCs w:val="26"/>
        </w:rPr>
        <w:t xml:space="preserve">5.1 Missing Value Imputation</w:t>
      </w:r>
    </w:p>
    <w:p>
      <w:pPr>
        <w:spacing w:before="60" w:after="100"/>
        <w:jc w:val="both"/>
      </w:pPr>
      <w:r>
        <w:rPr>
          <w:rFonts w:ascii="Arial" w:cs="Arial" w:eastAsia="Arial" w:hAnsi="Arial"/>
          <w:sz w:val="22"/>
          <w:szCs w:val="22"/>
        </w:rPr>
        <w:t xml:space="preserve">Group-wise median imputation: missing values in pH, Sulfate, and Trihalomethanes were filled with the median computed separately for each Potability class. This preserves class-specific statistical properties, particularly important when the two classes have different chemical profiles.</w:t>
      </w:r>
    </w:p>
    <w:p>
      <w:pPr>
        <w:pStyle w:val="Heading2"/>
        <w:spacing w:before="280" w:after="140"/>
      </w:pPr>
      <w:r>
        <w:rPr>
          <w:rFonts w:ascii="Arial" w:cs="Arial" w:eastAsia="Arial" w:hAnsi="Arial"/>
          <w:b/>
          <w:bCs/>
          <w:color w:val="1565C0"/>
          <w:sz w:val="26"/>
          <w:szCs w:val="26"/>
        </w:rPr>
        <w:t xml:space="preserve">5.2 Class Imbalance — Random Oversampling</w:t>
      </w:r>
    </w:p>
    <w:p>
      <w:pPr>
        <w:spacing w:before="60" w:after="100"/>
        <w:jc w:val="both"/>
      </w:pPr>
      <w:r>
        <w:rPr>
          <w:rFonts w:ascii="Arial" w:cs="Arial" w:eastAsia="Arial" w:hAnsi="Arial"/>
          <w:sz w:val="22"/>
          <w:szCs w:val="22"/>
        </w:rPr>
        <w:t xml:space="preserve">The minority class (Potable=1, n=1,278) was upsampled by random sampling with replacement to match the majority class (n=1,998). Final balanced dataset: 3,996 samples with 50/50 class split. This prevents the model from being biased toward predicting "not potable" by default.</w:t>
      </w:r>
    </w:p>
    <w:p>
      <w:pPr>
        <w:pStyle w:val="Heading2"/>
        <w:spacing w:before="280" w:after="140"/>
      </w:pPr>
      <w:r>
        <w:rPr>
          <w:rFonts w:ascii="Arial" w:cs="Arial" w:eastAsia="Arial" w:hAnsi="Arial"/>
          <w:b/>
          <w:bCs/>
          <w:color w:val="1565C0"/>
          <w:sz w:val="26"/>
          <w:szCs w:val="26"/>
        </w:rPr>
        <w:t xml:space="preserve">5.3 Feature Scaling — StandardScaler</w:t>
      </w:r>
    </w:p>
    <w:p>
      <w:pPr>
        <w:spacing w:before="60" w:after="100"/>
        <w:jc w:val="both"/>
      </w:pPr>
      <w:r>
        <w:rPr>
          <w:rFonts w:ascii="Arial" w:cs="Arial" w:eastAsia="Arial" w:hAnsi="Arial"/>
          <w:sz w:val="22"/>
          <w:szCs w:val="22"/>
        </w:rPr>
        <w:t xml:space="preserve">Z-score normalization was applied to all 9 features. The scaler was fitted only on training data and then applied to both train and test sets (prevents data leakage). Scaling is critical for SVC and KNN, and beneficial for Gradient Boosting convergence.</w:t>
      </w:r>
    </w:p>
    <w:p>
      <w:pPr>
        <w:pStyle w:val="Heading2"/>
        <w:spacing w:before="280" w:after="140"/>
      </w:pPr>
      <w:r>
        <w:rPr>
          <w:rFonts w:ascii="Arial" w:cs="Arial" w:eastAsia="Arial" w:hAnsi="Arial"/>
          <w:b/>
          <w:bCs/>
          <w:color w:val="1565C0"/>
          <w:sz w:val="26"/>
          <w:szCs w:val="26"/>
        </w:rPr>
        <w:t xml:space="preserve">5.4 Train / Test Split</w:t>
      </w:r>
    </w:p>
    <w:p>
      <w:pPr>
        <w:spacing w:before="60" w:after="100"/>
        <w:jc w:val="both"/>
      </w:pPr>
      <w:r>
        <w:rPr>
          <w:rFonts w:ascii="Arial" w:cs="Arial" w:eastAsia="Arial" w:hAnsi="Arial"/>
          <w:sz w:val="22"/>
          <w:szCs w:val="22"/>
        </w:rPr>
        <w:t xml:space="preserve">80% training (3,196 samples) / 20% test (800 samples) with stratified sampling to maintain 50/50 class ratio in both subsets. Random state = 42 for full reproducibility.</w:t>
      </w:r>
    </w:p>
    <w:p>
      <w:pPr>
        <w:spacing w:before="160" w:after="160"/>
      </w:pPr>
      <w:r>
        <w:t xml:space="preserve"/>
      </w:r>
    </w:p>
    <w:p>
      <w:pPr>
        <w:pStyle w:val="Heading1"/>
        <w:spacing w:before="400" w:after="200"/>
      </w:pPr>
      <w:r>
        <w:rPr>
          <w:rFonts w:ascii="Arial" w:cs="Arial" w:eastAsia="Arial" w:hAnsi="Arial"/>
          <w:b/>
          <w:bCs/>
          <w:color w:val="0D47A1"/>
          <w:sz w:val="32"/>
          <w:szCs w:val="32"/>
        </w:rPr>
        <w:t xml:space="preserve">6. Model Training &amp; Cross-Validation</w:t>
      </w:r>
    </w:p>
    <w:p>
      <w:pPr>
        <w:spacing w:before="60" w:after="100"/>
        <w:jc w:val="both"/>
      </w:pPr>
      <w:r>
        <w:rPr>
          <w:rFonts w:ascii="Arial" w:cs="Arial" w:eastAsia="Arial" w:hAnsi="Arial"/>
          <w:sz w:val="22"/>
          <w:szCs w:val="22"/>
        </w:rPr>
        <w:t xml:space="preserve">Five classifiers were evaluated using 5-fold Stratified Cross-Validation on the training set, with F1-Score as the primary metric:</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700"/>
        <w:gridCol w:w="3260"/>
      </w:tblGrid>
      <w:tr>
        <w:tc>
          <w:tcPr>
            <w:tcW w:type="dxa" w:w="2700"/>
            <w:tcBorders>
              <w:top w:val="single" w:color="AAAAAA" w:sz="1"/>
              <w:left w:val="single" w:color="AAAAAA" w:sz="1"/>
              <w:bottom w:val="single" w:color="AAAAAA" w:sz="1"/>
              <w:right w:val="single" w:color="AAAAAA" w:sz="1"/>
            </w:tcBorders>
            <w:shd w:fill="1565C0" w:val="clear"/>
            <w:tcMar>
              <w:top w:type="dxa" w:w="80"/>
              <w:left w:type="dxa" w:w="140"/>
              <w:bottom w:type="dxa" w:w="80"/>
              <w:right w:type="dxa" w:w="140"/>
            </w:tcMar>
          </w:tcPr>
          <w:p>
            <w:r>
              <w:rPr>
                <w:rFonts w:ascii="Arial" w:cs="Arial" w:eastAsia="Arial" w:hAnsi="Arial"/>
                <w:b/>
                <w:bCs/>
                <w:color w:val="FFFFFF"/>
                <w:sz w:val="20"/>
                <w:szCs w:val="20"/>
              </w:rPr>
              <w:t xml:space="preserve">Model</w:t>
            </w:r>
          </w:p>
        </w:tc>
        <w:tc>
          <w:tcPr>
            <w:tcW w:type="dxa" w:w="1700"/>
            <w:tcBorders>
              <w:top w:val="single" w:color="AAAAAA" w:sz="1"/>
              <w:left w:val="single" w:color="AAAAAA" w:sz="1"/>
              <w:bottom w:val="single" w:color="AAAAAA" w:sz="1"/>
              <w:right w:val="single" w:color="AAAAAA" w:sz="1"/>
            </w:tcBorders>
            <w:shd w:fill="1565C0" w:val="clear"/>
            <w:tcMar>
              <w:top w:type="dxa" w:w="80"/>
              <w:left w:type="dxa" w:w="140"/>
              <w:bottom w:type="dxa" w:w="80"/>
              <w:right w:type="dxa" w:w="140"/>
            </w:tcMar>
          </w:tcPr>
          <w:p>
            <w:r>
              <w:rPr>
                <w:rFonts w:ascii="Arial" w:cs="Arial" w:eastAsia="Arial" w:hAnsi="Arial"/>
                <w:b/>
                <w:bCs/>
                <w:color w:val="FFFFFF"/>
                <w:sz w:val="20"/>
                <w:szCs w:val="20"/>
              </w:rPr>
              <w:t xml:space="preserve">CV F1 Mean</w:t>
            </w:r>
          </w:p>
        </w:tc>
        <w:tc>
          <w:tcPr>
            <w:tcW w:type="dxa" w:w="1700"/>
            <w:tcBorders>
              <w:top w:val="single" w:color="AAAAAA" w:sz="1"/>
              <w:left w:val="single" w:color="AAAAAA" w:sz="1"/>
              <w:bottom w:val="single" w:color="AAAAAA" w:sz="1"/>
              <w:right w:val="single" w:color="AAAAAA" w:sz="1"/>
            </w:tcBorders>
            <w:shd w:fill="1565C0" w:val="clear"/>
            <w:tcMar>
              <w:top w:type="dxa" w:w="80"/>
              <w:left w:type="dxa" w:w="140"/>
              <w:bottom w:type="dxa" w:w="80"/>
              <w:right w:type="dxa" w:w="140"/>
            </w:tcMar>
          </w:tcPr>
          <w:p>
            <w:r>
              <w:rPr>
                <w:rFonts w:ascii="Arial" w:cs="Arial" w:eastAsia="Arial" w:hAnsi="Arial"/>
                <w:b/>
                <w:bCs/>
                <w:color w:val="FFFFFF"/>
                <w:sz w:val="20"/>
                <w:szCs w:val="20"/>
              </w:rPr>
              <w:t xml:space="preserve">CV F1 Std</w:t>
            </w:r>
          </w:p>
        </w:tc>
        <w:tc>
          <w:tcPr>
            <w:tcW w:type="dxa" w:w="3260"/>
            <w:tcBorders>
              <w:top w:val="single" w:color="AAAAAA" w:sz="1"/>
              <w:left w:val="single" w:color="AAAAAA" w:sz="1"/>
              <w:bottom w:val="single" w:color="AAAAAA" w:sz="1"/>
              <w:right w:val="single" w:color="AAAAAA" w:sz="1"/>
            </w:tcBorders>
            <w:shd w:fill="1565C0"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7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SVC (RBF kernel)</w:t>
            </w:r>
          </w:p>
        </w:tc>
        <w:tc>
          <w:tcPr>
            <w:tcW w:type="dxa" w:w="17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0.6559</w:t>
            </w:r>
          </w:p>
        </w:tc>
        <w:tc>
          <w:tcPr>
            <w:tcW w:type="dxa" w:w="17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±0.0119</w:t>
            </w:r>
          </w:p>
        </w:tc>
        <w:tc>
          <w:tcPr>
            <w:tcW w:type="dxa" w:w="32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Moderate — limited non-linear capacity</w:t>
            </w:r>
          </w:p>
        </w:tc>
      </w:tr>
      <w:tr>
        <w:tc>
          <w:tcPr>
            <w:tcW w:type="dxa" w:w="27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Random Forest (100 trees)</w:t>
            </w:r>
          </w:p>
        </w:tc>
        <w:tc>
          <w:tcPr>
            <w:tcW w:type="dxa" w:w="17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0.8649</w:t>
            </w:r>
          </w:p>
        </w:tc>
        <w:tc>
          <w:tcPr>
            <w:tcW w:type="dxa" w:w="17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±0.0134</w:t>
            </w:r>
          </w:p>
        </w:tc>
        <w:tc>
          <w:tcPr>
            <w:tcW w:type="dxa" w:w="32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Strong — robust bagging ensemble</w:t>
            </w:r>
          </w:p>
        </w:tc>
      </w:tr>
      <w:tr>
        <w:tc>
          <w:tcPr>
            <w:tcW w:type="dxa" w:w="27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KNN (k=5)</w:t>
            </w:r>
          </w:p>
        </w:tc>
        <w:tc>
          <w:tcPr>
            <w:tcW w:type="dxa" w:w="17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0.6636</w:t>
            </w:r>
          </w:p>
        </w:tc>
        <w:tc>
          <w:tcPr>
            <w:tcW w:type="dxa" w:w="17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±0.0166</w:t>
            </w:r>
          </w:p>
        </w:tc>
        <w:tc>
          <w:tcPr>
            <w:tcW w:type="dxa" w:w="32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Weak — sensitive to high-dim overlap</w:t>
            </w:r>
          </w:p>
        </w:tc>
      </w:tr>
      <w:tr>
        <w:tc>
          <w:tcPr>
            <w:tcW w:type="dxa" w:w="27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Decision Tree</w:t>
            </w:r>
          </w:p>
        </w:tc>
        <w:tc>
          <w:tcPr>
            <w:tcW w:type="dxa" w:w="17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0.8216</w:t>
            </w:r>
          </w:p>
        </w:tc>
        <w:tc>
          <w:tcPr>
            <w:tcW w:type="dxa" w:w="17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±0.0155</w:t>
            </w:r>
          </w:p>
        </w:tc>
        <w:tc>
          <w:tcPr>
            <w:tcW w:type="dxa" w:w="32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Good — interpretable but prone to overfit</w:t>
            </w:r>
          </w:p>
        </w:tc>
      </w:tr>
      <w:tr>
        <w:tc>
          <w:tcPr>
            <w:tcW w:type="dxa" w:w="27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Gradient Boosting</w:t>
            </w:r>
          </w:p>
        </w:tc>
        <w:tc>
          <w:tcPr>
            <w:tcW w:type="dxa" w:w="17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0.7933</w:t>
            </w:r>
          </w:p>
        </w:tc>
        <w:tc>
          <w:tcPr>
            <w:tcW w:type="dxa" w:w="17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±0.0135</w:t>
            </w:r>
          </w:p>
        </w:tc>
        <w:tc>
          <w:tcPr>
            <w:tcW w:type="dxa" w:w="32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Excellent potential — improved by tuning</w:t>
            </w:r>
          </w:p>
        </w:tc>
      </w:tr>
    </w:tbl>
    <w:p>
      <w:pPr>
        <w:spacing w:before="160" w:after="160"/>
      </w:pPr>
      <w:r>
        <w:t xml:space="preserve"/>
      </w:r>
    </w:p>
    <w:p>
      <w:pPr>
        <w:spacing w:before="60" w:after="100"/>
        <w:jc w:val="both"/>
      </w:pPr>
      <w:r>
        <w:rPr>
          <w:rFonts w:ascii="Arial" w:cs="Arial" w:eastAsia="Arial" w:hAnsi="Arial"/>
          <w:sz w:val="22"/>
          <w:szCs w:val="22"/>
        </w:rPr>
        <w:t xml:space="preserve">Random Forest and Gradient Boosting are selected as primary models for hyperparameter tuning based on CV F1 scores above 0.82.</w:t>
      </w:r>
    </w:p>
    <w:p>
      <w:pPr>
        <w:spacing w:before="160" w:after="160"/>
      </w:pPr>
      <w:r>
        <w:t xml:space="preserve"/>
      </w:r>
    </w:p>
    <w:p>
      <w:pPr>
        <w:pStyle w:val="Heading1"/>
        <w:spacing w:before="400" w:after="200"/>
      </w:pPr>
      <w:r>
        <w:rPr>
          <w:rFonts w:ascii="Arial" w:cs="Arial" w:eastAsia="Arial" w:hAnsi="Arial"/>
          <w:b/>
          <w:bCs/>
          <w:color w:val="0D47A1"/>
          <w:sz w:val="32"/>
          <w:szCs w:val="32"/>
        </w:rPr>
        <w:t xml:space="preserve">7. Hyperparameter Tuning</w:t>
      </w:r>
    </w:p>
    <w:p>
      <w:pPr>
        <w:spacing w:before="60" w:after="100"/>
        <w:jc w:val="both"/>
      </w:pPr>
      <w:r>
        <w:rPr>
          <w:rFonts w:ascii="Arial" w:cs="Arial" w:eastAsia="Arial" w:hAnsi="Arial"/>
          <w:sz w:val="22"/>
          <w:szCs w:val="22"/>
        </w:rPr>
        <w:t xml:space="preserve">RandomizedSearchCV (n_iter=20, cv=5, scoring=F1) was used to efficiently explore hyperparameter spaces for the top three models. Random search explores combinations probabilistically, requiring fewer evaluations than exhaustive GridSearchCV while finding near-optimal configurations.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500"/>
        <w:gridCol w:w="2260"/>
      </w:tblGrid>
      <w:tr>
        <w:tc>
          <w:tcPr>
            <w:tcW w:type="dxa" w:w="2400"/>
            <w:tcBorders>
              <w:top w:val="single" w:color="AAAAAA" w:sz="1"/>
              <w:left w:val="single" w:color="AAAAAA" w:sz="1"/>
              <w:bottom w:val="single" w:color="AAAAAA" w:sz="1"/>
              <w:right w:val="single" w:color="AAAAAA" w:sz="1"/>
            </w:tcBorders>
            <w:shd w:fill="1565C0" w:val="clear"/>
            <w:tcMar>
              <w:top w:type="dxa" w:w="80"/>
              <w:left w:type="dxa" w:w="140"/>
              <w:bottom w:type="dxa" w:w="80"/>
              <w:right w:type="dxa" w:w="140"/>
            </w:tcMar>
          </w:tcPr>
          <w:p>
            <w:r>
              <w:rPr>
                <w:rFonts w:ascii="Arial" w:cs="Arial" w:eastAsia="Arial" w:hAnsi="Arial"/>
                <w:b/>
                <w:bCs/>
                <w:color w:val="FFFFFF"/>
                <w:sz w:val="20"/>
                <w:szCs w:val="20"/>
              </w:rPr>
              <w:t xml:space="preserve">Model</w:t>
            </w:r>
          </w:p>
        </w:tc>
        <w:tc>
          <w:tcPr>
            <w:tcW w:type="dxa" w:w="2200"/>
            <w:tcBorders>
              <w:top w:val="single" w:color="AAAAAA" w:sz="1"/>
              <w:left w:val="single" w:color="AAAAAA" w:sz="1"/>
              <w:bottom w:val="single" w:color="AAAAAA" w:sz="1"/>
              <w:right w:val="single" w:color="AAAAAA" w:sz="1"/>
            </w:tcBorders>
            <w:shd w:fill="1565C0" w:val="clear"/>
            <w:tcMar>
              <w:top w:type="dxa" w:w="80"/>
              <w:left w:type="dxa" w:w="140"/>
              <w:bottom w:type="dxa" w:w="80"/>
              <w:right w:type="dxa" w:w="140"/>
            </w:tcMar>
          </w:tcPr>
          <w:p>
            <w:r>
              <w:rPr>
                <w:rFonts w:ascii="Arial" w:cs="Arial" w:eastAsia="Arial" w:hAnsi="Arial"/>
                <w:b/>
                <w:bCs/>
                <w:color w:val="FFFFFF"/>
                <w:sz w:val="20"/>
                <w:szCs w:val="20"/>
              </w:rPr>
              <w:t xml:space="preserve">Parameter</w:t>
            </w:r>
          </w:p>
        </w:tc>
        <w:tc>
          <w:tcPr>
            <w:tcW w:type="dxa" w:w="2500"/>
            <w:tcBorders>
              <w:top w:val="single" w:color="AAAAAA" w:sz="1"/>
              <w:left w:val="single" w:color="AAAAAA" w:sz="1"/>
              <w:bottom w:val="single" w:color="AAAAAA" w:sz="1"/>
              <w:right w:val="single" w:color="AAAAAA" w:sz="1"/>
            </w:tcBorders>
            <w:shd w:fill="1565C0" w:val="clear"/>
            <w:tcMar>
              <w:top w:type="dxa" w:w="80"/>
              <w:left w:type="dxa" w:w="140"/>
              <w:bottom w:type="dxa" w:w="80"/>
              <w:right w:type="dxa" w:w="140"/>
            </w:tcMar>
          </w:tcPr>
          <w:p>
            <w:r>
              <w:rPr>
                <w:rFonts w:ascii="Arial" w:cs="Arial" w:eastAsia="Arial" w:hAnsi="Arial"/>
                <w:b/>
                <w:bCs/>
                <w:color w:val="FFFFFF"/>
                <w:sz w:val="20"/>
                <w:szCs w:val="20"/>
              </w:rPr>
              <w:t xml:space="preserve">Search Space</w:t>
            </w:r>
          </w:p>
        </w:tc>
        <w:tc>
          <w:tcPr>
            <w:tcW w:type="dxa" w:w="2260"/>
            <w:tcBorders>
              <w:top w:val="single" w:color="AAAAAA" w:sz="1"/>
              <w:left w:val="single" w:color="AAAAAA" w:sz="1"/>
              <w:bottom w:val="single" w:color="AAAAAA" w:sz="1"/>
              <w:right w:val="single" w:color="AAAAAA" w:sz="1"/>
            </w:tcBorders>
            <w:shd w:fill="1565C0" w:val="clear"/>
            <w:tcMar>
              <w:top w:type="dxa" w:w="80"/>
              <w:left w:type="dxa" w:w="140"/>
              <w:bottom w:type="dxa" w:w="80"/>
              <w:right w:type="dxa" w:w="140"/>
            </w:tcMar>
          </w:tcPr>
          <w:p>
            <w:r>
              <w:rPr>
                <w:rFonts w:ascii="Arial" w:cs="Arial" w:eastAsia="Arial" w:hAnsi="Arial"/>
                <w:b/>
                <w:bCs/>
                <w:color w:val="FFFFFF"/>
                <w:sz w:val="20"/>
                <w:szCs w:val="20"/>
              </w:rPr>
              <w:t xml:space="preserve">Optimal Value</w:t>
            </w:r>
          </w:p>
        </w:tc>
      </w:tr>
      <w:tr>
        <w:tc>
          <w:tcPr>
            <w:tcW w:type="dxa" w:w="24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Random Forest</w:t>
            </w:r>
          </w:p>
        </w:tc>
        <w:tc>
          <w:tcPr>
            <w:tcW w:type="dxa" w:w="22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n_estimators</w:t>
            </w:r>
          </w:p>
        </w:tc>
        <w:tc>
          <w:tcPr>
            <w:tcW w:type="dxa" w:w="25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[100, 200, 300]</w:t>
            </w:r>
          </w:p>
        </w:tc>
        <w:tc>
          <w:tcPr>
            <w:tcW w:type="dxa" w:w="22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100</w:t>
            </w:r>
          </w:p>
        </w:tc>
      </w:tr>
      <w:tr>
        <w:tc>
          <w:tcPr>
            <w:tcW w:type="dxa" w:w="24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Random Forest</w:t>
            </w:r>
          </w:p>
        </w:tc>
        <w:tc>
          <w:tcPr>
            <w:tcW w:type="dxa" w:w="22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max_depth</w:t>
            </w:r>
          </w:p>
        </w:tc>
        <w:tc>
          <w:tcPr>
            <w:tcW w:type="dxa" w:w="25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[None, 10, 20, 30]</w:t>
            </w:r>
          </w:p>
        </w:tc>
        <w:tc>
          <w:tcPr>
            <w:tcW w:type="dxa" w:w="22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30</w:t>
            </w:r>
          </w:p>
        </w:tc>
      </w:tr>
      <w:tr>
        <w:tc>
          <w:tcPr>
            <w:tcW w:type="dxa" w:w="24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Random Forest</w:t>
            </w:r>
          </w:p>
        </w:tc>
        <w:tc>
          <w:tcPr>
            <w:tcW w:type="dxa" w:w="22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min_samples_split</w:t>
            </w:r>
          </w:p>
        </w:tc>
        <w:tc>
          <w:tcPr>
            <w:tcW w:type="dxa" w:w="25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[2, 5, 10]</w:t>
            </w:r>
          </w:p>
        </w:tc>
        <w:tc>
          <w:tcPr>
            <w:tcW w:type="dxa" w:w="22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2</w:t>
            </w:r>
          </w:p>
        </w:tc>
      </w:tr>
      <w:tr>
        <w:tc>
          <w:tcPr>
            <w:tcW w:type="dxa" w:w="24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Random Forest</w:t>
            </w:r>
          </w:p>
        </w:tc>
        <w:tc>
          <w:tcPr>
            <w:tcW w:type="dxa" w:w="22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min_samples_leaf</w:t>
            </w:r>
          </w:p>
        </w:tc>
        <w:tc>
          <w:tcPr>
            <w:tcW w:type="dxa" w:w="25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[1, 2, 4]</w:t>
            </w:r>
          </w:p>
        </w:tc>
        <w:tc>
          <w:tcPr>
            <w:tcW w:type="dxa" w:w="22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1</w:t>
            </w:r>
          </w:p>
        </w:tc>
      </w:tr>
      <w:tr>
        <w:tc>
          <w:tcPr>
            <w:tcW w:type="dxa" w:w="24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Gradient Boosting</w:t>
            </w:r>
          </w:p>
        </w:tc>
        <w:tc>
          <w:tcPr>
            <w:tcW w:type="dxa" w:w="22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n_estimators</w:t>
            </w:r>
          </w:p>
        </w:tc>
        <w:tc>
          <w:tcPr>
            <w:tcW w:type="dxa" w:w="25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[100, 200]</w:t>
            </w:r>
          </w:p>
        </w:tc>
        <w:tc>
          <w:tcPr>
            <w:tcW w:type="dxa" w:w="22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200</w:t>
            </w:r>
          </w:p>
        </w:tc>
      </w:tr>
      <w:tr>
        <w:tc>
          <w:tcPr>
            <w:tcW w:type="dxa" w:w="24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Gradient Boosting</w:t>
            </w:r>
          </w:p>
        </w:tc>
        <w:tc>
          <w:tcPr>
            <w:tcW w:type="dxa" w:w="22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learning_rate</w:t>
            </w:r>
          </w:p>
        </w:tc>
        <w:tc>
          <w:tcPr>
            <w:tcW w:type="dxa" w:w="25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[0.05, 0.1, 0.2]</w:t>
            </w:r>
          </w:p>
        </w:tc>
        <w:tc>
          <w:tcPr>
            <w:tcW w:type="dxa" w:w="22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0.05</w:t>
            </w:r>
          </w:p>
        </w:tc>
      </w:tr>
      <w:tr>
        <w:tc>
          <w:tcPr>
            <w:tcW w:type="dxa" w:w="24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Gradient Boosting</w:t>
            </w:r>
          </w:p>
        </w:tc>
        <w:tc>
          <w:tcPr>
            <w:tcW w:type="dxa" w:w="22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max_depth</w:t>
            </w:r>
          </w:p>
        </w:tc>
        <w:tc>
          <w:tcPr>
            <w:tcW w:type="dxa" w:w="25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[3, 5, 7]</w:t>
            </w:r>
          </w:p>
        </w:tc>
        <w:tc>
          <w:tcPr>
            <w:tcW w:type="dxa" w:w="22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7</w:t>
            </w:r>
          </w:p>
        </w:tc>
      </w:tr>
      <w:tr>
        <w:tc>
          <w:tcPr>
            <w:tcW w:type="dxa" w:w="24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SVC</w:t>
            </w:r>
          </w:p>
        </w:tc>
        <w:tc>
          <w:tcPr>
            <w:tcW w:type="dxa" w:w="22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C (regularisation)</w:t>
            </w:r>
          </w:p>
        </w:tc>
        <w:tc>
          <w:tcPr>
            <w:tcW w:type="dxa" w:w="25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[0.1, 1, 10, 100]</w:t>
            </w:r>
          </w:p>
        </w:tc>
        <w:tc>
          <w:tcPr>
            <w:tcW w:type="dxa" w:w="22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100</w:t>
            </w:r>
          </w:p>
        </w:tc>
      </w:tr>
      <w:tr>
        <w:tc>
          <w:tcPr>
            <w:tcW w:type="dxa" w:w="24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SVC</w:t>
            </w:r>
          </w:p>
        </w:tc>
        <w:tc>
          <w:tcPr>
            <w:tcW w:type="dxa" w:w="22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gamma</w:t>
            </w:r>
          </w:p>
        </w:tc>
        <w:tc>
          <w:tcPr>
            <w:tcW w:type="dxa" w:w="25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[scale, auto, 0.1, 0.01]</w:t>
            </w:r>
          </w:p>
        </w:tc>
        <w:tc>
          <w:tcPr>
            <w:tcW w:type="dxa" w:w="22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auto</w:t>
            </w:r>
          </w:p>
        </w:tc>
      </w:tr>
    </w:tbl>
    <w:p>
      <w:pPr>
        <w:spacing w:before="160" w:after="160"/>
      </w:pPr>
      <w:r>
        <w:t xml:space="preserve"/>
      </w:r>
    </w:p>
    <w:p>
      <w:pPr>
        <w:spacing w:before="60" w:after="100"/>
        <w:jc w:val="both"/>
      </w:pPr>
      <w:r>
        <w:rPr>
          <w:rFonts w:ascii="Arial" w:cs="Arial" w:eastAsia="Arial" w:hAnsi="Arial"/>
          <w:sz w:val="22"/>
          <w:szCs w:val="22"/>
        </w:rPr>
        <w:t xml:space="preserve">The optimal Gradient Boosting configuration (learning_rate=0.05, max_depth=7, n_estimators=200) reflects a deep-tree slow-learning strategy: each boosting round makes small corrections, preventing overfitting while allowing complex non-linear decision boundaries.</w:t>
      </w:r>
    </w:p>
    <w:p>
      <w:pPr>
        <w:spacing w:before="160" w:after="160"/>
      </w:pPr>
      <w:r>
        <w:t xml:space="preserve"/>
      </w:r>
    </w:p>
    <w:p>
      <w:pPr>
        <w:pStyle w:val="Heading1"/>
        <w:spacing w:before="400" w:after="200"/>
      </w:pPr>
      <w:r>
        <w:rPr>
          <w:rFonts w:ascii="Arial" w:cs="Arial" w:eastAsia="Arial" w:hAnsi="Arial"/>
          <w:b/>
          <w:bCs/>
          <w:color w:val="0D47A1"/>
          <w:sz w:val="32"/>
          <w:szCs w:val="32"/>
        </w:rPr>
        <w:t xml:space="preserve">8. Model Evaluation Results</w:t>
      </w:r>
    </w:p>
    <w:p>
      <w:pPr>
        <w:pStyle w:val="Heading2"/>
        <w:spacing w:before="280" w:after="140"/>
      </w:pPr>
      <w:r>
        <w:rPr>
          <w:rFonts w:ascii="Arial" w:cs="Arial" w:eastAsia="Arial" w:hAnsi="Arial"/>
          <w:b/>
          <w:bCs/>
          <w:color w:val="1565C0"/>
          <w:sz w:val="26"/>
          <w:szCs w:val="26"/>
        </w:rPr>
        <w:t xml:space="preserve">8.1 Test Set Metrics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1350"/>
        <w:gridCol w:w="1350"/>
        <w:gridCol w:w="1300"/>
        <w:gridCol w:w="1400"/>
        <w:gridCol w:w="1510"/>
      </w:tblGrid>
      <w:tr>
        <w:tc>
          <w:tcPr>
            <w:tcW w:type="dxa" w:w="2450"/>
            <w:tcBorders>
              <w:top w:val="single" w:color="AAAAAA" w:sz="1"/>
              <w:left w:val="single" w:color="AAAAAA" w:sz="1"/>
              <w:bottom w:val="single" w:color="AAAAAA" w:sz="1"/>
              <w:right w:val="single" w:color="AAAAAA" w:sz="1"/>
            </w:tcBorders>
            <w:shd w:fill="1565C0" w:val="clear"/>
            <w:tcMar>
              <w:top w:type="dxa" w:w="80"/>
              <w:left w:type="dxa" w:w="140"/>
              <w:bottom w:type="dxa" w:w="80"/>
              <w:right w:type="dxa" w:w="140"/>
            </w:tcMar>
          </w:tcPr>
          <w:p>
            <w:r>
              <w:rPr>
                <w:rFonts w:ascii="Arial" w:cs="Arial" w:eastAsia="Arial" w:hAnsi="Arial"/>
                <w:b/>
                <w:bCs/>
                <w:color w:val="FFFFFF"/>
                <w:sz w:val="20"/>
                <w:szCs w:val="20"/>
              </w:rPr>
              <w:t xml:space="preserve">Model</w:t>
            </w:r>
          </w:p>
        </w:tc>
        <w:tc>
          <w:tcPr>
            <w:tcW w:type="dxa" w:w="1350"/>
            <w:tcBorders>
              <w:top w:val="single" w:color="AAAAAA" w:sz="1"/>
              <w:left w:val="single" w:color="AAAAAA" w:sz="1"/>
              <w:bottom w:val="single" w:color="AAAAAA" w:sz="1"/>
              <w:right w:val="single" w:color="AAAAAA" w:sz="1"/>
            </w:tcBorders>
            <w:shd w:fill="1565C0" w:val="clear"/>
            <w:tcMar>
              <w:top w:type="dxa" w:w="80"/>
              <w:left w:type="dxa" w:w="140"/>
              <w:bottom w:type="dxa" w:w="80"/>
              <w:right w:type="dxa" w:w="140"/>
            </w:tcMar>
          </w:tcPr>
          <w:p>
            <w:r>
              <w:rPr>
                <w:rFonts w:ascii="Arial" w:cs="Arial" w:eastAsia="Arial" w:hAnsi="Arial"/>
                <w:b/>
                <w:bCs/>
                <w:color w:val="FFFFFF"/>
                <w:sz w:val="20"/>
                <w:szCs w:val="20"/>
              </w:rPr>
              <w:t xml:space="preserve">Accuracy</w:t>
            </w:r>
          </w:p>
        </w:tc>
        <w:tc>
          <w:tcPr>
            <w:tcW w:type="dxa" w:w="1350"/>
            <w:tcBorders>
              <w:top w:val="single" w:color="AAAAAA" w:sz="1"/>
              <w:left w:val="single" w:color="AAAAAA" w:sz="1"/>
              <w:bottom w:val="single" w:color="AAAAAA" w:sz="1"/>
              <w:right w:val="single" w:color="AAAAAA" w:sz="1"/>
            </w:tcBorders>
            <w:shd w:fill="1565C0" w:val="clear"/>
            <w:tcMar>
              <w:top w:type="dxa" w:w="80"/>
              <w:left w:type="dxa" w:w="140"/>
              <w:bottom w:type="dxa" w:w="80"/>
              <w:right w:type="dxa" w:w="140"/>
            </w:tcMar>
          </w:tcPr>
          <w:p>
            <w:r>
              <w:rPr>
                <w:rFonts w:ascii="Arial" w:cs="Arial" w:eastAsia="Arial" w:hAnsi="Arial"/>
                <w:b/>
                <w:bCs/>
                <w:color w:val="FFFFFF"/>
                <w:sz w:val="20"/>
                <w:szCs w:val="20"/>
              </w:rPr>
              <w:t xml:space="preserve">Precision</w:t>
            </w:r>
          </w:p>
        </w:tc>
        <w:tc>
          <w:tcPr>
            <w:tcW w:type="dxa" w:w="1300"/>
            <w:tcBorders>
              <w:top w:val="single" w:color="AAAAAA" w:sz="1"/>
              <w:left w:val="single" w:color="AAAAAA" w:sz="1"/>
              <w:bottom w:val="single" w:color="AAAAAA" w:sz="1"/>
              <w:right w:val="single" w:color="AAAAAA" w:sz="1"/>
            </w:tcBorders>
            <w:shd w:fill="1565C0" w:val="clear"/>
            <w:tcMar>
              <w:top w:type="dxa" w:w="80"/>
              <w:left w:type="dxa" w:w="140"/>
              <w:bottom w:type="dxa" w:w="80"/>
              <w:right w:type="dxa" w:w="140"/>
            </w:tcMar>
          </w:tcPr>
          <w:p>
            <w:r>
              <w:rPr>
                <w:rFonts w:ascii="Arial" w:cs="Arial" w:eastAsia="Arial" w:hAnsi="Arial"/>
                <w:b/>
                <w:bCs/>
                <w:color w:val="FFFFFF"/>
                <w:sz w:val="20"/>
                <w:szCs w:val="20"/>
              </w:rPr>
              <w:t xml:space="preserve">Recall</w:t>
            </w:r>
          </w:p>
        </w:tc>
        <w:tc>
          <w:tcPr>
            <w:tcW w:type="dxa" w:w="1400"/>
            <w:tcBorders>
              <w:top w:val="single" w:color="AAAAAA" w:sz="1"/>
              <w:left w:val="single" w:color="AAAAAA" w:sz="1"/>
              <w:bottom w:val="single" w:color="AAAAAA" w:sz="1"/>
              <w:right w:val="single" w:color="AAAAAA" w:sz="1"/>
            </w:tcBorders>
            <w:shd w:fill="1565C0" w:val="clear"/>
            <w:tcMar>
              <w:top w:type="dxa" w:w="80"/>
              <w:left w:type="dxa" w:w="140"/>
              <w:bottom w:type="dxa" w:w="80"/>
              <w:right w:type="dxa" w:w="140"/>
            </w:tcMar>
          </w:tcPr>
          <w:p>
            <w:r>
              <w:rPr>
                <w:rFonts w:ascii="Arial" w:cs="Arial" w:eastAsia="Arial" w:hAnsi="Arial"/>
                <w:b/>
                <w:bCs/>
                <w:color w:val="FFFFFF"/>
                <w:sz w:val="20"/>
                <w:szCs w:val="20"/>
              </w:rPr>
              <w:t xml:space="preserve">F1-Score</w:t>
            </w:r>
          </w:p>
        </w:tc>
        <w:tc>
          <w:tcPr>
            <w:tcW w:type="dxa" w:w="1510"/>
            <w:tcBorders>
              <w:top w:val="single" w:color="AAAAAA" w:sz="1"/>
              <w:left w:val="single" w:color="AAAAAA" w:sz="1"/>
              <w:bottom w:val="single" w:color="AAAAAA" w:sz="1"/>
              <w:right w:val="single" w:color="AAAAAA" w:sz="1"/>
            </w:tcBorders>
            <w:shd w:fill="1565C0" w:val="clear"/>
            <w:tcMar>
              <w:top w:type="dxa" w:w="80"/>
              <w:left w:type="dxa" w:w="140"/>
              <w:bottom w:type="dxa" w:w="80"/>
              <w:right w:type="dxa" w:w="140"/>
            </w:tcMar>
          </w:tcPr>
          <w:p>
            <w:r>
              <w:rPr>
                <w:rFonts w:ascii="Arial" w:cs="Arial" w:eastAsia="Arial" w:hAnsi="Arial"/>
                <w:b/>
                <w:bCs/>
                <w:color w:val="FFFFFF"/>
                <w:sz w:val="20"/>
                <w:szCs w:val="20"/>
              </w:rPr>
              <w:t xml:space="preserve">AUC (approx)</w:t>
            </w:r>
          </w:p>
        </w:tc>
      </w:tr>
      <w:tr>
        <w:tc>
          <w:tcPr>
            <w:tcW w:type="dxa" w:w="245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SVC (Tuned)</w:t>
            </w:r>
          </w:p>
        </w:tc>
        <w:tc>
          <w:tcPr>
            <w:tcW w:type="dxa" w:w="135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73.25%</w:t>
            </w:r>
          </w:p>
        </w:tc>
        <w:tc>
          <w:tcPr>
            <w:tcW w:type="dxa" w:w="135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72.04%</w:t>
            </w:r>
          </w:p>
        </w:tc>
        <w:tc>
          <w:tcPr>
            <w:tcW w:type="dxa" w:w="13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76.00%</w:t>
            </w:r>
          </w:p>
        </w:tc>
        <w:tc>
          <w:tcPr>
            <w:tcW w:type="dxa" w:w="14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73.97%</w:t>
            </w:r>
          </w:p>
        </w:tc>
        <w:tc>
          <w:tcPr>
            <w:tcW w:type="dxa" w:w="151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~0.80</w:t>
            </w:r>
          </w:p>
        </w:tc>
      </w:tr>
      <w:tr>
        <w:tc>
          <w:tcPr>
            <w:tcW w:type="dxa" w:w="245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Random Forest (Tuned)</w:t>
            </w:r>
          </w:p>
        </w:tc>
        <w:tc>
          <w:tcPr>
            <w:tcW w:type="dxa" w:w="135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89.25%</w:t>
            </w:r>
          </w:p>
        </w:tc>
        <w:tc>
          <w:tcPr>
            <w:tcW w:type="dxa" w:w="135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90.46%</w:t>
            </w:r>
          </w:p>
        </w:tc>
        <w:tc>
          <w:tcPr>
            <w:tcW w:type="dxa" w:w="13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87.75%</w:t>
            </w:r>
          </w:p>
        </w:tc>
        <w:tc>
          <w:tcPr>
            <w:tcW w:type="dxa" w:w="14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89.09%</w:t>
            </w:r>
          </w:p>
        </w:tc>
        <w:tc>
          <w:tcPr>
            <w:tcW w:type="dxa" w:w="151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~0.96</w:t>
            </w:r>
          </w:p>
        </w:tc>
      </w:tr>
      <w:tr>
        <w:tc>
          <w:tcPr>
            <w:tcW w:type="dxa" w:w="245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KNN</w:t>
            </w:r>
          </w:p>
        </w:tc>
        <w:tc>
          <w:tcPr>
            <w:tcW w:type="dxa" w:w="135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63.75%</w:t>
            </w:r>
          </w:p>
        </w:tc>
        <w:tc>
          <w:tcPr>
            <w:tcW w:type="dxa" w:w="135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62.79%</w:t>
            </w:r>
          </w:p>
        </w:tc>
        <w:tc>
          <w:tcPr>
            <w:tcW w:type="dxa" w:w="13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67.50%</w:t>
            </w:r>
          </w:p>
        </w:tc>
        <w:tc>
          <w:tcPr>
            <w:tcW w:type="dxa" w:w="14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65.06%</w:t>
            </w:r>
          </w:p>
        </w:tc>
        <w:tc>
          <w:tcPr>
            <w:tcW w:type="dxa" w:w="151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~0.70</w:t>
            </w:r>
          </w:p>
        </w:tc>
      </w:tr>
      <w:tr>
        <w:tc>
          <w:tcPr>
            <w:tcW w:type="dxa" w:w="245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Decision Tree</w:t>
            </w:r>
          </w:p>
        </w:tc>
        <w:tc>
          <w:tcPr>
            <w:tcW w:type="dxa" w:w="135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83.50%</w:t>
            </w:r>
          </w:p>
        </w:tc>
        <w:tc>
          <w:tcPr>
            <w:tcW w:type="dxa" w:w="135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80.04%</w:t>
            </w:r>
          </w:p>
        </w:tc>
        <w:tc>
          <w:tcPr>
            <w:tcW w:type="dxa" w:w="13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89.25%</w:t>
            </w:r>
          </w:p>
        </w:tc>
        <w:tc>
          <w:tcPr>
            <w:tcW w:type="dxa" w:w="14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84.40%</w:t>
            </w:r>
          </w:p>
        </w:tc>
        <w:tc>
          <w:tcPr>
            <w:tcW w:type="dxa" w:w="151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~0.84</w:t>
            </w:r>
          </w:p>
        </w:tc>
      </w:tr>
      <w:tr>
        <w:tc>
          <w:tcPr>
            <w:tcW w:type="dxa" w:w="245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Gradient Boosting (Tuned)</w:t>
            </w:r>
          </w:p>
        </w:tc>
        <w:tc>
          <w:tcPr>
            <w:tcW w:type="dxa" w:w="135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89.25%</w:t>
            </w:r>
          </w:p>
        </w:tc>
        <w:tc>
          <w:tcPr>
            <w:tcW w:type="dxa" w:w="135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89.05%</w:t>
            </w:r>
          </w:p>
        </w:tc>
        <w:tc>
          <w:tcPr>
            <w:tcW w:type="dxa" w:w="13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89.50%</w:t>
            </w:r>
          </w:p>
        </w:tc>
        <w:tc>
          <w:tcPr>
            <w:tcW w:type="dxa" w:w="14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89.28%  BEST</w:t>
            </w:r>
          </w:p>
        </w:tc>
        <w:tc>
          <w:tcPr>
            <w:tcW w:type="dxa" w:w="151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~0.96</w:t>
            </w:r>
          </w:p>
        </w:tc>
      </w:tr>
    </w:tbl>
    <w:p>
      <w:pPr>
        <w:spacing w:before="160" w:after="160"/>
      </w:pPr>
      <w:r>
        <w:t xml:space="preserve"/>
      </w:r>
    </w:p>
    <w:p>
      <w:pPr>
        <w:pStyle w:val="Heading2"/>
        <w:spacing w:before="280" w:after="140"/>
      </w:pPr>
      <w:r>
        <w:rPr>
          <w:rFonts w:ascii="Arial" w:cs="Arial" w:eastAsia="Arial" w:hAnsi="Arial"/>
          <w:b/>
          <w:bCs/>
          <w:color w:val="1565C0"/>
          <w:sz w:val="26"/>
          <w:szCs w:val="26"/>
        </w:rPr>
        <w:t xml:space="preserve">8.2 Analysis</w:t>
      </w:r>
    </w:p>
    <w:p>
      <w:pPr>
        <w:pStyle w:val="ListParagraph"/>
        <w:numPr>
          <w:ilvl w:val="0"/>
          <w:numId w:val="2"/>
        </w:numPr>
        <w:spacing w:before="40" w:after="40"/>
      </w:pPr>
      <w:r>
        <w:rPr>
          <w:rFonts w:ascii="Arial" w:cs="Arial" w:eastAsia="Arial" w:hAnsi="Arial"/>
          <w:sz w:val="22"/>
          <w:szCs w:val="22"/>
        </w:rPr>
        <w:t xml:space="preserve">Gradient Boosting and Random Forest both achieve 89.25% accuracy — the ensemble advantage over single models is clear</w:t>
      </w:r>
    </w:p>
    <w:p>
      <w:pPr>
        <w:pStyle w:val="ListParagraph"/>
        <w:numPr>
          <w:ilvl w:val="0"/>
          <w:numId w:val="2"/>
        </w:numPr>
        <w:spacing w:before="40" w:after="40"/>
      </w:pPr>
      <w:r>
        <w:rPr>
          <w:rFonts w:ascii="Arial" w:cs="Arial" w:eastAsia="Arial" w:hAnsi="Arial"/>
          <w:sz w:val="22"/>
          <w:szCs w:val="22"/>
        </w:rPr>
        <w:t xml:space="preserve">Gradient Boosting has better balanced Precision/Recall (89.05%/89.50%) vs Random Forest (90.46%/87.75%), making it more reliable across both error types</w:t>
      </w:r>
    </w:p>
    <w:p>
      <w:pPr>
        <w:pStyle w:val="ListParagraph"/>
        <w:numPr>
          <w:ilvl w:val="0"/>
          <w:numId w:val="2"/>
        </w:numPr>
        <w:spacing w:before="40" w:after="40"/>
      </w:pPr>
      <w:r>
        <w:rPr>
          <w:rFonts w:ascii="Arial" w:cs="Arial" w:eastAsia="Arial" w:hAnsi="Arial"/>
          <w:sz w:val="22"/>
          <w:szCs w:val="22"/>
        </w:rPr>
        <w:t xml:space="preserve">Both top models achieve AUC ≈ 0.96, confirming excellent discriminative ability at all classification thresholds</w:t>
      </w:r>
    </w:p>
    <w:p>
      <w:pPr>
        <w:pStyle w:val="ListParagraph"/>
        <w:numPr>
          <w:ilvl w:val="0"/>
          <w:numId w:val="2"/>
        </w:numPr>
        <w:spacing w:before="40" w:after="40"/>
      </w:pPr>
      <w:r>
        <w:rPr>
          <w:rFonts w:ascii="Arial" w:cs="Arial" w:eastAsia="Arial" w:hAnsi="Arial"/>
          <w:sz w:val="22"/>
          <w:szCs w:val="22"/>
        </w:rPr>
        <w:t xml:space="preserve">KNN performs worst (F1=0.651) due to the high-dimensional overlapping feature space</w:t>
      </w:r>
    </w:p>
    <w:p>
      <w:pPr>
        <w:pStyle w:val="ListParagraph"/>
        <w:numPr>
          <w:ilvl w:val="0"/>
          <w:numId w:val="2"/>
        </w:numPr>
        <w:spacing w:before="40" w:after="40"/>
      </w:pPr>
      <w:r>
        <w:rPr>
          <w:rFonts w:ascii="Arial" w:cs="Arial" w:eastAsia="Arial" w:hAnsi="Arial"/>
          <w:sz w:val="22"/>
          <w:szCs w:val="22"/>
        </w:rPr>
        <w:t xml:space="preserve">Decision Tree shows high recall (89.25%) but the lowest precision (80.04%) — it over-classifies water as potable</w:t>
      </w:r>
    </w:p>
    <w:p>
      <w:pPr>
        <w:pStyle w:val="Heading2"/>
        <w:spacing w:before="280" w:after="140"/>
      </w:pPr>
      <w:r>
        <w:rPr>
          <w:rFonts w:ascii="Arial" w:cs="Arial" w:eastAsia="Arial" w:hAnsi="Arial"/>
          <w:b/>
          <w:bCs/>
          <w:color w:val="1565C0"/>
          <w:sz w:val="26"/>
          <w:szCs w:val="26"/>
        </w:rPr>
        <w:t xml:space="preserve">8.3 Confusion Matrix — Best Model (Gradient Boosting)</w:t>
      </w:r>
    </w:p>
    <w:p>
      <w:pPr>
        <w:spacing w:before="60" w:after="100"/>
        <w:jc w:val="both"/>
      </w:pPr>
      <w:r>
        <w:rPr>
          <w:rFonts w:ascii="Arial" w:cs="Arial" w:eastAsia="Arial" w:hAnsi="Arial"/>
          <w:sz w:val="22"/>
          <w:szCs w:val="22"/>
        </w:rPr>
        <w:t xml:space="preserve">On 800 test samples (400 per class after balanced split):</w:t>
      </w:r>
    </w:p>
    <w:p>
      <w:pPr>
        <w:pStyle w:val="ListParagraph"/>
        <w:numPr>
          <w:ilvl w:val="0"/>
          <w:numId w:val="2"/>
        </w:numPr>
        <w:spacing w:before="40" w:after="40"/>
      </w:pPr>
      <w:r>
        <w:rPr>
          <w:rFonts w:ascii="Arial" w:cs="Arial" w:eastAsia="Arial" w:hAnsi="Arial"/>
          <w:sz w:val="22"/>
          <w:szCs w:val="22"/>
        </w:rPr>
        <w:t xml:space="preserve">True Positives (Potable correctly predicted): 358 / 400 = 89.5%</w:t>
      </w:r>
    </w:p>
    <w:p>
      <w:pPr>
        <w:pStyle w:val="ListParagraph"/>
        <w:numPr>
          <w:ilvl w:val="0"/>
          <w:numId w:val="2"/>
        </w:numPr>
        <w:spacing w:before="40" w:after="40"/>
      </w:pPr>
      <w:r>
        <w:rPr>
          <w:rFonts w:ascii="Arial" w:cs="Arial" w:eastAsia="Arial" w:hAnsi="Arial"/>
          <w:sz w:val="22"/>
          <w:szCs w:val="22"/>
        </w:rPr>
        <w:t xml:space="preserve">True Negatives (Non-potable correctly predicted): 356 / 400 = 89.0%</w:t>
      </w:r>
    </w:p>
    <w:p>
      <w:pPr>
        <w:pStyle w:val="ListParagraph"/>
        <w:numPr>
          <w:ilvl w:val="0"/>
          <w:numId w:val="2"/>
        </w:numPr>
        <w:spacing w:before="40" w:after="40"/>
      </w:pPr>
      <w:r>
        <w:rPr>
          <w:rFonts w:ascii="Arial" w:cs="Arial" w:eastAsia="Arial" w:hAnsi="Arial"/>
          <w:sz w:val="22"/>
          <w:szCs w:val="22"/>
        </w:rPr>
        <w:t xml:space="preserve">False Positives (Non-potable flagged as Potable): 44 — water safety risk</w:t>
      </w:r>
    </w:p>
    <w:p>
      <w:pPr>
        <w:pStyle w:val="ListParagraph"/>
        <w:numPr>
          <w:ilvl w:val="0"/>
          <w:numId w:val="2"/>
        </w:numPr>
        <w:spacing w:before="40" w:after="40"/>
      </w:pPr>
      <w:r>
        <w:rPr>
          <w:rFonts w:ascii="Arial" w:cs="Arial" w:eastAsia="Arial" w:hAnsi="Arial"/>
          <w:sz w:val="22"/>
          <w:szCs w:val="22"/>
        </w:rPr>
        <w:t xml:space="preserve">False Negatives (Potable flagged as Non-potable): 42 — unnecessary water rejection</w:t>
      </w:r>
    </w:p>
    <w:p>
      <w:pPr>
        <w:spacing w:before="160" w:after="160"/>
      </w:pPr>
      <w:r>
        <w:t xml:space="preserve"/>
      </w:r>
    </w:p>
    <w:p>
      <w:pPr>
        <w:pStyle w:val="Heading1"/>
        <w:spacing w:before="400" w:after="200"/>
      </w:pPr>
      <w:r>
        <w:rPr>
          <w:rFonts w:ascii="Arial" w:cs="Arial" w:eastAsia="Arial" w:hAnsi="Arial"/>
          <w:b/>
          <w:bCs/>
          <w:color w:val="0D47A1"/>
          <w:sz w:val="32"/>
          <w:szCs w:val="32"/>
        </w:rPr>
        <w:t xml:space="preserve">9. Feature Importance</w:t>
      </w:r>
    </w:p>
    <w:p>
      <w:pPr>
        <w:spacing w:before="60" w:after="100"/>
        <w:jc w:val="both"/>
      </w:pPr>
      <w:r>
        <w:rPr>
          <w:rFonts w:ascii="Arial" w:cs="Arial" w:eastAsia="Arial" w:hAnsi="Arial"/>
          <w:sz w:val="22"/>
          <w:szCs w:val="22"/>
        </w:rPr>
        <w:t xml:space="preserve">Feature importance was derived from both Random Forest (mean decrease in Gini impurity across all trees) and Gradient Boosting (total loss reduction attributed to each feature across all boosting rounds). Both methods yield consistent rankings: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600"/>
        <w:gridCol w:w="1600"/>
        <w:gridCol w:w="3660"/>
      </w:tblGrid>
      <w:tr>
        <w:tc>
          <w:tcPr>
            <w:tcW w:type="dxa" w:w="700"/>
            <w:tcBorders>
              <w:top w:val="single" w:color="AAAAAA" w:sz="1"/>
              <w:left w:val="single" w:color="AAAAAA" w:sz="1"/>
              <w:bottom w:val="single" w:color="AAAAAA" w:sz="1"/>
              <w:right w:val="single" w:color="AAAAAA" w:sz="1"/>
            </w:tcBorders>
            <w:shd w:fill="1565C0" w:val="clear"/>
            <w:tcMar>
              <w:top w:type="dxa" w:w="80"/>
              <w:left w:type="dxa" w:w="140"/>
              <w:bottom w:type="dxa" w:w="80"/>
              <w:right w:type="dxa" w:w="140"/>
            </w:tcMar>
          </w:tcPr>
          <w:p>
            <w:r>
              <w:rPr>
                <w:rFonts w:ascii="Arial" w:cs="Arial" w:eastAsia="Arial" w:hAnsi="Arial"/>
                <w:b/>
                <w:bCs/>
                <w:color w:val="FFFFFF"/>
                <w:sz w:val="20"/>
                <w:szCs w:val="20"/>
              </w:rPr>
              <w:t xml:space="preserve">Rank</w:t>
            </w:r>
          </w:p>
        </w:tc>
        <w:tc>
          <w:tcPr>
            <w:tcW w:type="dxa" w:w="1800"/>
            <w:tcBorders>
              <w:top w:val="single" w:color="AAAAAA" w:sz="1"/>
              <w:left w:val="single" w:color="AAAAAA" w:sz="1"/>
              <w:bottom w:val="single" w:color="AAAAAA" w:sz="1"/>
              <w:right w:val="single" w:color="AAAAAA" w:sz="1"/>
            </w:tcBorders>
            <w:shd w:fill="1565C0"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1600"/>
            <w:tcBorders>
              <w:top w:val="single" w:color="AAAAAA" w:sz="1"/>
              <w:left w:val="single" w:color="AAAAAA" w:sz="1"/>
              <w:bottom w:val="single" w:color="AAAAAA" w:sz="1"/>
              <w:right w:val="single" w:color="AAAAAA" w:sz="1"/>
            </w:tcBorders>
            <w:shd w:fill="1565C0" w:val="clear"/>
            <w:tcMar>
              <w:top w:type="dxa" w:w="80"/>
              <w:left w:type="dxa" w:w="140"/>
              <w:bottom w:type="dxa" w:w="80"/>
              <w:right w:type="dxa" w:w="140"/>
            </w:tcMar>
          </w:tcPr>
          <w:p>
            <w:r>
              <w:rPr>
                <w:rFonts w:ascii="Arial" w:cs="Arial" w:eastAsia="Arial" w:hAnsi="Arial"/>
                <w:b/>
                <w:bCs/>
                <w:color w:val="FFFFFF"/>
                <w:sz w:val="20"/>
                <w:szCs w:val="20"/>
              </w:rPr>
              <w:t xml:space="preserve">RF Importance</w:t>
            </w:r>
          </w:p>
        </w:tc>
        <w:tc>
          <w:tcPr>
            <w:tcW w:type="dxa" w:w="1600"/>
            <w:tcBorders>
              <w:top w:val="single" w:color="AAAAAA" w:sz="1"/>
              <w:left w:val="single" w:color="AAAAAA" w:sz="1"/>
              <w:bottom w:val="single" w:color="AAAAAA" w:sz="1"/>
              <w:right w:val="single" w:color="AAAAAA" w:sz="1"/>
            </w:tcBorders>
            <w:shd w:fill="1565C0" w:val="clear"/>
            <w:tcMar>
              <w:top w:type="dxa" w:w="80"/>
              <w:left w:type="dxa" w:w="140"/>
              <w:bottom w:type="dxa" w:w="80"/>
              <w:right w:type="dxa" w:w="140"/>
            </w:tcMar>
          </w:tcPr>
          <w:p>
            <w:r>
              <w:rPr>
                <w:rFonts w:ascii="Arial" w:cs="Arial" w:eastAsia="Arial" w:hAnsi="Arial"/>
                <w:b/>
                <w:bCs/>
                <w:color w:val="FFFFFF"/>
                <w:sz w:val="20"/>
                <w:szCs w:val="20"/>
              </w:rPr>
              <w:t xml:space="preserve">GB Importance</w:t>
            </w:r>
          </w:p>
        </w:tc>
        <w:tc>
          <w:tcPr>
            <w:tcW w:type="dxa" w:w="3660"/>
            <w:tcBorders>
              <w:top w:val="single" w:color="AAAAAA" w:sz="1"/>
              <w:left w:val="single" w:color="AAAAAA" w:sz="1"/>
              <w:bottom w:val="single" w:color="AAAAAA" w:sz="1"/>
              <w:right w:val="single" w:color="AAAAAA" w:sz="1"/>
            </w:tcBorders>
            <w:shd w:fill="1565C0" w:val="clear"/>
            <w:tcMar>
              <w:top w:type="dxa" w:w="80"/>
              <w:left w:type="dxa" w:w="140"/>
              <w:bottom w:type="dxa" w:w="80"/>
              <w:right w:type="dxa" w:w="140"/>
            </w:tcMar>
          </w:tcPr>
          <w:p>
            <w:r>
              <w:rPr>
                <w:rFonts w:ascii="Arial" w:cs="Arial" w:eastAsia="Arial" w:hAnsi="Arial"/>
                <w:b/>
                <w:bCs/>
                <w:color w:val="FFFFFF"/>
                <w:sz w:val="20"/>
                <w:szCs w:val="20"/>
              </w:rPr>
              <w:t xml:space="preserve">Insight</w:t>
            </w:r>
          </w:p>
        </w:tc>
      </w:tr>
      <w:tr>
        <w:tc>
          <w:tcPr>
            <w:tcW w:type="dxa" w:w="7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1</w:t>
            </w:r>
          </w:p>
        </w:tc>
        <w:tc>
          <w:tcPr>
            <w:tcW w:type="dxa" w:w="18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Solids</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~15%</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~18%</w:t>
            </w:r>
          </w:p>
        </w:tc>
        <w:tc>
          <w:tcPr>
            <w:tcW w:type="dxa" w:w="36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Total dissolved content is the top predictor</w:t>
            </w:r>
          </w:p>
        </w:tc>
      </w:tr>
      <w:tr>
        <w:tc>
          <w:tcPr>
            <w:tcW w:type="dxa" w:w="7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2</w:t>
            </w:r>
          </w:p>
        </w:tc>
        <w:tc>
          <w:tcPr>
            <w:tcW w:type="dxa" w:w="18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Conductivity</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~12%</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~13%</w:t>
            </w:r>
          </w:p>
        </w:tc>
        <w:tc>
          <w:tcPr>
            <w:tcW w:type="dxa" w:w="36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Physically linked to dissolved solids</w:t>
            </w:r>
          </w:p>
        </w:tc>
      </w:tr>
      <w:tr>
        <w:tc>
          <w:tcPr>
            <w:tcW w:type="dxa" w:w="7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3</w:t>
            </w:r>
          </w:p>
        </w:tc>
        <w:tc>
          <w:tcPr>
            <w:tcW w:type="dxa" w:w="18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Sulfate</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~12%</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~12%</w:t>
            </w:r>
          </w:p>
        </w:tc>
        <w:tc>
          <w:tcPr>
            <w:tcW w:type="dxa" w:w="36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Key inorganic contaminant</w:t>
            </w:r>
          </w:p>
        </w:tc>
      </w:tr>
      <w:tr>
        <w:tc>
          <w:tcPr>
            <w:tcW w:type="dxa" w:w="7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4</w:t>
            </w:r>
          </w:p>
        </w:tc>
        <w:tc>
          <w:tcPr>
            <w:tcW w:type="dxa" w:w="18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pH</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~11%</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~11%</w:t>
            </w:r>
          </w:p>
        </w:tc>
        <w:tc>
          <w:tcPr>
            <w:tcW w:type="dxa" w:w="36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Critical biological safety parameter</w:t>
            </w:r>
          </w:p>
        </w:tc>
      </w:tr>
      <w:tr>
        <w:tc>
          <w:tcPr>
            <w:tcW w:type="dxa" w:w="7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5</w:t>
            </w:r>
          </w:p>
        </w:tc>
        <w:tc>
          <w:tcPr>
            <w:tcW w:type="dxa" w:w="18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Hardness</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~11%</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~10%</w:t>
            </w:r>
          </w:p>
        </w:tc>
        <w:tc>
          <w:tcPr>
            <w:tcW w:type="dxa" w:w="36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Mineral content affects health &amp; taste</w:t>
            </w:r>
          </w:p>
        </w:tc>
      </w:tr>
      <w:tr>
        <w:tc>
          <w:tcPr>
            <w:tcW w:type="dxa" w:w="7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6</w:t>
            </w:r>
          </w:p>
        </w:tc>
        <w:tc>
          <w:tcPr>
            <w:tcW w:type="dxa" w:w="18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Organic_carbon</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~10%</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~10%</w:t>
            </w:r>
          </w:p>
        </w:tc>
        <w:tc>
          <w:tcPr>
            <w:tcW w:type="dxa" w:w="36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Organic contamination indicator</w:t>
            </w:r>
          </w:p>
        </w:tc>
      </w:tr>
      <w:tr>
        <w:tc>
          <w:tcPr>
            <w:tcW w:type="dxa" w:w="7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7</w:t>
            </w:r>
          </w:p>
        </w:tc>
        <w:tc>
          <w:tcPr>
            <w:tcW w:type="dxa" w:w="18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Chloramines</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~10%</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~10%</w:t>
            </w:r>
          </w:p>
        </w:tc>
        <w:tc>
          <w:tcPr>
            <w:tcW w:type="dxa" w:w="36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Disinfectant residual level</w:t>
            </w:r>
          </w:p>
        </w:tc>
      </w:tr>
      <w:tr>
        <w:tc>
          <w:tcPr>
            <w:tcW w:type="dxa" w:w="7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8</w:t>
            </w:r>
          </w:p>
        </w:tc>
        <w:tc>
          <w:tcPr>
            <w:tcW w:type="dxa" w:w="18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Trihalomethanes</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~10%</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~9%</w:t>
            </w:r>
          </w:p>
        </w:tc>
        <w:tc>
          <w:tcPr>
            <w:tcW w:type="dxa" w:w="36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Disinfection by-products</w:t>
            </w:r>
          </w:p>
        </w:tc>
      </w:tr>
      <w:tr>
        <w:tc>
          <w:tcPr>
            <w:tcW w:type="dxa" w:w="7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9</w:t>
            </w:r>
          </w:p>
        </w:tc>
        <w:tc>
          <w:tcPr>
            <w:tcW w:type="dxa" w:w="18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Turbidity</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~9%</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~8%</w:t>
            </w:r>
          </w:p>
        </w:tc>
        <w:tc>
          <w:tcPr>
            <w:tcW w:type="dxa" w:w="36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Visual clarity proxy for contamination</w:t>
            </w:r>
          </w:p>
        </w:tc>
      </w:tr>
    </w:tbl>
    <w:p>
      <w:pPr>
        <w:spacing w:before="160" w:after="160"/>
      </w:pPr>
      <w:r>
        <w:t xml:space="preserve"/>
      </w:r>
    </w:p>
    <w:p>
      <w:pPr>
        <w:spacing w:before="60" w:after="100"/>
        <w:jc w:val="both"/>
      </w:pPr>
      <w:r>
        <w:rPr>
          <w:rFonts w:ascii="Arial" w:cs="Arial" w:eastAsia="Arial" w:hAnsi="Arial"/>
          <w:sz w:val="22"/>
          <w:szCs w:val="22"/>
        </w:rPr>
        <w:t xml:space="preserve">All features contribute relatively equally (range ~8–18%), indicating that water potability is a multi-factorial property. No single parameter dominates, which explains why ensemble methods that aggregate across all features outperform single-feature or linear models.</w:t>
      </w:r>
    </w:p>
    <w:p>
      <w:pPr>
        <w:spacing w:before="160" w:after="160"/>
      </w:pPr>
      <w:r>
        <w:t xml:space="preserve"/>
      </w:r>
    </w:p>
    <w:p>
      <w:pPr>
        <w:pStyle w:val="Heading1"/>
        <w:spacing w:before="400" w:after="200"/>
      </w:pPr>
      <w:r>
        <w:rPr>
          <w:rFonts w:ascii="Arial" w:cs="Arial" w:eastAsia="Arial" w:hAnsi="Arial"/>
          <w:b/>
          <w:bCs/>
          <w:color w:val="0D47A1"/>
          <w:sz w:val="32"/>
          <w:szCs w:val="32"/>
        </w:rPr>
        <w:t xml:space="preserve">10. Model Deployment</w:t>
      </w:r>
    </w:p>
    <w:p>
      <w:pPr>
        <w:pStyle w:val="Heading2"/>
        <w:spacing w:before="280" w:after="140"/>
      </w:pPr>
      <w:r>
        <w:rPr>
          <w:rFonts w:ascii="Arial" w:cs="Arial" w:eastAsia="Arial" w:hAnsi="Arial"/>
          <w:b/>
          <w:bCs/>
          <w:color w:val="1565C0"/>
          <w:sz w:val="26"/>
          <w:szCs w:val="26"/>
        </w:rPr>
        <w:t xml:space="preserve">10.1 Flask Web Application</w:t>
      </w:r>
    </w:p>
    <w:p>
      <w:pPr>
        <w:spacing w:before="60" w:after="100"/>
        <w:jc w:val="both"/>
      </w:pPr>
      <w:r>
        <w:rPr>
          <w:rFonts w:ascii="Arial" w:cs="Arial" w:eastAsia="Arial" w:hAnsi="Arial"/>
          <w:sz w:val="22"/>
          <w:szCs w:val="22"/>
        </w:rPr>
        <w:t xml:space="preserve">The Gradient Boosting model was serialised with joblib and deployed as a Flask web application providing both an interactive UI and a programmatic REST API.</w:t>
      </w:r>
    </w:p>
    <w:p>
      <w:pPr>
        <w:pStyle w:val="ListParagraph"/>
        <w:numPr>
          <w:ilvl w:val="0"/>
          <w:numId w:val="2"/>
        </w:numPr>
        <w:spacing w:before="40" w:after="40"/>
      </w:pPr>
      <w:r>
        <w:rPr>
          <w:rFonts w:ascii="Arial" w:cs="Arial" w:eastAsia="Arial" w:hAnsi="Arial"/>
          <w:sz w:val="22"/>
          <w:szCs w:val="22"/>
        </w:rPr>
        <w:t xml:space="preserve">Interactive Web UI: 9 sliders for parameter input with WHO guideline references, real-time prediction, colour-coded result (green = potable, red = not potable), probability bar</w:t>
      </w:r>
    </w:p>
    <w:p>
      <w:pPr>
        <w:pStyle w:val="ListParagraph"/>
        <w:numPr>
          <w:ilvl w:val="0"/>
          <w:numId w:val="2"/>
        </w:numPr>
        <w:spacing w:before="40" w:after="40"/>
      </w:pPr>
      <w:r>
        <w:rPr>
          <w:rFonts w:ascii="Arial" w:cs="Arial" w:eastAsia="Arial" w:hAnsi="Arial"/>
          <w:sz w:val="22"/>
          <w:szCs w:val="22"/>
        </w:rPr>
        <w:t xml:space="preserve">REST API: POST /predict endpoint accepts JSON of 9 features, returns prediction, probability, and label</w:t>
      </w:r>
    </w:p>
    <w:p>
      <w:pPr>
        <w:pStyle w:val="ListParagraph"/>
        <w:numPr>
          <w:ilvl w:val="0"/>
          <w:numId w:val="2"/>
        </w:numPr>
        <w:spacing w:before="40" w:after="40"/>
      </w:pPr>
      <w:r>
        <w:rPr>
          <w:rFonts w:ascii="Arial" w:cs="Arial" w:eastAsia="Arial" w:hAnsi="Arial"/>
          <w:sz w:val="22"/>
          <w:szCs w:val="22"/>
        </w:rPr>
        <w:t xml:space="preserve">Health endpoint: GET /health for uptime monitoring</w:t>
      </w:r>
    </w:p>
    <w:p>
      <w:pPr>
        <w:pStyle w:val="Heading2"/>
        <w:spacing w:before="280" w:after="140"/>
      </w:pPr>
      <w:r>
        <w:rPr>
          <w:rFonts w:ascii="Arial" w:cs="Arial" w:eastAsia="Arial" w:hAnsi="Arial"/>
          <w:b/>
          <w:bCs/>
          <w:color w:val="1565C0"/>
          <w:sz w:val="26"/>
          <w:szCs w:val="26"/>
        </w:rPr>
        <w:t xml:space="preserve">10.2 Running Locally</w:t>
      </w:r>
    </w:p>
    <w:p>
      <w:pPr>
        <w:spacing w:before="40" w:after="40"/>
      </w:pPr>
      <w:r>
        <w:rPr>
          <w:rFonts w:ascii="Courier New" w:cs="Courier New" w:eastAsia="Courier New" w:hAnsi="Courier New"/>
          <w:color w:val="1565C0"/>
          <w:sz w:val="20"/>
          <w:szCs w:val="20"/>
        </w:rPr>
        <w:t xml:space="preserve">pip install -r requirements.txt</w:t>
      </w:r>
    </w:p>
    <w:p>
      <w:pPr>
        <w:spacing w:before="40" w:after="40"/>
      </w:pPr>
      <w:r>
        <w:rPr>
          <w:rFonts w:ascii="Courier New" w:cs="Courier New" w:eastAsia="Courier New" w:hAnsi="Courier New"/>
          <w:color w:val="1565C0"/>
          <w:sz w:val="20"/>
          <w:szCs w:val="20"/>
        </w:rPr>
        <w:t xml:space="preserve">python app.py</w:t>
      </w:r>
    </w:p>
    <w:p>
      <w:pPr>
        <w:spacing w:before="40" w:after="40"/>
      </w:pPr>
      <w:r>
        <w:rPr>
          <w:rFonts w:ascii="Courier New" w:cs="Courier New" w:eastAsia="Courier New" w:hAnsi="Courier New"/>
          <w:color w:val="1565C0"/>
          <w:sz w:val="20"/>
          <w:szCs w:val="20"/>
        </w:rPr>
        <w:t xml:space="preserve"># Open browser: http://localhost:5000</w:t>
      </w:r>
    </w:p>
    <w:p>
      <w:pPr>
        <w:pStyle w:val="Heading2"/>
        <w:spacing w:before="280" w:after="140"/>
      </w:pPr>
      <w:r>
        <w:rPr>
          <w:rFonts w:ascii="Arial" w:cs="Arial" w:eastAsia="Arial" w:hAnsi="Arial"/>
          <w:b/>
          <w:bCs/>
          <w:color w:val="1565C0"/>
          <w:sz w:val="26"/>
          <w:szCs w:val="26"/>
        </w:rPr>
        <w:t xml:space="preserve">10.3 Cloud Deployment</w:t>
      </w:r>
    </w:p>
    <w:p>
      <w:pPr>
        <w:spacing w:before="60" w:after="100"/>
        <w:jc w:val="both"/>
      </w:pPr>
      <w:r>
        <w:rPr>
          <w:rFonts w:ascii="Arial" w:cs="Arial" w:eastAsia="Arial" w:hAnsi="Arial"/>
          <w:sz w:val="22"/>
          <w:szCs w:val="22"/>
        </w:rPr>
        <w:t xml:space="preserve">The project is configured for free cloud deployment on Render.com or Railway.app using the included Procfile (gunicorn WSGI server):</w:t>
      </w:r>
    </w:p>
    <w:p>
      <w:pPr>
        <w:pStyle w:val="ListParagraph"/>
        <w:numPr>
          <w:ilvl w:val="0"/>
          <w:numId w:val="2"/>
        </w:numPr>
        <w:spacing w:before="40" w:after="40"/>
      </w:pPr>
      <w:r>
        <w:rPr>
          <w:rFonts w:ascii="Arial" w:cs="Arial" w:eastAsia="Arial" w:hAnsi="Arial"/>
          <w:sz w:val="22"/>
          <w:szCs w:val="22"/>
        </w:rPr>
        <w:t xml:space="preserve">Push project to a GitHub repository</w:t>
      </w:r>
    </w:p>
    <w:p>
      <w:pPr>
        <w:pStyle w:val="ListParagraph"/>
        <w:numPr>
          <w:ilvl w:val="0"/>
          <w:numId w:val="2"/>
        </w:numPr>
        <w:spacing w:before="40" w:after="40"/>
      </w:pPr>
      <w:r>
        <w:rPr>
          <w:rFonts w:ascii="Arial" w:cs="Arial" w:eastAsia="Arial" w:hAnsi="Arial"/>
          <w:sz w:val="22"/>
          <w:szCs w:val="22"/>
        </w:rPr>
        <w:t xml:space="preserve">On Render.com: New Web Service → Connect repo → Build: "pip install -r requirements.txt" → Start: "gunicorn app:app"</w:t>
      </w:r>
    </w:p>
    <w:p>
      <w:pPr>
        <w:pStyle w:val="ListParagraph"/>
        <w:numPr>
          <w:ilvl w:val="0"/>
          <w:numId w:val="2"/>
        </w:numPr>
        <w:spacing w:before="40" w:after="40"/>
      </w:pPr>
      <w:r>
        <w:rPr>
          <w:rFonts w:ascii="Arial" w:cs="Arial" w:eastAsia="Arial" w:hAnsi="Arial"/>
          <w:sz w:val="22"/>
          <w:szCs w:val="22"/>
        </w:rPr>
        <w:t xml:space="preserve">On Railway.app: New Project from GitHub → Start command: "gunicorn app:app" → Deploy</w:t>
      </w:r>
    </w:p>
    <w:p>
      <w:pPr>
        <w:pStyle w:val="Heading2"/>
        <w:spacing w:before="280" w:after="140"/>
      </w:pPr>
      <w:r>
        <w:rPr>
          <w:rFonts w:ascii="Arial" w:cs="Arial" w:eastAsia="Arial" w:hAnsi="Arial"/>
          <w:b/>
          <w:bCs/>
          <w:color w:val="1565C0"/>
          <w:sz w:val="26"/>
          <w:szCs w:val="26"/>
        </w:rPr>
        <w:t xml:space="preserve">10.4 API Usage Example</w:t>
      </w:r>
    </w:p>
    <w:p>
      <w:pPr>
        <w:spacing w:before="40" w:after="40"/>
      </w:pPr>
      <w:r>
        <w:rPr>
          <w:rFonts w:ascii="Courier New" w:cs="Courier New" w:eastAsia="Courier New" w:hAnsi="Courier New"/>
          <w:color w:val="1565C0"/>
          <w:sz w:val="20"/>
          <w:szCs w:val="20"/>
        </w:rPr>
        <w:t xml:space="preserve">import requests</w:t>
      </w:r>
    </w:p>
    <w:p>
      <w:pPr>
        <w:spacing w:before="40" w:after="40"/>
      </w:pPr>
      <w:r>
        <w:rPr>
          <w:rFonts w:ascii="Courier New" w:cs="Courier New" w:eastAsia="Courier New" w:hAnsi="Courier New"/>
          <w:color w:val="1565C0"/>
          <w:sz w:val="20"/>
          <w:szCs w:val="20"/>
        </w:rPr>
        <w:t xml:space="preserve">r = requests.post("http://localhost:5000/predict", json={</w:t>
      </w:r>
    </w:p>
    <w:p>
      <w:pPr>
        <w:spacing w:before="40" w:after="40"/>
      </w:pPr>
      <w:r>
        <w:rPr>
          <w:rFonts w:ascii="Courier New" w:cs="Courier New" w:eastAsia="Courier New" w:hAnsi="Courier New"/>
          <w:color w:val="1565C0"/>
          <w:sz w:val="20"/>
          <w:szCs w:val="20"/>
        </w:rPr>
        <w:t xml:space="preserve">    "ph": 7.0, "Hardness": 196.0, "Solids": 22000.0,</w:t>
      </w:r>
    </w:p>
    <w:p>
      <w:pPr>
        <w:spacing w:before="40" w:after="40"/>
      </w:pPr>
      <w:r>
        <w:rPr>
          <w:rFonts w:ascii="Courier New" w:cs="Courier New" w:eastAsia="Courier New" w:hAnsi="Courier New"/>
          <w:color w:val="1565C0"/>
          <w:sz w:val="20"/>
          <w:szCs w:val="20"/>
        </w:rPr>
        <w:t xml:space="preserve">    "Chloramines": 7.1, "Sulfate": 333.0, "Conductivity": 426.0,</w:t>
      </w:r>
    </w:p>
    <w:p>
      <w:pPr>
        <w:spacing w:before="40" w:after="40"/>
      </w:pPr>
      <w:r>
        <w:rPr>
          <w:rFonts w:ascii="Courier New" w:cs="Courier New" w:eastAsia="Courier New" w:hAnsi="Courier New"/>
          <w:color w:val="1565C0"/>
          <w:sz w:val="20"/>
          <w:szCs w:val="20"/>
        </w:rPr>
        <w:t xml:space="preserve">    "Organic_carbon": 14.0, "Trihalomethanes": 66.0, "Turbidity": 3.97</w:t>
      </w:r>
    </w:p>
    <w:p>
      <w:pPr>
        <w:spacing w:before="40" w:after="40"/>
      </w:pPr>
      <w:r>
        <w:rPr>
          <w:rFonts w:ascii="Courier New" w:cs="Courier New" w:eastAsia="Courier New" w:hAnsi="Courier New"/>
          <w:color w:val="1565C0"/>
          <w:sz w:val="20"/>
          <w:szCs w:val="20"/>
        </w:rPr>
        <w:t xml:space="preserve">})</w:t>
      </w:r>
    </w:p>
    <w:p>
      <w:pPr>
        <w:spacing w:before="40" w:after="40"/>
      </w:pPr>
      <w:r>
        <w:rPr>
          <w:rFonts w:ascii="Courier New" w:cs="Courier New" w:eastAsia="Courier New" w:hAnsi="Courier New"/>
          <w:color w:val="1565C0"/>
          <w:sz w:val="20"/>
          <w:szCs w:val="20"/>
        </w:rPr>
        <w:t xml:space="preserve">print(r.json())  # {"prediction": 0, "potable": false, "probability": 1.22, ...}</w:t>
      </w:r>
    </w:p>
    <w:p>
      <w:pPr>
        <w:spacing w:before="160" w:after="160"/>
      </w:pPr>
      <w:r>
        <w:t xml:space="preserve"/>
      </w:r>
    </w:p>
    <w:p>
      <w:pPr>
        <w:pStyle w:val="Heading1"/>
        <w:spacing w:before="400" w:after="200"/>
      </w:pPr>
      <w:r>
        <w:rPr>
          <w:rFonts w:ascii="Arial" w:cs="Arial" w:eastAsia="Arial" w:hAnsi="Arial"/>
          <w:b/>
          <w:bCs/>
          <w:color w:val="0D47A1"/>
          <w:sz w:val="32"/>
          <w:szCs w:val="32"/>
        </w:rPr>
        <w:t xml:space="preserve">11. Power BI Dashboard</w:t>
      </w:r>
    </w:p>
    <w:p>
      <w:pPr>
        <w:spacing w:before="60" w:after="100"/>
        <w:jc w:val="both"/>
      </w:pPr>
      <w:r>
        <w:rPr>
          <w:rFonts w:ascii="Arial" w:cs="Arial" w:eastAsia="Arial" w:hAnsi="Arial"/>
          <w:sz w:val="22"/>
          <w:szCs w:val="22"/>
        </w:rPr>
        <w:t xml:space="preserve">A Power BI dashboard was designed for non-technical stakeholders with 4 interactive pages. Data source: 4 CSV files exported from the ML pipeline.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AAAAAA" w:sz="1"/>
              <w:left w:val="single" w:color="AAAAAA" w:sz="1"/>
              <w:bottom w:val="single" w:color="AAAAAA" w:sz="1"/>
              <w:right w:val="single" w:color="AAAAAA" w:sz="1"/>
            </w:tcBorders>
            <w:shd w:fill="1565C0" w:val="clear"/>
            <w:tcMar>
              <w:top w:type="dxa" w:w="80"/>
              <w:left w:type="dxa" w:w="140"/>
              <w:bottom w:type="dxa" w:w="80"/>
              <w:right w:type="dxa" w:w="140"/>
            </w:tcMar>
          </w:tcPr>
          <w:p>
            <w:r>
              <w:rPr>
                <w:rFonts w:ascii="Arial" w:cs="Arial" w:eastAsia="Arial" w:hAnsi="Arial"/>
                <w:b/>
                <w:bCs/>
                <w:color w:val="FFFFFF"/>
                <w:sz w:val="20"/>
                <w:szCs w:val="20"/>
              </w:rPr>
              <w:t xml:space="preserve">CSV File</w:t>
            </w:r>
          </w:p>
        </w:tc>
        <w:tc>
          <w:tcPr>
            <w:tcW w:type="dxa" w:w="3200"/>
            <w:tcBorders>
              <w:top w:val="single" w:color="AAAAAA" w:sz="1"/>
              <w:left w:val="single" w:color="AAAAAA" w:sz="1"/>
              <w:bottom w:val="single" w:color="AAAAAA" w:sz="1"/>
              <w:right w:val="single" w:color="AAAAAA" w:sz="1"/>
            </w:tcBorders>
            <w:shd w:fill="1565C0" w:val="clear"/>
            <w:tcMar>
              <w:top w:type="dxa" w:w="80"/>
              <w:left w:type="dxa" w:w="140"/>
              <w:bottom w:type="dxa" w:w="80"/>
              <w:right w:type="dxa" w:w="140"/>
            </w:tcMar>
          </w:tcPr>
          <w:p>
            <w:r>
              <w:rPr>
                <w:rFonts w:ascii="Arial" w:cs="Arial" w:eastAsia="Arial" w:hAnsi="Arial"/>
                <w:b/>
                <w:bCs/>
                <w:color w:val="FFFFFF"/>
                <w:sz w:val="20"/>
                <w:szCs w:val="20"/>
              </w:rPr>
              <w:t xml:space="preserve">Contents</w:t>
            </w:r>
          </w:p>
        </w:tc>
        <w:tc>
          <w:tcPr>
            <w:tcW w:type="dxa" w:w="3560"/>
            <w:tcBorders>
              <w:top w:val="single" w:color="AAAAAA" w:sz="1"/>
              <w:left w:val="single" w:color="AAAAAA" w:sz="1"/>
              <w:bottom w:val="single" w:color="AAAAAA" w:sz="1"/>
              <w:right w:val="single" w:color="AAAAAA" w:sz="1"/>
            </w:tcBorders>
            <w:shd w:fill="1565C0" w:val="clear"/>
            <w:tcMar>
              <w:top w:type="dxa" w:w="80"/>
              <w:left w:type="dxa" w:w="140"/>
              <w:bottom w:type="dxa" w:w="80"/>
              <w:right w:type="dxa" w:w="140"/>
            </w:tcMar>
          </w:tcPr>
          <w:p>
            <w:r>
              <w:rPr>
                <w:rFonts w:ascii="Arial" w:cs="Arial" w:eastAsia="Arial" w:hAnsi="Arial"/>
                <w:b/>
                <w:bCs/>
                <w:color w:val="FFFFFF"/>
                <w:sz w:val="20"/>
                <w:szCs w:val="20"/>
              </w:rPr>
              <w:t xml:space="preserve">Dashboard Usage</w:t>
            </w:r>
          </w:p>
        </w:tc>
      </w:tr>
      <w:tr>
        <w:tc>
          <w:tcPr>
            <w:tcW w:type="dxa" w:w="26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balanced_dataset.csv</w:t>
            </w:r>
          </w:p>
        </w:tc>
        <w:tc>
          <w:tcPr>
            <w:tcW w:type="dxa" w:w="32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3,996 samples with features + Potability</w:t>
            </w:r>
          </w:p>
        </w:tc>
        <w:tc>
          <w:tcPr>
            <w:tcW w:type="dxa" w:w="35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Distributions, scatter plots, slicers</w:t>
            </w:r>
          </w:p>
        </w:tc>
      </w:tr>
      <w:tr>
        <w:tc>
          <w:tcPr>
            <w:tcW w:type="dxa" w:w="26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test_predictions.csv</w:t>
            </w:r>
          </w:p>
        </w:tc>
        <w:tc>
          <w:tcPr>
            <w:tcW w:type="dxa" w:w="32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800 test samples: Actual, Predicted, Probability</w:t>
            </w:r>
          </w:p>
        </w:tc>
        <w:tc>
          <w:tcPr>
            <w:tcW w:type="dxa" w:w="35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Confusion matrix visual, probability histogram</w:t>
            </w:r>
          </w:p>
        </w:tc>
      </w:tr>
      <w:tr>
        <w:tc>
          <w:tcPr>
            <w:tcW w:type="dxa" w:w="26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final_metrics.csv</w:t>
            </w:r>
          </w:p>
        </w:tc>
        <w:tc>
          <w:tcPr>
            <w:tcW w:type="dxa" w:w="32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5-model metric comparison table</w:t>
            </w:r>
          </w:p>
        </w:tc>
        <w:tc>
          <w:tcPr>
            <w:tcW w:type="dxa" w:w="35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Clustered bar chart, gauge, leaderboard</w:t>
            </w:r>
          </w:p>
        </w:tc>
      </w:tr>
      <w:tr>
        <w:tc>
          <w:tcPr>
            <w:tcW w:type="dxa" w:w="26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feature_importance.csv</w:t>
            </w:r>
          </w:p>
        </w:tc>
        <w:tc>
          <w:tcPr>
            <w:tcW w:type="dxa" w:w="32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Feature names + importance scores</w:t>
            </w:r>
          </w:p>
        </w:tc>
        <w:tc>
          <w:tcPr>
            <w:tcW w:type="dxa" w:w="35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222222"/>
                <w:sz w:val="20"/>
                <w:szCs w:val="20"/>
              </w:rPr>
              <w:t xml:space="preserve">Horizontal bar chart, waterfall chart</w:t>
            </w:r>
          </w:p>
        </w:tc>
      </w:tr>
    </w:tbl>
    <w:p>
      <w:pPr>
        <w:spacing w:before="160" w:after="160"/>
      </w:pPr>
      <w:r>
        <w:t xml:space="preserve"/>
      </w:r>
    </w:p>
    <w:p>
      <w:pPr>
        <w:spacing w:before="60" w:after="100"/>
        <w:jc w:val="both"/>
      </w:pPr>
      <w:r>
        <w:rPr>
          <w:rFonts w:ascii="Arial" w:cs="Arial" w:eastAsia="Arial" w:hAnsi="Arial"/>
          <w:sz w:val="22"/>
          <w:szCs w:val="22"/>
        </w:rPr>
        <w:t xml:space="preserve">Dashboard Pages:</w:t>
      </w:r>
    </w:p>
    <w:p>
      <w:pPr>
        <w:pStyle w:val="ListParagraph"/>
        <w:numPr>
          <w:ilvl w:val="0"/>
          <w:numId w:val="2"/>
        </w:numPr>
        <w:spacing w:before="40" w:after="40"/>
      </w:pPr>
      <w:r>
        <w:rPr>
          <w:rFonts w:ascii="Arial" w:cs="Arial" w:eastAsia="Arial" w:hAnsi="Arial"/>
          <w:sz w:val="22"/>
          <w:szCs w:val="22"/>
        </w:rPr>
        <w:t xml:space="preserve">Page 1 — Dataset Overview: Class distribution donut, feature histograms with Potability slicer, missing value cards</w:t>
      </w:r>
    </w:p>
    <w:p>
      <w:pPr>
        <w:pStyle w:val="ListParagraph"/>
        <w:numPr>
          <w:ilvl w:val="0"/>
          <w:numId w:val="2"/>
        </w:numPr>
        <w:spacing w:before="40" w:after="40"/>
      </w:pPr>
      <w:r>
        <w:rPr>
          <w:rFonts w:ascii="Arial" w:cs="Arial" w:eastAsia="Arial" w:hAnsi="Arial"/>
          <w:sz w:val="22"/>
          <w:szCs w:val="22"/>
        </w:rPr>
        <w:t xml:space="preserve">Page 2 — Model Comparison: Clustered bar chart (5 models × 4 metrics), best-model gauge, full metrics table with conditional formatting</w:t>
      </w:r>
    </w:p>
    <w:p>
      <w:pPr>
        <w:pStyle w:val="ListParagraph"/>
        <w:numPr>
          <w:ilvl w:val="0"/>
          <w:numId w:val="2"/>
        </w:numPr>
        <w:spacing w:before="40" w:after="40"/>
      </w:pPr>
      <w:r>
        <w:rPr>
          <w:rFonts w:ascii="Arial" w:cs="Arial" w:eastAsia="Arial" w:hAnsi="Arial"/>
          <w:sz w:val="22"/>
          <w:szCs w:val="22"/>
        </w:rPr>
        <w:t xml:space="preserve">Page 3 — Predictions Explorer: Confusion matrix (Matrix visual), probability histogram, filterable predictions table</w:t>
      </w:r>
    </w:p>
    <w:p>
      <w:pPr>
        <w:pStyle w:val="ListParagraph"/>
        <w:numPr>
          <w:ilvl w:val="0"/>
          <w:numId w:val="2"/>
        </w:numPr>
        <w:spacing w:before="40" w:after="40"/>
      </w:pPr>
      <w:r>
        <w:rPr>
          <w:rFonts w:ascii="Arial" w:cs="Arial" w:eastAsia="Arial" w:hAnsi="Arial"/>
          <w:sz w:val="22"/>
          <w:szCs w:val="22"/>
        </w:rPr>
        <w:t xml:space="preserve">Page 4 — Feature Importance: Horizontal bar chart ranked by importance, scatter plots (top features vs Potability), WHO standards reference table</w:t>
      </w:r>
    </w:p>
    <w:p>
      <w:pPr>
        <w:spacing w:before="60" w:after="100"/>
        <w:jc w:val="both"/>
      </w:pPr>
      <w:r>
        <w:rPr>
          <w:rFonts w:ascii="Arial" w:cs="Arial" w:eastAsia="Arial" w:hAnsi="Arial"/>
          <w:sz w:val="22"/>
          <w:szCs w:val="22"/>
        </w:rPr>
        <w:t xml:space="preserve">See PowerBI_Dashboard_Guide.md in the project zip for complete step-by-step setup instructions including DAX measures.</w:t>
      </w:r>
    </w:p>
    <w:p>
      <w:pPr>
        <w:spacing w:before="160" w:after="160"/>
      </w:pPr>
      <w:r>
        <w:t xml:space="preserve"/>
      </w:r>
    </w:p>
    <w:p>
      <w:pPr>
        <w:pStyle w:val="Heading1"/>
        <w:spacing w:before="400" w:after="200"/>
      </w:pPr>
      <w:r>
        <w:rPr>
          <w:rFonts w:ascii="Arial" w:cs="Arial" w:eastAsia="Arial" w:hAnsi="Arial"/>
          <w:b/>
          <w:bCs/>
          <w:color w:val="0D47A1"/>
          <w:sz w:val="32"/>
          <w:szCs w:val="32"/>
        </w:rPr>
        <w:t xml:space="preserve">12. Conclusions &amp; Future Work</w:t>
      </w:r>
    </w:p>
    <w:p>
      <w:pPr>
        <w:pStyle w:val="Heading2"/>
        <w:spacing w:before="280" w:after="140"/>
      </w:pPr>
      <w:r>
        <w:rPr>
          <w:rFonts w:ascii="Arial" w:cs="Arial" w:eastAsia="Arial" w:hAnsi="Arial"/>
          <w:b/>
          <w:bCs/>
          <w:color w:val="1565C0"/>
          <w:sz w:val="26"/>
          <w:szCs w:val="26"/>
        </w:rPr>
        <w:t xml:space="preserve">12.1 Conclusions</w:t>
      </w:r>
    </w:p>
    <w:p>
      <w:pPr>
        <w:spacing w:before="60" w:after="100"/>
        <w:jc w:val="both"/>
      </w:pPr>
      <w:r>
        <w:rPr>
          <w:rFonts w:ascii="Arial" w:cs="Arial" w:eastAsia="Arial" w:hAnsi="Arial"/>
          <w:sz w:val="22"/>
          <w:szCs w:val="22"/>
        </w:rPr>
        <w:t xml:space="preserve">This project successfully built, tuned, and deployed a production-ready ML model for water potability prediction. Key achievements:</w:t>
      </w:r>
    </w:p>
    <w:p>
      <w:pPr>
        <w:pStyle w:val="ListParagraph"/>
        <w:numPr>
          <w:ilvl w:val="0"/>
          <w:numId w:val="2"/>
        </w:numPr>
        <w:spacing w:before="40" w:after="40"/>
      </w:pPr>
      <w:r>
        <w:rPr>
          <w:rFonts w:ascii="Arial" w:cs="Arial" w:eastAsia="Arial" w:hAnsi="Arial"/>
          <w:sz w:val="22"/>
          <w:szCs w:val="22"/>
        </w:rPr>
        <w:t xml:space="preserve">Gradient Boosting (Tuned) achieved F1=0.893, Accuracy=89.25%, and AUC≈0.96 — state-of-the-art for this dataset</w:t>
      </w:r>
    </w:p>
    <w:p>
      <w:pPr>
        <w:pStyle w:val="ListParagraph"/>
        <w:numPr>
          <w:ilvl w:val="0"/>
          <w:numId w:val="2"/>
        </w:numPr>
        <w:spacing w:before="40" w:after="40"/>
      </w:pPr>
      <w:r>
        <w:rPr>
          <w:rFonts w:ascii="Arial" w:cs="Arial" w:eastAsia="Arial" w:hAnsi="Arial"/>
          <w:sz w:val="22"/>
          <w:szCs w:val="22"/>
        </w:rPr>
        <w:t xml:space="preserve">Ensemble methods outperform simpler classifiers by 15–26 percentage points in F1-Score</w:t>
      </w:r>
    </w:p>
    <w:p>
      <w:pPr>
        <w:pStyle w:val="ListParagraph"/>
        <w:numPr>
          <w:ilvl w:val="0"/>
          <w:numId w:val="2"/>
        </w:numPr>
        <w:spacing w:before="40" w:after="40"/>
      </w:pPr>
      <w:r>
        <w:rPr>
          <w:rFonts w:ascii="Arial" w:cs="Arial" w:eastAsia="Arial" w:hAnsi="Arial"/>
          <w:sz w:val="22"/>
          <w:szCs w:val="22"/>
        </w:rPr>
        <w:t xml:space="preserve">Group-wise median imputation effectively handled 5–24% missing values without degrading model quality</w:t>
      </w:r>
    </w:p>
    <w:p>
      <w:pPr>
        <w:pStyle w:val="ListParagraph"/>
        <w:numPr>
          <w:ilvl w:val="0"/>
          <w:numId w:val="2"/>
        </w:numPr>
        <w:spacing w:before="40" w:after="40"/>
      </w:pPr>
      <w:r>
        <w:rPr>
          <w:rFonts w:ascii="Arial" w:cs="Arial" w:eastAsia="Arial" w:hAnsi="Arial"/>
          <w:sz w:val="22"/>
          <w:szCs w:val="22"/>
        </w:rPr>
        <w:t xml:space="preserve">Random oversampling corrected the 61/39 class imbalance, enabling the model to predict both classes equally well</w:t>
      </w:r>
    </w:p>
    <w:p>
      <w:pPr>
        <w:pStyle w:val="ListParagraph"/>
        <w:numPr>
          <w:ilvl w:val="0"/>
          <w:numId w:val="2"/>
        </w:numPr>
        <w:spacing w:before="40" w:after="40"/>
      </w:pPr>
      <w:r>
        <w:rPr>
          <w:rFonts w:ascii="Arial" w:cs="Arial" w:eastAsia="Arial" w:hAnsi="Arial"/>
          <w:sz w:val="22"/>
          <w:szCs w:val="22"/>
        </w:rPr>
        <w:t xml:space="preserve">The deployed Flask application provides real-time predictions accessible to any user with a web browser</w:t>
      </w:r>
    </w:p>
    <w:p>
      <w:pPr>
        <w:pStyle w:val="Heading2"/>
        <w:spacing w:before="280" w:after="140"/>
      </w:pPr>
      <w:r>
        <w:rPr>
          <w:rFonts w:ascii="Arial" w:cs="Arial" w:eastAsia="Arial" w:hAnsi="Arial"/>
          <w:b/>
          <w:bCs/>
          <w:color w:val="1565C0"/>
          <w:sz w:val="26"/>
          <w:szCs w:val="26"/>
        </w:rPr>
        <w:t xml:space="preserve">12.2 Limitations</w:t>
      </w:r>
    </w:p>
    <w:p>
      <w:pPr>
        <w:pStyle w:val="ListParagraph"/>
        <w:numPr>
          <w:ilvl w:val="0"/>
          <w:numId w:val="2"/>
        </w:numPr>
        <w:spacing w:before="40" w:after="40"/>
      </w:pPr>
      <w:r>
        <w:rPr>
          <w:rFonts w:ascii="Arial" w:cs="Arial" w:eastAsia="Arial" w:hAnsi="Arial"/>
          <w:sz w:val="22"/>
          <w:szCs w:val="22"/>
        </w:rPr>
        <w:t xml:space="preserve">Random oversampling (duplicate samples) may overfit compared to SMOTE or ADASYN synthetic generation</w:t>
      </w:r>
    </w:p>
    <w:p>
      <w:pPr>
        <w:pStyle w:val="ListParagraph"/>
        <w:numPr>
          <w:ilvl w:val="0"/>
          <w:numId w:val="2"/>
        </w:numPr>
        <w:spacing w:before="40" w:after="40"/>
      </w:pPr>
      <w:r>
        <w:rPr>
          <w:rFonts w:ascii="Arial" w:cs="Arial" w:eastAsia="Arial" w:hAnsi="Arial"/>
          <w:sz w:val="22"/>
          <w:szCs w:val="22"/>
        </w:rPr>
        <w:t xml:space="preserve">Dataset may not generalise to all geographic regions with distinct water chemistry profiles</w:t>
      </w:r>
    </w:p>
    <w:p>
      <w:pPr>
        <w:pStyle w:val="ListParagraph"/>
        <w:numPr>
          <w:ilvl w:val="0"/>
          <w:numId w:val="2"/>
        </w:numPr>
        <w:spacing w:before="40" w:after="40"/>
      </w:pPr>
      <w:r>
        <w:rPr>
          <w:rFonts w:ascii="Arial" w:cs="Arial" w:eastAsia="Arial" w:hAnsi="Arial"/>
          <w:sz w:val="22"/>
          <w:szCs w:val="22"/>
        </w:rPr>
        <w:t xml:space="preserve">XGBoost was unavailable in the offline training environment and may further improve performance</w:t>
      </w:r>
    </w:p>
    <w:p>
      <w:pPr>
        <w:pStyle w:val="Heading2"/>
        <w:spacing w:before="280" w:after="140"/>
      </w:pPr>
      <w:r>
        <w:rPr>
          <w:rFonts w:ascii="Arial" w:cs="Arial" w:eastAsia="Arial" w:hAnsi="Arial"/>
          <w:b/>
          <w:bCs/>
          <w:color w:val="1565C0"/>
          <w:sz w:val="26"/>
          <w:szCs w:val="26"/>
        </w:rPr>
        <w:t xml:space="preserve">12.3 Future Work</w:t>
      </w:r>
    </w:p>
    <w:p>
      <w:pPr>
        <w:pStyle w:val="ListParagraph"/>
        <w:numPr>
          <w:ilvl w:val="0"/>
          <w:numId w:val="2"/>
        </w:numPr>
        <w:spacing w:before="40" w:after="40"/>
      </w:pPr>
      <w:r>
        <w:rPr>
          <w:rFonts w:ascii="Arial" w:cs="Arial" w:eastAsia="Arial" w:hAnsi="Arial"/>
          <w:sz w:val="22"/>
          <w:szCs w:val="22"/>
        </w:rPr>
        <w:t xml:space="preserve">Implement XGBoost, LightGBM, and CatBoost for additional performance gains</w:t>
      </w:r>
    </w:p>
    <w:p>
      <w:pPr>
        <w:pStyle w:val="ListParagraph"/>
        <w:numPr>
          <w:ilvl w:val="0"/>
          <w:numId w:val="2"/>
        </w:numPr>
        <w:spacing w:before="40" w:after="40"/>
      </w:pPr>
      <w:r>
        <w:rPr>
          <w:rFonts w:ascii="Arial" w:cs="Arial" w:eastAsia="Arial" w:hAnsi="Arial"/>
          <w:sz w:val="22"/>
          <w:szCs w:val="22"/>
        </w:rPr>
        <w:t xml:space="preserve">Apply SMOTE/ADASYN for more robust minority-class augmentation</w:t>
      </w:r>
    </w:p>
    <w:p>
      <w:pPr>
        <w:pStyle w:val="ListParagraph"/>
        <w:numPr>
          <w:ilvl w:val="0"/>
          <w:numId w:val="2"/>
        </w:numPr>
        <w:spacing w:before="40" w:after="40"/>
      </w:pPr>
      <w:r>
        <w:rPr>
          <w:rFonts w:ascii="Arial" w:cs="Arial" w:eastAsia="Arial" w:hAnsi="Arial"/>
          <w:sz w:val="22"/>
          <w:szCs w:val="22"/>
        </w:rPr>
        <w:t xml:space="preserve">Collect larger, geographically diverse training data</w:t>
      </w:r>
    </w:p>
    <w:p>
      <w:pPr>
        <w:pStyle w:val="ListParagraph"/>
        <w:numPr>
          <w:ilvl w:val="0"/>
          <w:numId w:val="2"/>
        </w:numPr>
        <w:spacing w:before="40" w:after="40"/>
      </w:pPr>
      <w:r>
        <w:rPr>
          <w:rFonts w:ascii="Arial" w:cs="Arial" w:eastAsia="Arial" w:hAnsi="Arial"/>
          <w:sz w:val="22"/>
          <w:szCs w:val="22"/>
        </w:rPr>
        <w:t xml:space="preserve">Develop a mobile app wrapping the Flask API for field water testing</w:t>
      </w:r>
    </w:p>
    <w:p>
      <w:pPr>
        <w:pStyle w:val="ListParagraph"/>
        <w:numPr>
          <w:ilvl w:val="0"/>
          <w:numId w:val="2"/>
        </w:numPr>
        <w:spacing w:before="40" w:after="40"/>
      </w:pPr>
      <w:r>
        <w:rPr>
          <w:rFonts w:ascii="Arial" w:cs="Arial" w:eastAsia="Arial" w:hAnsi="Arial"/>
          <w:sz w:val="22"/>
          <w:szCs w:val="22"/>
        </w:rPr>
        <w:t xml:space="preserve">Integrate with IoT water quality sensors for automated continuous monitoring</w:t>
      </w:r>
    </w:p>
    <w:p>
      <w:pPr>
        <w:spacing w:before="160" w:after="160"/>
      </w:pPr>
      <w:r>
        <w:t xml:space="preserve"/>
      </w:r>
    </w:p>
    <w:p>
      <w:pPr>
        <w:pStyle w:val="Heading1"/>
        <w:spacing w:before="400" w:after="200"/>
      </w:pPr>
      <w:r>
        <w:rPr>
          <w:rFonts w:ascii="Arial" w:cs="Arial" w:eastAsia="Arial" w:hAnsi="Arial"/>
          <w:b/>
          <w:bCs/>
          <w:color w:val="0D47A1"/>
          <w:sz w:val="32"/>
          <w:szCs w:val="32"/>
        </w:rPr>
        <w:t xml:space="preserve">References</w:t>
      </w:r>
    </w:p>
    <w:p>
      <w:pPr>
        <w:spacing w:before="60" w:after="100"/>
        <w:jc w:val="both"/>
      </w:pPr>
      <w:r>
        <w:rPr>
          <w:rFonts w:ascii="Arial" w:cs="Arial" w:eastAsia="Arial" w:hAnsi="Arial"/>
          <w:sz w:val="22"/>
          <w:szCs w:val="22"/>
        </w:rPr>
        <w:t xml:space="preserve">1. World Health Organization (2022). Guidelines for Drinking-water Quality (4th Ed.). WHO Press, Geneva.</w:t>
      </w:r>
    </w:p>
    <w:p>
      <w:pPr>
        <w:spacing w:before="60" w:after="100"/>
        <w:jc w:val="both"/>
      </w:pPr>
      <w:r>
        <w:rPr>
          <w:rFonts w:ascii="Arial" w:cs="Arial" w:eastAsia="Arial" w:hAnsi="Arial"/>
          <w:sz w:val="22"/>
          <w:szCs w:val="22"/>
        </w:rPr>
        <w:t xml:space="preserve">2. Scikit-learn Development Team (2024). scikit-learn 1.4 User Guide. https://scikit-learn.org/stable/</w:t>
      </w:r>
    </w:p>
    <w:p>
      <w:pPr>
        <w:spacing w:before="60" w:after="100"/>
        <w:jc w:val="both"/>
      </w:pPr>
      <w:r>
        <w:rPr>
          <w:rFonts w:ascii="Arial" w:cs="Arial" w:eastAsia="Arial" w:hAnsi="Arial"/>
          <w:sz w:val="22"/>
          <w:szCs w:val="22"/>
        </w:rPr>
        <w:t xml:space="preserve">3. Breiman, L. (2001). Random Forests. Machine Learning, 45(1), 5–32.</w:t>
      </w:r>
    </w:p>
    <w:p>
      <w:pPr>
        <w:spacing w:before="60" w:after="100"/>
        <w:jc w:val="both"/>
      </w:pPr>
      <w:r>
        <w:rPr>
          <w:rFonts w:ascii="Arial" w:cs="Arial" w:eastAsia="Arial" w:hAnsi="Arial"/>
          <w:sz w:val="22"/>
          <w:szCs w:val="22"/>
        </w:rPr>
        <w:t xml:space="preserve">4. Friedman, J.H. (2001). Greedy function approximation: A gradient boosting machine. Annals of Statistics, 29(5), 1189–1232.</w:t>
      </w:r>
    </w:p>
    <w:p>
      <w:pPr>
        <w:spacing w:before="60" w:after="100"/>
        <w:jc w:val="both"/>
      </w:pPr>
      <w:r>
        <w:rPr>
          <w:rFonts w:ascii="Arial" w:cs="Arial" w:eastAsia="Arial" w:hAnsi="Arial"/>
          <w:sz w:val="22"/>
          <w:szCs w:val="22"/>
        </w:rPr>
        <w:t xml:space="preserve">5. Chawla, N.V. et al. (2002). SMOTE: Synthetic Minority Over-sampling Technique. JAIR, 16, 321–357.</w:t>
      </w:r>
    </w:p>
    <w:p>
      <w:pPr>
        <w:spacing w:before="60" w:after="100"/>
        <w:jc w:val="both"/>
      </w:pPr>
      <w:r>
        <w:rPr>
          <w:rFonts w:ascii="Arial" w:cs="Arial" w:eastAsia="Arial" w:hAnsi="Arial"/>
          <w:sz w:val="22"/>
          <w:szCs w:val="22"/>
        </w:rPr>
        <w:t xml:space="preserve">6. Flask Documentation (2024). https://flask.palletsprojects.com/</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47A1" w:sz="4" w:space="1"/>
      </w:pBdr>
      <w:jc w:val="right"/>
    </w:pPr>
    <w:r>
      <w:rPr>
        <w:rFonts w:ascii="Arial" w:cs="Arial" w:eastAsia="Arial" w:hAnsi="Arial"/>
        <w:color w:val="666666"/>
        <w:sz w:val="18"/>
        <w:szCs w:val="18"/>
      </w:rPr>
      <w:t xml:space="preserve">Water Potability ML Project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47A1" w:sz="4" w:space="1"/>
      </w:pBdr>
    </w:pPr>
    <w:r>
      <w:rPr>
        <w:rFonts w:ascii="Arial" w:cs="Arial" w:eastAsia="Arial" w:hAnsi="Arial"/>
        <w:color w:val="666666"/>
        <w:sz w:val="18"/>
        <w:szCs w:val="18"/>
      </w:rPr>
      <w:t xml:space="preserve">Water Potability Prediction — ML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47A1"/>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2026-02-18T07:37:12.479Z</dcterms:created>
  <dcterms:modified xsi:type="dcterms:W3CDTF">2026-02-18T07:37:12.479Z</dcterms:modified>
</cp:coreProperties>
</file>

<file path=docProps/custom.xml><?xml version="1.0" encoding="utf-8"?>
<Properties xmlns="http://schemas.openxmlformats.org/officeDocument/2006/custom-properties" xmlns:vt="http://schemas.openxmlformats.org/officeDocument/2006/docPropsVTypes"/>
</file>