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120"/>
        <w:rPr>
          <w:sz w:val="32"/>
          <w:szCs w:val="24"/>
        </w:rPr>
      </w:pPr>
      <w:r>
        <w:rPr>
          <w:sz w:val="32"/>
          <w:szCs w:val="24"/>
        </w:rPr>
        <w:t>M1 Case Study Analysis</w:t>
      </w:r>
    </w:p>
    <w:p>
      <w:pPr>
        <w:pStyle w:val="Normal"/>
        <w:shd w:val="clear" w:color="auto" w:fill="FFFFFF"/>
        <w:spacing w:beforeAutospacing="1" w:afterAutospacing="1"/>
        <w:rPr>
          <w:rFonts w:ascii="Times New Roman" w:hAnsi="Times New Roman" w:eastAsia="Times New Roman" w:cs="Times New Roman"/>
          <w:b/>
          <w:bCs/>
          <w:sz w:val="28"/>
          <w:szCs w:val="28"/>
        </w:rPr>
      </w:pPr>
      <w:r>
        <w:rPr>
          <w:rFonts w:eastAsia="Times New Roman"/>
          <w:i/>
          <w:iCs/>
          <w:color w:val="C00000"/>
          <w:spacing w:val="-3"/>
          <w:sz w:val="21"/>
          <w:szCs w:val="21"/>
        </w:rPr>
        <w:t>Answer each question in three paragraphs, referencing module resources where relevant. Please also review the grading rubric for this assignment in Canvas.</w:t>
      </w:r>
      <w:r>
        <w:rPr>
          <w:rFonts w:eastAsia="Times New Roman" w:cs="Times New Roman" w:ascii="Times New Roman" w:hAnsi="Times New Roman"/>
          <w:b/>
          <w:bCs/>
          <w:sz w:val="28"/>
          <w:szCs w:val="28"/>
        </w:rPr>
        <w:br/>
      </w:r>
    </w:p>
    <w:p>
      <w:pPr>
        <w:pStyle w:val="Normal"/>
        <w:shd w:val="clear" w:color="auto" w:fill="FFFFFF"/>
        <w:spacing w:beforeAutospacing="1" w:afterAutospacing="1"/>
        <w:rPr>
          <w:rFonts w:eastAsia="Times New Roman"/>
          <w:b/>
          <w:bCs/>
          <w:color w:val="2D3B45"/>
          <w:spacing w:val="-3"/>
          <w:sz w:val="24"/>
          <w:szCs w:val="24"/>
        </w:rPr>
      </w:pPr>
      <w:r>
        <w:rPr>
          <w:rFonts w:eastAsia="Times New Roman"/>
          <w:b/>
          <w:bCs/>
          <w:color w:val="2D3B45"/>
          <w:spacing w:val="-3"/>
          <w:sz w:val="24"/>
          <w:szCs w:val="24"/>
        </w:rPr>
        <w:t>Q1: Does the CDR scenario fall under a more contemporary definition of a data warehouse according to Kimball? Why or why not?</w:t>
      </w:r>
    </w:p>
    <w:p>
      <w:pPr>
        <w:pStyle w:val="Normal"/>
        <w:ind w:hanging="0" w:left="0" w:right="0"/>
        <w:rPr/>
      </w:pPr>
      <w:r>
        <w:rPr/>
        <w:t xml:space="preserve">The CDR, following the Kimball methodology, is a repository for clinical data that focuses on patient-related information. It integrates data from diverse sources such as inpatient visits, professional billing, laboratory results, and cardiac surgery. The stored records are non-volatile, meaning they do not change frequently, and time-variant, reflecting changes over time with the addition of new information. In essence, a clinical data repository aligns with the characteristics of a data warehouse. As per the Kimball Group's definition, a data warehouse is a subject-oriented, integrated, non-volatile, time-variant data collection designed to support management's decision-making process. This description aptly applies to a clinical data repository, serving as a centralized database for storing patient medical information. </w:t>
      </w:r>
    </w:p>
    <w:p>
      <w:pPr>
        <w:pStyle w:val="Normal"/>
        <w:shd w:val="clear" w:color="auto" w:fill="FFFFFF"/>
        <w:spacing w:beforeAutospacing="1" w:afterAutospacing="1"/>
        <w:rPr>
          <w:rFonts w:eastAsia="Times New Roman"/>
          <w:b/>
          <w:bCs/>
          <w:color w:val="2D3B45"/>
          <w:spacing w:val="-3"/>
          <w:sz w:val="24"/>
          <w:szCs w:val="24"/>
        </w:rPr>
      </w:pPr>
      <w:r>
        <w:rPr>
          <w:rFonts w:eastAsia="Times New Roman"/>
          <w:b/>
          <w:bCs/>
          <w:color w:val="2D3B45"/>
          <w:spacing w:val="-3"/>
          <w:sz w:val="24"/>
          <w:szCs w:val="24"/>
        </w:rPr>
        <w:t>Q2: What are the top challenges that a CDR faces?</w:t>
      </w:r>
    </w:p>
    <w:p>
      <w:pPr>
        <w:pStyle w:val="Normal"/>
        <w:rPr/>
      </w:pPr>
      <w:r>
        <w:rPr/>
      </w:r>
    </w:p>
    <w:p>
      <w:pPr>
        <w:pStyle w:val="Normal"/>
        <w:ind w:hanging="0" w:left="0" w:right="0"/>
        <w:rPr/>
      </w:pPr>
      <w:r>
        <w:rPr/>
        <w:br/>
        <w:t xml:space="preserve">Creating and sustaining a clinical data repository can incur significant expenses, and organizations might lack the necessary resources or financial means to accomplish this effectively. Defining transparent policies and procedures for data ownership and access becomes challenging, particularly when dealing with data from diverse sources and stakeholders. Ongoing efforts are essential for data maintenance, including the continuous enhancement of data quality and verification of accuracy. The establishment and continuous upkeep of governance and stewardship policies, aimed at preserving data usability over time, present notable challenges. </w:t>
      </w:r>
    </w:p>
    <w:p>
      <w:pPr>
        <w:pStyle w:val="Normal"/>
        <w:shd w:val="clear" w:color="auto" w:fill="FFFFFF"/>
        <w:spacing w:beforeAutospacing="1" w:afterAutospacing="1"/>
        <w:rPr>
          <w:rFonts w:eastAsia="Times New Roman"/>
          <w:b/>
          <w:bCs/>
          <w:color w:val="2D3B45"/>
          <w:spacing w:val="-3"/>
          <w:sz w:val="24"/>
          <w:szCs w:val="24"/>
        </w:rPr>
      </w:pPr>
      <w:r>
        <w:rPr>
          <w:rFonts w:eastAsia="Times New Roman"/>
          <w:b/>
          <w:bCs/>
          <w:color w:val="2D3B45"/>
          <w:spacing w:val="-3"/>
          <w:sz w:val="24"/>
          <w:szCs w:val="24"/>
        </w:rPr>
        <w:t>Q3: What would you do differently give that there is broader access to better technology, new methodologies since 2001 when the case was written?</w:t>
      </w:r>
    </w:p>
    <w:p>
      <w:pPr>
        <w:pStyle w:val="BodyText"/>
        <w:pBdr>
          <w:top w:val="single" w:sz="2" w:space="1" w:color="D9D9E3"/>
          <w:left w:val="single" w:sz="2" w:space="1" w:color="D9D9E3"/>
          <w:bottom w:val="single" w:sz="2" w:space="1" w:color="D9D9E3"/>
          <w:right w:val="single" w:sz="2" w:space="1" w:color="D9D9E3"/>
        </w:pBdr>
        <w:ind w:hanging="0" w:left="0" w:right="0"/>
        <w:rPr/>
      </w:pPr>
      <w:r>
        <w:rPr/>
        <w:t>Leveraging RDF, OWL, and SPARQL within the realm of semantic web technologies aims to enhance interoperability and facilitate data searches across diverse platforms. Blockchain technology is utilized to enhance data governance and integrity by establishing an immutable record of data exchanges, ensuring tamper-proof records. Clinical Natural Language Processing (NLP), exemplified by platforms like MedNLP, MetaMap, and cTAKES, plays a role in extracting clinical information from unstructured data sources such as patient notes and discharge summaries.</w:t>
      </w:r>
    </w:p>
    <w:p>
      <w:pPr>
        <w:pStyle w:val="BodyText"/>
        <w:pBdr>
          <w:top w:val="single" w:sz="2" w:space="1" w:color="D9D9E3"/>
          <w:left w:val="single" w:sz="2" w:space="1" w:color="D9D9E3"/>
          <w:bottom w:val="single" w:sz="2" w:space="1" w:color="D9D9E3"/>
          <w:right w:val="single" w:sz="2" w:space="1" w:color="D9D9E3"/>
        </w:pBdr>
        <w:ind w:hanging="0" w:left="0" w:right="0"/>
        <w:rPr/>
      </w:pPr>
      <w:r>
        <w:rPr/>
        <w:t xml:space="preserve">References: [1] Case Study document on CDR by the University of Virginia Health System. [2] Kimball Group Techniques - </w:t>
      </w:r>
      <w:hyperlink r:id="rId2" w:tgtFrame="_new">
        <w:r>
          <w:rPr>
            <w:rStyle w:val="Hyperlink"/>
          </w:rPr>
          <w:t>link to the source</w:t>
        </w:r>
      </w:hyperlink>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b75"/>
    <w:pPr>
      <w:widowControl/>
      <w:bidi w:val="0"/>
      <w:spacing w:lineRule="auto" w:line="240" w:before="120" w:after="0"/>
      <w:jc w:val="left"/>
    </w:pPr>
    <w:rPr>
      <w:rFonts w:ascii="Arial" w:hAnsi="Arial" w:eastAsia="" w:cs="Arial" w:eastAsiaTheme="minorEastAsia"/>
      <w:color w:val="auto"/>
      <w:kern w:val="0"/>
      <w:sz w:val="20"/>
      <w:szCs w:val="20"/>
      <w:lang w:val="en-US" w:eastAsia="en-US" w:bidi="ar-SA"/>
    </w:rPr>
  </w:style>
  <w:style w:type="paragraph" w:styleId="Heading1">
    <w:name w:val="Heading 1"/>
    <w:basedOn w:val="Normal"/>
    <w:next w:val="Normal"/>
    <w:link w:val="Heading1Char"/>
    <w:uiPriority w:val="9"/>
    <w:qFormat/>
    <w:rsid w:val="00f51b75"/>
    <w:pPr>
      <w:spacing w:before="360" w:after="120"/>
      <w:outlineLvl w:val="0"/>
    </w:pPr>
    <w:rPr>
      <w:b/>
      <w:bCs/>
      <w:color w:themeColor="text1" w:val="000000"/>
      <w:sz w:val="28"/>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b75"/>
    <w:rPr>
      <w:rFonts w:ascii="Arial" w:hAnsi="Arial" w:eastAsia="" w:cs="Arial" w:eastAsiaTheme="minorEastAsia"/>
      <w:b/>
      <w:bCs/>
      <w:color w:themeColor="text1" w:val="000000"/>
      <w:sz w:val="28"/>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mballgroup.com/data-warehouse-business-intelligence-resources/kimball-techniqu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LibreOffice/7.6.3.2$Windows_X86_64 LibreOffice_project/29d686fea9f6705b262d369fede658f824154cc0</Application>
  <AppVersion>15.0000</AppVersion>
  <Pages>1</Pages>
  <Words>378</Words>
  <Characters>2298</Characters>
  <CharactersWithSpaces>2671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2024-01-20T18:55:00Z</dcterms:created>
  <dc:creator>Sai Lalitesh Pothukuchi</dc:creator>
  <dc:description/>
  <dc:language>en-US</dc:language>
  <cp:lastModifiedBy/>
  <dcterms:modified xsi:type="dcterms:W3CDTF">2024-01-20T14:02:32Z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