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Pump Station Handbook</w:t>
      </w:r>
    </w:p>
    <w:p>
      <w:pPr>
        <w:pStyle w:val="Heading1"/>
      </w:pPr>
      <w:r>
        <w:t xml:space="preserve">1 Overview</w:t>
      </w:r>
    </w:p>
    <w:p>
      <w:r>
        <w:t xml:space="preserve">Every station is </w:t>
      </w:r>
      <w:r>
        <w:rPr>
          <w:b/>
        </w:rPr>
        <w:t xml:space="preserve">inspected</w:t>
      </w:r>
      <w:r>
        <w:t xml:space="preserve"> twice a year, </w:t>
      </w:r>
      <w:r>
        <w:rPr>
          <w:i/>
        </w:rPr>
        <w:t xml:space="preserve">logged</w:t>
      </w:r>
      <w:r>
        <w:t xml:space="preserve"> and </w:t>
      </w:r>
      <w:r>
        <w:rPr>
          <w:u w:val="single"/>
        </w:rPr>
        <w:t xml:space="preserve">signed off</w:t>
      </w:r>
      <w:r>
        <w:t xml:space="preserve">; see </w:t>
      </w:r>
      <w:hyperlink r:id="rIdLink" w:history="1">
        <w:r>
          <w:rPr>
            <w:rStyle w:val="Hyperlink"/>
          </w:rPr>
          <w:t xml:space="preserve">the maintenance portal</w:t>
        </w:r>
      </w:hyperlink>
      <w:r>
        <w:t xml:space="preserve">.</w:t>
      </w:r>
      <w:r>
        <w:rPr>
          <w:rStyle w:val="FootnoteReference"/>
        </w:rPr>
        <w:footnoteReference w:id="1"/>
      </w:r>
    </w:p>
    <w:p>
      <w:pPr>
        <w:pStyle w:val="Heading2"/>
      </w:pPr>
      <w:r>
        <w:t xml:space="preserve">Scope</w:t>
      </w:r>
    </w:p>
    <w:p>
      <w:pPr>
        <w:pStyle w:val="ListParagraph"/>
        <w:numPr>
          <w:ilvl w:val="0"/>
          <w:numId w:val="1"/>
        </w:numPr>
      </w:pPr>
      <w:r>
        <w:t xml:space="preserve">Inspect pumps</w:t>
      </w:r>
    </w:p>
    <w:p>
      <w:pPr>
        <w:pStyle w:val="ListParagraph"/>
        <w:numPr>
          <w:ilvl w:val="0"/>
          <w:numId w:val="1"/>
        </w:numPr>
      </w:pPr>
      <w:r>
        <w:t xml:space="preserve">Check valves</w:t>
      </w:r>
    </w:p>
    <w:p>
      <w:pPr>
        <w:pStyle w:val="ListParagraph"/>
        <w:numPr>
          <w:ilvl w:val="1"/>
          <w:numId w:val="1"/>
        </w:numPr>
      </w:pPr>
      <w:r>
        <w:t xml:space="preserve">Isolate line</w:t>
      </w:r>
    </w:p>
    <w:p>
      <w:pPr>
        <w:pStyle w:val="ListParagraph"/>
        <w:numPr>
          <w:ilvl w:val="1"/>
          <w:numId w:val="1"/>
        </w:numPr>
      </w:pPr>
      <w:r>
        <w:t xml:space="preserve">Drain line</w:t>
      </w:r>
    </w:p>
    <w:p>
      <w:pPr>
        <w:pStyle w:val="ListParagraph"/>
        <w:numPr>
          <w:ilvl w:val="2"/>
          <w:numId w:val="1"/>
        </w:numPr>
      </w:pPr>
      <w:r>
        <w:t xml:space="preserve">Record level</w:t>
      </w:r>
    </w:p>
    <w:p>
      <w:pPr>
        <w:pStyle w:val="ListParagraph"/>
        <w:numPr>
          <w:ilvl w:val="0"/>
          <w:numId w:val="1"/>
        </w:numPr>
      </w:pPr>
      <w:r>
        <w:t xml:space="preserve">Close out</w:t>
      </w:r>
    </w:p>
    <w:p>
      <w:r>
        <w:t xml:space="preserve">A paragraph that ends the first list.</w:t>
      </w:r>
    </w:p>
    <w:p>
      <w:pPr>
        <w:pStyle w:val="ListParagraph"/>
        <w:numPr>
          <w:ilvl w:val="0"/>
          <w:numId w:val="2"/>
        </w:numPr>
      </w:pPr>
      <w:r>
        <w:t xml:space="preserve">Restart item one</w:t>
      </w:r>
    </w:p>
    <w:p>
      <w:pPr>
        <w:pStyle w:val="ListParagraph"/>
        <w:numPr>
          <w:ilvl w:val="0"/>
          <w:numId w:val="2"/>
        </w:numPr>
      </w:pPr>
      <w:r>
        <w:t xml:space="preserve">Restart item two</w:t>
      </w:r>
    </w:p>
    <w:p>
      <w:pPr>
        <w:pStyle w:val="ListParagraph"/>
        <w:numPr>
          <w:ilvl w:val="0"/>
          <w:numId w:val="3"/>
        </w:numPr>
      </w:pPr>
      <w:r>
        <w:t xml:space="preserve">Bearings</w:t>
      </w:r>
    </w:p>
    <w:p>
      <w:pPr>
        <w:pStyle w:val="ListParagraph"/>
        <w:numPr>
          <w:ilvl w:val="1"/>
          <w:numId w:val="3"/>
        </w:numPr>
      </w:pPr>
      <w:r>
        <w:t xml:space="preserve">Seals</w:t>
      </w:r>
    </w:p>
    <w:p>
      <w:pPr>
        <w:pStyle w:val="ListParagraph"/>
        <w:numPr>
          <w:ilvl w:val="0"/>
          <w:numId w:val="3"/>
        </w:numPr>
      </w:pPr>
      <w:r>
        <w:t xml:space="preserve">Gaskets</w:t>
      </w:r>
    </w:p>
    <w:p>
      <w:pPr>
        <w:pStyle w:val="ListNumber"/>
      </w:pPr>
      <w:r>
        <w:t xml:space="preserve">Roman list from three</w:t>
      </w:r>
    </w:p>
    <w:p>
      <w:pPr>
        <w:pStyle w:val="ListNumber"/>
      </w:pPr>
      <w:r>
        <w:t xml:space="preserve">Second roman item</w:t>
      </w:r>
    </w:p>
    <w:p>
      <w:pPr>
        <w:pStyle w:val="Heading2"/>
      </w:pPr>
      <w:r>
        <w:t xml:space="preserve">Readings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r>
              <w:t xml:space="preserve">Station</w:t>
            </w:r>
          </w:p>
        </w:tc>
        <w:tc>
          <w:tcPr>
            <w:tcW w:w="2400" w:type="dxa"/>
            <w:gridSpan w:val="2"/>
          </w:tcPr>
          <w:p>
            <w:r>
              <w:t xml:space="preserve">Flow rate</w:t>
            </w:r>
          </w:p>
        </w:tc>
      </w:tr>
      <w:tr>
        <w:tc>
          <w:tcPr>
            <w:tcW w:w="2400" w:type="dxa"/>
          </w:tcPr>
          <w:p>
            <w:r>
              <w:t xml:space="preserve">East</w:t>
            </w:r>
          </w:p>
        </w:tc>
        <w:tc>
          <w:tcPr>
            <w:tcW w:w="2400" w:type="dxa"/>
          </w:tcPr>
          <w:p>
            <w:r>
              <w:t xml:space="preserve">12.5</w:t>
            </w:r>
          </w:p>
        </w:tc>
        <w:tc>
          <w:tcPr>
            <w:tcW w:w="2400" w:type="dxa"/>
          </w:tcPr>
          <w:p>
            <w:r>
              <w:t xml:space="preserve">13.1</w:t>
            </w:r>
          </w:p>
        </w:tc>
      </w:tr>
      <w:tr>
        <w:tc>
          <w:tcPr>
            <w:tcW w:w="2400" w:type="dxa"/>
            <w:vMerge w:val="restart"/>
          </w:tcPr>
          <w:p>
            <w:r>
              <w:t xml:space="preserve">North</w:t>
            </w:r>
          </w:p>
        </w:tc>
        <w:tc>
          <w:tcPr>
            <w:tcW w:w="2400" w:type="dxa"/>
          </w:tcPr>
          <w:p>
            <w:r>
              <w:t xml:space="preserve">9.8</w:t>
            </w:r>
          </w:p>
        </w:tc>
        <w:tc>
          <w:tcPr>
            <w:tcW w:w="2400" w:type="dxa"/>
          </w:tcPr>
          <w:p>
            <w:r>
              <w:t xml:space="preserve">10.2</w:t>
            </w:r>
          </w:p>
        </w:tc>
      </w:tr>
      <w:tr>
        <w:tc>
          <w:tcPr>
            <w:tcW w:w="2400" w:type="dxa"/>
            <w:vMerge/>
          </w:tcPr>
          <w:p/>
        </w:tc>
        <w:tc>
          <w:tcPr>
            <w:tcW w:w="2400" w:type="dxa"/>
          </w:tcPr>
          <w:p>
            <w:r>
              <w:t xml:space="preserve">11.0</w:t>
            </w:r>
          </w:p>
        </w:tc>
        <w:tc>
          <w:tcPr>
            <w:tcW w:w="2400" w:type="dxa"/>
          </w:tcPr>
          <w:p>
            <w:r>
              <w:t xml:space="preserve">11.4</w:t>
            </w:r>
          </w:p>
        </w:tc>
      </w:tr>
    </w:tbl>
    <w:p>
      <w:r>
        <w:t xml:space="preserve">Table notes</w:t>
      </w:r>
    </w:p>
    <w:p>
      <w:r>
        <w:t xml:space="preserve">Noted in the log.</w:t>
      </w:r>
      <w:r>
        <w:rPr>
          <w:rStyle w:val="FootnoteReference"/>
        </w:rPr>
        <w:endnoteReference w:id="1"/>
      </w:r>
    </w:p>
    <w:p>
      <w:r>
        <w:br w:type="page"/>
      </w:r>
    </w:p>
    <w:p>
      <w:pPr>
        <w:pStyle w:val="Heading1"/>
      </w:pPr>
      <w:r>
        <w:t xml:space="preserve">2 Images</w:t>
      </w:r>
    </w:p>
    <w:p>
      <w:r>
        <w:drawing>
          <wp:inline distT="0" distB="0" distL="0" distR="0">
            <wp:extent cx="1270000" cy="952500"/>
            <wp:docPr id="1" name="photo" descr="Green checker photo"/>
            <a:graphic>
              <a:graphicData uri="http://schemas.openxmlformats.org/drawingml/2006/picture">
                <pic:pic>
                  <pic:nvPicPr>
                    <pic:cNvPr id="1" name="photo"/>
                    <pic:cNvPicPr/>
                  </pic:nvPicPr>
                  <pic:blipFill>
                    <a:blip r:embed="rIdJpeg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</w:t>
      </w:r>
      <w:r>
        <w:drawing>
          <wp:inline distT="0" distB="0" distL="0" distR="0">
            <wp:extent cx="960000" cy="640000"/>
            <wp:docPr id="2" name="diagram" descr="Red and blue bars"/>
            <a:graphic>
              <a:graphicData uri="http://schemas.openxmlformats.org/drawingml/2006/picture">
                <pic:pic>
                  <pic:nvPicPr>
                    <pic:cNvPr id="2" name="diagram"/>
                    <pic:cNvPicPr/>
                  </pic:nvPicPr>
                  <pic:blipFill>
                    <a:blip r:embed="rIdPng"/>
                    <a:stretch>
                      <a:fillRect/>
                    </a:stretch>
                  </pic:blipFill>
                  <pic:spPr>
                    <a:xfrm>
                      <a:off x="0" y="0"/>
                      <a:ext cx="960000" cy="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yHeading"/>
      </w:pPr>
      <w:r>
        <w:t xml:space="preserve">Sub heading by inheritance</w:t>
      </w:r>
    </w:p>
    <w:p>
      <w:pPr>
        <w:sectPr>
          <w:pgSz w:w="12240" w:h="15840"/>
        </w:sectPr>
      </w:pPr>
      <w:r>
        <w:t xml:space="preserve">Last paragraph of section one.</w:t>
      </w:r>
    </w:p>
    <w:p>
      <w:r>
        <w:t xml:space="preserve">Second section text.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rStyle w:val="FootnoteReference"/>
        </w:rPr>
        <w:endnoteRef/>
      </w:r>
      <w:r>
        <w:t xml:space="preserve"> Calibration certificates are on file.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Flow figures are monthly means.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1.%2.%3.%4"/>
      <w:lvlJc w:val="left"/>
    </w:lvl>
  </w:abstractNum>
  <w:abstractNum w:abstractNumId="1">
    <w:multiLevelType w:val="hybridMultilevel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rPr>
        <w:rFonts w:ascii="Courier New" w:hAnsi="Courier New" w:cs="Courier New" w:hint="default"/>
      </w:rPr>
    </w:lvl>
  </w:abstractNum>
  <w:abstractNum w:abstractNumId="2">
    <w:multiLevelType w:val="multilevel"/>
    <w:lvl w:ilvl="0">
      <w:start w:val="3"/>
      <w:numFmt w:val="upperRoman"/>
      <w:lvlText w:val="%1)"/>
      <w:lvlJc w:val="left"/>
    </w:lvl>
    <w:lvl w:ilvl="1">
      <w:start w:val="1"/>
      <w:numFmt w:val="decimal"/>
      <w:lvlRestart w:val="1"/>
      <w:lvlText w:val="%1.%2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2"/>
    <w:lvlOverride w:ilvl="0">
      <w:startOverride w:val="7"/>
    </w:lvlOverride>
  </w:num>
</w:numbering>
</file>

<file path=word/styles.xml><?xml version="1.0" encoding="utf-8"?>
<w:styles xmlns:w="http://schemas.openxmlformats.org/wordprocessingml/2006/main">
  <w:docDefaults>
    <w:rPrDefault>
      <w:rPr>
        <w:sz w:val="22"/>
        <w:lang w:val="en-US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sz w:val="24"/>
    </w:rPr>
  </w:style>
  <w:style w:type="paragraph" w:styleId="MyHeading">
    <w:name w:val="My Heading"/>
    <w:basedOn w:val="Heading2"/>
  </w:style>
  <w:style w:type="paragraph" w:styleId="ListParagraph">
    <w:name w:val="List Paragraph"/>
    <w:basedOn w:val="Normal"/>
  </w:style>
  <w:style w:type="paragraph" w:styleId="ListNumber">
    <w:name w:val="List Number"/>
    <w:basedOn w:val="Normal"/>
    <w:pPr>
      <w:numPr>
        <w:numId w:val="4"/>
      </w:numPr>
    </w:p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/>
        <w:bottom w:val="single" w:sz="4"/>
        <w:left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Link" Type="http://schemas.openxmlformats.org/officeDocument/2006/relationships/hyperlink" Target="https://example.org/portal" TargetMode="External"/><Relationship Id="rIdJpeg" Type="http://schemas.openxmlformats.org/officeDocument/2006/relationships/image" Target="media/photo.jpeg"/><Relationship Id="rIdPng" Type="http://schemas.openxmlformats.org/officeDocument/2006/relationships/image" Target="media/diagram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Pump Station Handbook</dc:title>
  <dc:creator>Fixture Author</dc:creator>
  <dc:language>en-US</dc:language>
</cp:coreProperties>
</file>