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Especificaciones para completar el diseño · LP-R02</w:t>
      </w:r>
    </w:p>
    <w:p>
      <w:r>
        <w:t>Limbani–Huancasayani | Instalaciones Eléctricas II | LP-R02 | 18/10/2026</w:t>
      </w:r>
    </w:p>
    <w:p>
      <w:r>
        <w:t>metrado_detallado.csv conserva ID, recurso, fórmula, poste/vano y estado. Los civiles no reciben volumen cerrado: excavación=πD²h/4 y concreto=excavación−volumen desplazado cuando se defina geometría real. Un bloque1.2 m o una malla dibujada no acredita capacidad ni resistividad. Las planillas dejan esas dimensiones vacías.</w:t>
      </w:r>
    </w:p>
    <w:p>
      <w:pPr>
        <w:pStyle w:val="Heading1"/>
      </w:pPr>
      <w:r>
        <w:t>7. Materiales, montaje y pruebas</w:t>
      </w:r>
    </w:p>
    <w:p>
      <w:r>
        <w:t>Postes: solicitar carga transversal de trabajo/rotura, posición del ensayo, dimensiones, peso, capacidad axial, interacciónN-M, comportamiento de fisuración, certificados por lote, orificios y transporte. Conductores: ficha AAAC, R20, masa, diámetro, GMR, RTS, E, α, curva tensión/deformación/fluencia y carga mínima de grapas. Aisladores/crucetas: comprobar cargas con signo, distancias y fijación CAC de cada función.</w:t>
      </w:r>
    </w:p>
    <w:p>
      <w:r>
        <w:t>Transformadores/celdas: capacidad neta a altitud local, relaciones/tomas, uk, pérdidas, grupo, neutro, aislamiento y ensayos. Montaje: replantear y liberar predios; ejecutar geotecnia/cimentaciones; izar con procedimiento del proveedor; tender por poleas; ajustar tabla de tensado a temperatura medida; comprobar puesta a tierra/protecciones y energizar tras pruebas. La tabla de tensado de esta revisión es orientativa para el modelo, no orden de tendido.</w:t>
      </w:r>
    </w:p>
    <w:p>
      <w:pPr>
        <w:pStyle w:val="Heading1"/>
      </w:pPr>
      <w:r>
        <w:t>8. Presupuesto, cronograma y cierre</w:t>
      </w:r>
    </w:p>
    <w:p>
      <w:r>
        <w:t>Se reemplaza el total aparente cerrado por una plantilla con cantidades trazables y precios sin cotizar. El presupuestoR01 se conserva como antecedente estimado; no se reutiliza como oferta local. Suministro, montaje, transporte, obras civiles y gestión se separan para evitar doble contabilización. Se solicita precio entregado en destino y tratamiento de IGV por oferta. APU, gastos, utilidad y cronograma de rendimiento permanecen editables.</w:t>
      </w:r>
    </w:p>
    <w:p>
      <w:r>
        <w:t>Secuencia propuesta:1) confirmar curso y fuente;2) verificar generación y demanda;3) comparar tensión con cotizaciones;4) levantar corredor/cruces y predios;5) resolver mecánica/aislamiento/protección/tierra/cimentación;6) congelar planillas;7) generar CAD, metrados y presupuesto;8) revisión de responsable y pruebas. Duraciones en hoja de planificación son hipótesis, sin fecha de obra comprometida.</w:t>
      </w:r>
    </w:p>
    <w:p>
      <w:r>
        <w:br w:type="page"/>
      </w:r>
    </w:p>
    <w:sectPr w:rsidR="00FC693F" w:rsidRPr="0006063C" w:rsidSect="00034616">
      <w:pgSz w:w="12240" w:h="15840"/>
      <w:pgMar w:top="1191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