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505119"/>
            <wp:docPr id="1" name="Picture 1"/>
            <wp:cNvGraphicFramePr>
              <a:graphicFrameLocks noChangeAspect="1"/>
            </wp:cNvGraphicFramePr>
            <a:graphic>
              <a:graphicData uri="http://schemas.openxmlformats.org/drawingml/2006/picture">
                <pic:pic>
                  <pic:nvPicPr>
                    <pic:cNvPr id="0" name="escudo-unap.png"/>
                    <pic:cNvPicPr/>
                  </pic:nvPicPr>
                  <pic:blipFill>
                    <a:blip r:embed="rId9"/>
                    <a:stretch>
                      <a:fillRect/>
                    </a:stretch>
                  </pic:blipFill>
                  <pic:spPr>
                    <a:xfrm>
                      <a:off x="0" y="0"/>
                      <a:ext cx="1371600" cy="1505119"/>
                    </a:xfrm>
                    <a:prstGeom prst="rect"/>
                  </pic:spPr>
                </pic:pic>
              </a:graphicData>
            </a:graphic>
          </wp:inline>
        </w:drawing>
      </w:r>
    </w:p>
    <w:p>
      <w:pPr>
        <w:spacing w:before="160" w:after="40"/>
        <w:jc w:val="center"/>
      </w:pPr>
      <w:r>
        <w:rPr>
          <w:rFonts w:ascii="Arial" w:hAnsi="Arial"/>
          <w:b/>
          <w:sz w:val="28"/>
        </w:rPr>
        <w:t>UNIVERSIDAD NACIONAL DEL ALTIPLANO - PUNO</w:t>
        <w:br/>
      </w:r>
      <w:r>
        <w:rPr>
          <w:rFonts w:ascii="Arial" w:hAnsi="Arial"/>
          <w:b/>
          <w:sz w:val="24"/>
        </w:rPr>
        <w:t>FACULTAD DE INGENIERÍA MECÁNICA ELÉCTRICA, ELECTRÓNICA Y SISTEMAS</w:t>
        <w:br/>
      </w:r>
      <w:r>
        <w:rPr>
          <w:rFonts w:ascii="Arial" w:hAnsi="Arial"/>
          <w:b/>
          <w:sz w:val="22"/>
        </w:rPr>
        <w:t>ESCUELA PROFESIONAL DE INGENIERÍA MECÁNICA ELÉCTRICA</w:t>
      </w:r>
    </w:p>
    <w:p>
      <w:pPr>
        <w:jc w:val="center"/>
      </w:pPr>
      <w:r>
        <w:rPr>
          <w:b/>
          <w:color w:val="006699"/>
        </w:rPr>
        <w:t>―――――――――――――――――――――――――――――――――――――――――――――――――――――――</w:t>
      </w:r>
    </w:p>
    <w:p>
      <w:pPr>
        <w:spacing w:before="200" w:after="120"/>
        <w:jc w:val="center"/>
      </w:pPr>
      <w:r>
        <w:rPr>
          <w:rFonts w:ascii="Arial" w:hAnsi="Arial"/>
          <w:b/>
          <w:color w:val="B40000"/>
          <w:sz w:val="36"/>
        </w:rPr>
        <w:t>EXPEDIENTE TÉCNICO DE INGENIERÍA</w:t>
        <w:br/>
      </w:r>
    </w:p>
    <w:p>
      <w:pPr>
        <w:spacing w:after="200"/>
        <w:jc w:val="center"/>
      </w:pPr>
      <w:r>
        <w:rPr>
          <w:rFonts w:ascii="Arial" w:hAnsi="Arial"/>
          <w:b/>
          <w:color w:val="006699"/>
          <w:sz w:val="26"/>
        </w:rPr>
        <w:t>«ELECTRIFICACIÓN Y REDES DE DISTRIBUCIÓN EN MEDIA TENSIÓN (10 kV) Y BAJA TENSIÓN (380/220 V) DESDE LA MINICENTRAL HIDROELÉCTRICA LIMBANI (200 kW, TURBINA MICHELL-BANKI)»</w:t>
        <w:br/>
        <w:br/>
      </w:r>
      <w:r>
        <w:rPr>
          <w:rFonts w:ascii="Arial" w:hAnsi="Arial"/>
          <w:b/>
          <w:sz w:val="22"/>
        </w:rPr>
        <w:t>CASCO URBANO DEL DISTRITO DE LIMBANI ― SANDIA ― PUNO</w:t>
      </w:r>
    </w:p>
    <w:p>
      <w:pPr>
        <w:jc w:val="center"/>
      </w:pPr>
      <w:r>
        <w:rPr>
          <w:b/>
          <w:color w:val="006699"/>
        </w:rPr>
        <w:t>―――――――――――――――――――――――――――――――――――――――――――――――――――――――</w:t>
      </w:r>
    </w:p>
    <w:p>
      <w:pPr>
        <w:spacing w:before="300" w:after="400"/>
      </w:pPr>
      <w:r>
        <w:rPr>
          <w:rFonts w:ascii="Arial" w:hAnsi="Arial"/>
          <w:b/>
          <w:sz w:val="21"/>
        </w:rPr>
        <w:t xml:space="preserve">CURSO: </w:t>
      </w:r>
      <w:r>
        <w:rPr>
          <w:rFonts w:ascii="Arial" w:hAnsi="Arial"/>
          <w:sz w:val="21"/>
        </w:rPr>
        <w:t>Instalaciones Eléctricas II / Redes Eléctricas y Subestaciones</w:t>
        <w:br/>
      </w:r>
      <w:r>
        <w:rPr>
          <w:rFonts w:ascii="Arial" w:hAnsi="Arial"/>
          <w:b/>
          <w:sz w:val="21"/>
        </w:rPr>
        <w:t xml:space="preserve">DOCENTE: </w:t>
      </w:r>
      <w:r>
        <w:rPr>
          <w:rFonts w:ascii="Arial" w:hAnsi="Arial"/>
          <w:sz w:val="21"/>
        </w:rPr>
        <w:t>Docente del Curso (FIME - UNAP)</w:t>
        <w:br/>
      </w:r>
      <w:r>
        <w:rPr>
          <w:rFonts w:ascii="Arial" w:hAnsi="Arial"/>
          <w:b/>
          <w:sz w:val="21"/>
        </w:rPr>
        <w:t xml:space="preserve">AUTOR / RESPONSABLE: </w:t>
      </w:r>
      <w:r>
        <w:rPr>
          <w:rFonts w:ascii="Arial" w:hAnsi="Arial"/>
          <w:sz w:val="21"/>
        </w:rPr>
        <w:t>Br. Aquiles Taylor Ramos Yapo (Cód. 227368)</w:t>
        <w:br/>
      </w:r>
      <w:r>
        <w:rPr>
          <w:rFonts w:ascii="Arial" w:hAnsi="Arial"/>
          <w:b/>
          <w:sz w:val="21"/>
        </w:rPr>
        <w:t xml:space="preserve">SEMESTRE ACADÉMICO: </w:t>
      </w:r>
      <w:r>
        <w:rPr>
          <w:rFonts w:ascii="Arial" w:hAnsi="Arial"/>
          <w:sz w:val="21"/>
        </w:rPr>
        <w:t>2026-II</w:t>
        <w:br/>
      </w:r>
      <w:r>
        <w:rPr>
          <w:rFonts w:ascii="Arial" w:hAnsi="Arial"/>
          <w:b/>
          <w:sz w:val="21"/>
        </w:rPr>
        <w:t xml:space="preserve">SISTEMA GEODÉSICO: </w:t>
      </w:r>
      <w:r>
        <w:rPr>
          <w:rFonts w:ascii="Arial" w:hAnsi="Arial"/>
          <w:sz w:val="21"/>
        </w:rPr>
        <w:t>WGS 84 / UTM Zona 19 Sur (EPSG:32719)</w:t>
        <w:br/>
      </w:r>
      <w:r>
        <w:rPr>
          <w:rFonts w:ascii="Arial" w:hAnsi="Arial"/>
          <w:b/>
          <w:sz w:val="21"/>
        </w:rPr>
        <w:t xml:space="preserve">POTENCIA GENERACIÓN: </w:t>
      </w:r>
      <w:r>
        <w:rPr>
          <w:rFonts w:ascii="Arial" w:hAnsi="Arial"/>
          <w:sz w:val="21"/>
        </w:rPr>
        <w:t>200 kW (Turbina Michell-Banki / Alternador 380 V)</w:t>
        <w:br/>
      </w:r>
      <w:r>
        <w:rPr>
          <w:rFonts w:ascii="Arial" w:hAnsi="Arial"/>
          <w:b/>
          <w:sz w:val="21"/>
        </w:rPr>
        <w:t xml:space="preserve">POBLACIÓN BENEFICIARIA: </w:t>
      </w:r>
      <w:r>
        <w:rPr>
          <w:rFonts w:ascii="Arial" w:hAnsi="Arial"/>
          <w:sz w:val="21"/>
        </w:rPr>
        <w:t>764 Viviendas Consolidadas / 623 Lotes Catastrados</w:t>
        <w:br/>
      </w:r>
    </w:p>
    <w:p>
      <w:pPr>
        <w:spacing w:before="600"/>
        <w:jc w:val="center"/>
      </w:pPr>
      <w:r>
        <w:rPr>
          <w:rFonts w:ascii="Arial" w:hAnsi="Arial"/>
          <w:b/>
          <w:sz w:val="22"/>
        </w:rPr>
        <w:t>PUNO ― PERÚ</w:t>
        <w:br/>
        <w:t>2026</w:t>
      </w:r>
    </w:p>
    <w:p>
      <w:r>
        <w:br w:type="page"/>
      </w:r>
    </w:p>
    <w:p>
      <w:pPr>
        <w:keepNext/>
        <w:spacing w:before="320" w:after="120"/>
      </w:pPr>
      <w:r>
        <w:rPr>
          <w:rFonts w:ascii="Arial" w:hAnsi="Arial"/>
          <w:b/>
          <w:color w:val="B40000"/>
          <w:sz w:val="30"/>
        </w:rPr>
        <w:t>CAPÍTULO I: MEMORIA DESCRIPTIVA</w:t>
      </w:r>
    </w:p>
    <w:p>
      <w:pPr>
        <w:keepNext/>
        <w:spacing w:before="240" w:after="80"/>
      </w:pPr>
      <w:r>
        <w:rPr>
          <w:rFonts w:ascii="Arial" w:hAnsi="Arial"/>
          <w:b/>
          <w:color w:val="006699"/>
          <w:sz w:val="25"/>
        </w:rPr>
        <w:t>1.1 Generalidades y Antecedentes</w:t>
      </w:r>
    </w:p>
    <w:p>
      <w:pPr>
        <w:spacing w:before="40" w:after="100" w:line="276" w:lineRule="auto"/>
      </w:pPr>
      <w:r>
        <w:rPr>
          <w:rFonts w:ascii="Arial" w:hAnsi="Arial"/>
          <w:sz w:val="20"/>
        </w:rPr>
        <w:t>El presente Expediente Técnico de Ingeniería ha sido elaborado para el dimensionamiento, diseño y especificación electromecánica del proyecto: «Electrificación y Redes de Distribución en Media Tensión (10 kV) y Baja Tensión (380/220 V) desde la Minicentral Hidroeléctrica Limbani (200 kW, Turbina Michell-Banki)», ubicado en el distrito de Limbani, provincia de Sandia, departamento de Puno.</w:t>
      </w:r>
    </w:p>
    <w:p>
      <w:pPr>
        <w:spacing w:before="40" w:after="100" w:line="276" w:lineRule="auto"/>
      </w:pPr>
      <w:r>
        <w:rPr>
          <w:rFonts w:ascii="Arial" w:hAnsi="Arial"/>
          <w:sz w:val="20"/>
        </w:rPr>
        <w:t>Históricamente, los centros poblados y distritos situados en las vertientes orientales de la cordillera de Carabaya y Sandia han enfrentado limitaciones en el suministro continuo y de calidad de energía eléctrica, debido a la topografía accidentada y la lejanía de las grandes troncales del Sistema Eléctrico Interconectado Nacional (SEIN). En este contexto, el aprovechamiento del abundante potencial hídrico de la cuenca del Río Limbani mediante la operación de una minicentral hidroeléctrica de pasada con turbina Michell-Banki de 200 kW representa una solución técnica, económica y ambientalmente sostenible para garantizar la soberanía energética del casco urbano de Limbani.</w:t>
      </w:r>
    </w:p>
    <w:p>
      <w:pPr>
        <w:spacing w:before="40" w:after="100" w:line="276" w:lineRule="auto"/>
      </w:pPr>
      <w:r>
        <w:rPr>
          <w:rFonts w:ascii="Arial" w:hAnsi="Arial"/>
          <w:sz w:val="20"/>
        </w:rPr>
        <w:t>Para la concepción del presente proyecto se ha tomado como base territorial y física el Catastro Urbano Oficial Consolidado de Limbani, levantado en el sistema geodésico WGS 84 / UTM Zona 19 Sur, el cual registra con precisión milimétrica un total de 623 lotes de propiedad oficial, 87 manzanas catastrales y 764 viviendas consolidadas, así como la delimitación inalterable del cauce del Río Limbani, Río Chinchalamani y los equipamientos urbanos (Plaza de Armas, Estadio Municipal, Piscina y centros educativos/salud).</w:t>
      </w:r>
    </w:p>
    <w:p>
      <w:pPr>
        <w:keepNext/>
        <w:spacing w:before="240" w:after="80"/>
      </w:pPr>
      <w:r>
        <w:rPr>
          <w:rFonts w:ascii="Arial" w:hAnsi="Arial"/>
          <w:b/>
          <w:color w:val="006699"/>
          <w:sz w:val="25"/>
        </w:rPr>
        <w:t>1.2 Alcance y Objeto del Proyecto</w:t>
      </w:r>
    </w:p>
    <w:p>
      <w:pPr>
        <w:spacing w:before="40" w:after="100" w:line="276" w:lineRule="auto"/>
      </w:pPr>
      <w:r>
        <w:rPr>
          <w:rFonts w:ascii="Arial" w:hAnsi="Arial"/>
          <w:sz w:val="20"/>
        </w:rPr>
        <w:t>Se precisa que las características técnicas de la Minicentral Hidroeléctrica Limbani (turbina Michell-Banki de 200 kW y alternador síncrono trifásico a 380 V) constituyen parámetros y datos de entrada del suministro eléctrico. El objeto integral del presente expediente comprende:</w:t>
      </w:r>
    </w:p>
    <w:p>
      <w:pPr>
        <w:pStyle w:val="ListBullet"/>
        <w:spacing w:before="20" w:after="60" w:line="276" w:lineRule="auto"/>
      </w:pPr>
      <w:r>
        <w:rPr>
          <w:rFonts w:ascii="Arial" w:hAnsi="Arial"/>
          <w:b/>
          <w:sz w:val="20"/>
        </w:rPr>
        <w:t xml:space="preserve">1. Transformación Inicial: </w:t>
      </w:r>
      <w:r>
        <w:rPr>
          <w:rFonts w:ascii="Arial" w:hAnsi="Arial"/>
          <w:sz w:val="20"/>
        </w:rPr>
        <w:t>Subestación Elevadora 250 kVA (0.38 / 10.0 kV, Dyn5) en casa de máquinas.</w:t>
      </w:r>
    </w:p>
    <w:p>
      <w:pPr>
        <w:pStyle w:val="ListBullet"/>
        <w:spacing w:before="20" w:after="60" w:line="276" w:lineRule="auto"/>
      </w:pPr>
      <w:r>
        <w:rPr>
          <w:rFonts w:ascii="Arial" w:hAnsi="Arial"/>
          <w:b/>
          <w:sz w:val="20"/>
        </w:rPr>
        <w:t xml:space="preserve">2. Transmisión Primaria: </w:t>
      </w:r>
      <w:r>
        <w:rPr>
          <w:rFonts w:ascii="Arial" w:hAnsi="Arial"/>
          <w:sz w:val="20"/>
        </w:rPr>
        <w:t>Línea Primaria 10 kV (2.15 km) en conductor desnudo AAAC 35 mm² y postes CAC 12m y 13m.</w:t>
      </w:r>
    </w:p>
    <w:p>
      <w:pPr>
        <w:pStyle w:val="ListBullet"/>
        <w:spacing w:before="20" w:after="60" w:line="276" w:lineRule="auto"/>
      </w:pPr>
      <w:r>
        <w:rPr>
          <w:rFonts w:ascii="Arial" w:hAnsi="Arial"/>
          <w:b/>
          <w:sz w:val="20"/>
        </w:rPr>
        <w:t xml:space="preserve">3. Subestaciones de Distribución: </w:t>
      </w:r>
      <w:r>
        <w:rPr>
          <w:rFonts w:ascii="Arial" w:hAnsi="Arial"/>
          <w:sz w:val="20"/>
        </w:rPr>
        <w:t>Tres Subestaciones Aéreas Biposte (SED-01 Norte 50 kVA, SED-02 Centro 100 kVA, SED-03 Sur 100 kVA).</w:t>
      </w:r>
    </w:p>
    <w:p>
      <w:pPr>
        <w:pStyle w:val="ListBullet"/>
        <w:spacing w:before="20" w:after="60" w:line="276" w:lineRule="auto"/>
      </w:pPr>
      <w:r>
        <w:rPr>
          <w:rFonts w:ascii="Arial" w:hAnsi="Arial"/>
          <w:b/>
          <w:sz w:val="20"/>
        </w:rPr>
        <w:t xml:space="preserve">4. Redes de Distribución: </w:t>
      </w:r>
      <w:r>
        <w:rPr>
          <w:rFonts w:ascii="Arial" w:hAnsi="Arial"/>
          <w:sz w:val="20"/>
        </w:rPr>
        <w:t>Redes Secundarias 380/220 V con cables autoportantes CAAI y postes CAC 8m y 9m.</w:t>
      </w:r>
    </w:p>
    <w:p>
      <w:pPr>
        <w:pStyle w:val="ListBullet"/>
        <w:spacing w:before="20" w:after="60" w:line="276" w:lineRule="auto"/>
      </w:pPr>
      <w:r>
        <w:rPr>
          <w:rFonts w:ascii="Arial" w:hAnsi="Arial"/>
          <w:b/>
          <w:sz w:val="20"/>
        </w:rPr>
        <w:t xml:space="preserve">5. Alumbrado Público: </w:t>
      </w:r>
      <w:r>
        <w:rPr>
          <w:rFonts w:ascii="Arial" w:hAnsi="Arial"/>
          <w:sz w:val="20"/>
        </w:rPr>
        <w:t>Alumbrado Público LED (165 luminarias de 50 W con control fotocelular).</w:t>
      </w:r>
    </w:p>
    <w:p>
      <w:pPr>
        <w:pStyle w:val="ListBullet"/>
        <w:spacing w:before="20" w:after="60" w:line="276" w:lineRule="auto"/>
      </w:pPr>
      <w:r>
        <w:rPr>
          <w:rFonts w:ascii="Arial" w:hAnsi="Arial"/>
          <w:b/>
          <w:sz w:val="20"/>
        </w:rPr>
        <w:t xml:space="preserve">6. Acometidas y Medición: </w:t>
      </w:r>
      <w:r>
        <w:rPr>
          <w:rFonts w:ascii="Arial" w:hAnsi="Arial"/>
          <w:sz w:val="20"/>
        </w:rPr>
        <w:t>764 Acometidas domiciliarias monofásicas con medición estática y cajas IP54.</w:t>
      </w:r>
    </w:p>
    <w:p>
      <w:pPr>
        <w:keepNext/>
        <w:spacing w:before="240" w:after="80"/>
      </w:pPr>
      <w:r>
        <w:rPr>
          <w:rFonts w:ascii="Arial" w:hAnsi="Arial"/>
          <w:b/>
          <w:color w:val="006699"/>
          <w:sz w:val="25"/>
        </w:rPr>
        <w:t>1.3 Ubicación Política, Geográfica y Cartografía Territorial</w:t>
      </w:r>
    </w:p>
    <w:p>
      <w:pPr>
        <w:pStyle w:val="ListBullet"/>
        <w:spacing w:before="20" w:after="60" w:line="276" w:lineRule="auto"/>
      </w:pPr>
      <w:r>
        <w:rPr>
          <w:rFonts w:ascii="Arial" w:hAnsi="Arial"/>
          <w:b/>
          <w:sz w:val="20"/>
        </w:rPr>
        <w:t xml:space="preserve">Departamento: </w:t>
      </w:r>
      <w:r>
        <w:rPr>
          <w:rFonts w:ascii="Arial" w:hAnsi="Arial"/>
          <w:sz w:val="20"/>
        </w:rPr>
        <w:t>Puno</w:t>
      </w:r>
    </w:p>
    <w:p>
      <w:pPr>
        <w:pStyle w:val="ListBullet"/>
        <w:spacing w:before="20" w:after="60" w:line="276" w:lineRule="auto"/>
      </w:pPr>
      <w:r>
        <w:rPr>
          <w:rFonts w:ascii="Arial" w:hAnsi="Arial"/>
          <w:b/>
          <w:sz w:val="20"/>
        </w:rPr>
        <w:t xml:space="preserve">Provincia: </w:t>
      </w:r>
      <w:r>
        <w:rPr>
          <w:rFonts w:ascii="Arial" w:hAnsi="Arial"/>
          <w:sz w:val="20"/>
        </w:rPr>
        <w:t>Sandia</w:t>
      </w:r>
    </w:p>
    <w:p>
      <w:pPr>
        <w:pStyle w:val="ListBullet"/>
        <w:spacing w:before="20" w:after="60" w:line="276" w:lineRule="auto"/>
      </w:pPr>
      <w:r>
        <w:rPr>
          <w:rFonts w:ascii="Arial" w:hAnsi="Arial"/>
          <w:b/>
          <w:sz w:val="20"/>
        </w:rPr>
        <w:t xml:space="preserve">Distrito: </w:t>
      </w:r>
      <w:r>
        <w:rPr>
          <w:rFonts w:ascii="Arial" w:hAnsi="Arial"/>
          <w:sz w:val="20"/>
        </w:rPr>
        <w:t>Limbani</w:t>
      </w:r>
    </w:p>
    <w:p>
      <w:pPr>
        <w:pStyle w:val="ListBullet"/>
        <w:spacing w:before="20" w:after="60" w:line="276" w:lineRule="auto"/>
      </w:pPr>
      <w:r>
        <w:rPr>
          <w:rFonts w:ascii="Arial" w:hAnsi="Arial"/>
          <w:b/>
          <w:sz w:val="20"/>
        </w:rPr>
        <w:t xml:space="preserve">Sector beneficiario: </w:t>
      </w:r>
      <w:r>
        <w:rPr>
          <w:rFonts w:ascii="Arial" w:hAnsi="Arial"/>
          <w:sz w:val="20"/>
        </w:rPr>
        <w:t>Casco urbano consolidado (Barrio Norte, Centro y Barrio Sur)</w:t>
      </w:r>
    </w:p>
    <w:p>
      <w:pPr>
        <w:pStyle w:val="ListBullet"/>
        <w:spacing w:before="20" w:after="60" w:line="276" w:lineRule="auto"/>
      </w:pPr>
      <w:r>
        <w:rPr>
          <w:rFonts w:ascii="Arial" w:hAnsi="Arial"/>
          <w:b/>
          <w:sz w:val="20"/>
        </w:rPr>
        <w:t xml:space="preserve">Altitud media: </w:t>
      </w:r>
      <w:r>
        <w:rPr>
          <w:rFonts w:ascii="Arial" w:hAnsi="Arial"/>
          <w:sz w:val="20"/>
        </w:rPr>
        <w:t>3,050 m.s.n.m. (rango 2,980 - 3,150 m.s.n.m.)</w:t>
      </w:r>
    </w:p>
    <w:p>
      <w:pPr>
        <w:pStyle w:val="ListBullet"/>
        <w:spacing w:before="20" w:after="60" w:line="276" w:lineRule="auto"/>
      </w:pPr>
      <w:r>
        <w:rPr>
          <w:rFonts w:ascii="Arial" w:hAnsi="Arial"/>
          <w:b/>
          <w:sz w:val="20"/>
        </w:rPr>
        <w:t xml:space="preserve">Coordenadas UTM (WGS 84 Z19S): </w:t>
      </w:r>
      <w:r>
        <w:rPr>
          <w:rFonts w:ascii="Arial" w:hAnsi="Arial"/>
          <w:sz w:val="20"/>
        </w:rPr>
        <w:t>Este: 425,250 a 425,700 m E | Norte: 8'434,750 a 8'436,650 m N</w:t>
      </w:r>
    </w:p>
    <w:p>
      <w:pPr>
        <w:spacing w:before="160" w:after="40"/>
        <w:jc w:val="center"/>
      </w:pPr>
      <w:r>
        <w:drawing>
          <wp:inline xmlns:a="http://schemas.openxmlformats.org/drawingml/2006/main" xmlns:pic="http://schemas.openxmlformats.org/drawingml/2006/picture">
            <wp:extent cx="2560320" cy="3363227"/>
            <wp:docPr id="2" name="Picture 2"/>
            <wp:cNvGraphicFramePr>
              <a:graphicFrameLocks noChangeAspect="1"/>
            </wp:cNvGraphicFramePr>
            <a:graphic>
              <a:graphicData uri="http://schemas.openxmlformats.org/drawingml/2006/picture">
                <pic:pic>
                  <pic:nvPicPr>
                    <pic:cNvPr id="0" name="ubicacion_departamento_puno.jpg"/>
                    <pic:cNvPicPr/>
                  </pic:nvPicPr>
                  <pic:blipFill>
                    <a:blip r:embed="rId10"/>
                    <a:stretch>
                      <a:fillRect/>
                    </a:stretch>
                  </pic:blipFill>
                  <pic:spPr>
                    <a:xfrm>
                      <a:off x="0" y="0"/>
                      <a:ext cx="2560320" cy="3363227"/>
                    </a:xfrm>
                    <a:prstGeom prst="rect"/>
                  </pic:spPr>
                </pic:pic>
              </a:graphicData>
            </a:graphic>
          </wp:inline>
        </w:drawing>
      </w:r>
      <w:r>
        <w:t xml:space="preserve">   </w:t>
      </w:r>
      <w:r>
        <w:drawing>
          <wp:inline xmlns:a="http://schemas.openxmlformats.org/drawingml/2006/main" xmlns:pic="http://schemas.openxmlformats.org/drawingml/2006/picture">
            <wp:extent cx="2560320" cy="3301666"/>
            <wp:docPr id="3" name="Picture 3"/>
            <wp:cNvGraphicFramePr>
              <a:graphicFrameLocks noChangeAspect="1"/>
            </wp:cNvGraphicFramePr>
            <a:graphic>
              <a:graphicData uri="http://schemas.openxmlformats.org/drawingml/2006/picture">
                <pic:pic>
                  <pic:nvPicPr>
                    <pic:cNvPr id="0" name="ubicacion_provincia_sandia.jpg"/>
                    <pic:cNvPicPr/>
                  </pic:nvPicPr>
                  <pic:blipFill>
                    <a:blip r:embed="rId11"/>
                    <a:stretch>
                      <a:fillRect/>
                    </a:stretch>
                  </pic:blipFill>
                  <pic:spPr>
                    <a:xfrm>
                      <a:off x="0" y="0"/>
                      <a:ext cx="2560320" cy="3301666"/>
                    </a:xfrm>
                    <a:prstGeom prst="rect"/>
                  </pic:spPr>
                </pic:pic>
              </a:graphicData>
            </a:graphic>
          </wp:inline>
        </w:drawing>
      </w:r>
    </w:p>
    <w:p>
      <w:pPr>
        <w:spacing w:after="160"/>
        <w:jc w:val="center"/>
      </w:pPr>
      <w:r>
        <w:rPr>
          <w:i/>
          <w:color w:val="505050"/>
          <w:sz w:val="18"/>
        </w:rPr>
        <w:t>Figura 1.1: Localización del Departamento de Puno y de la Provincia de Sandia.</w:t>
      </w:r>
    </w:p>
    <w:p>
      <w:pPr>
        <w:spacing w:before="120" w:after="40"/>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ubicacion_macrorregional.png"/>
                    <pic:cNvPicPr/>
                  </pic:nvPicPr>
                  <pic:blipFill>
                    <a:blip r:embed="rId12"/>
                    <a:stretch>
                      <a:fillRect/>
                    </a:stretch>
                  </pic:blipFill>
                  <pic:spPr>
                    <a:xfrm>
                      <a:off x="0" y="0"/>
                      <a:ext cx="5303520" cy="2828544"/>
                    </a:xfrm>
                    <a:prstGeom prst="rect"/>
                  </pic:spPr>
                </pic:pic>
              </a:graphicData>
            </a:graphic>
          </wp:inline>
        </w:drawing>
      </w:r>
    </w:p>
    <w:p>
      <w:pPr>
        <w:spacing w:after="200"/>
        <w:jc w:val="center"/>
      </w:pPr>
      <w:r>
        <w:rPr>
          <w:i/>
          <w:color w:val="505050"/>
          <w:sz w:val="18"/>
        </w:rPr>
        <w:t>Figura 1.2: Relieve y localización orográfica del Distrito de Limbani en los Andes Orientales.</w:t>
      </w:r>
    </w:p>
    <w:p>
      <w:pPr>
        <w:keepNext/>
        <w:spacing w:before="160" w:after="40"/>
      </w:pPr>
      <w:r>
        <w:rPr>
          <w:rFonts w:ascii="Arial" w:hAnsi="Arial"/>
          <w:b/>
          <w:color w:val="323232"/>
          <w:sz w:val="22"/>
        </w:rPr>
        <w:t>Ruta de Acceso Terrestre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06699"/>
            <w:tcMar>
              <w:top w:w="120" w:type="dxa"/>
              <w:bottom w:w="120" w:type="dxa"/>
              <w:left w:w="150" w:type="dxa"/>
              <w:right w:w="150" w:type="dxa"/>
            </w:tcMar>
          </w:tcPr>
          <w:p>
            <w:pPr>
              <w:jc w:val="center"/>
            </w:pPr>
            <w:r>
              <w:rPr>
                <w:rFonts w:ascii="Arial" w:hAnsi="Arial"/>
                <w:b/>
                <w:color w:val="FFFFFF"/>
                <w:sz w:val="19"/>
              </w:rPr>
              <w:t>Tramo</w:t>
            </w:r>
          </w:p>
        </w:tc>
        <w:tc>
          <w:tcPr>
            <w:tcW w:type="dxa" w:w="2592"/>
            <w:shd w:fill="006699"/>
            <w:tcMar>
              <w:top w:w="120" w:type="dxa"/>
              <w:bottom w:w="120" w:type="dxa"/>
              <w:left w:w="150" w:type="dxa"/>
              <w:right w:w="150" w:type="dxa"/>
            </w:tcMar>
          </w:tcPr>
          <w:p>
            <w:pPr>
              <w:jc w:val="center"/>
            </w:pPr>
            <w:r>
              <w:rPr>
                <w:rFonts w:ascii="Arial" w:hAnsi="Arial"/>
                <w:b/>
                <w:color w:val="FFFFFF"/>
                <w:sz w:val="19"/>
              </w:rPr>
              <w:t>Tipo de Vía</w:t>
            </w:r>
          </w:p>
        </w:tc>
        <w:tc>
          <w:tcPr>
            <w:tcW w:type="dxa" w:w="1440"/>
            <w:shd w:fill="006699"/>
            <w:tcMar>
              <w:top w:w="120" w:type="dxa"/>
              <w:bottom w:w="120" w:type="dxa"/>
              <w:left w:w="150" w:type="dxa"/>
              <w:right w:w="150" w:type="dxa"/>
            </w:tcMar>
          </w:tcPr>
          <w:p>
            <w:pPr>
              <w:jc w:val="center"/>
            </w:pPr>
            <w:r>
              <w:rPr>
                <w:rFonts w:ascii="Arial" w:hAnsi="Arial"/>
                <w:b/>
                <w:color w:val="FFFFFF"/>
                <w:sz w:val="19"/>
              </w:rPr>
              <w:t>Distancia (km)</w:t>
            </w:r>
          </w:p>
        </w:tc>
        <w:tc>
          <w:tcPr>
            <w:tcW w:type="dxa" w:w="1872"/>
            <w:shd w:fill="006699"/>
            <w:tcMar>
              <w:top w:w="120" w:type="dxa"/>
              <w:bottom w:w="120" w:type="dxa"/>
              <w:left w:w="150" w:type="dxa"/>
              <w:right w:w="150" w:type="dxa"/>
            </w:tcMar>
          </w:tcPr>
          <w:p>
            <w:pPr>
              <w:jc w:val="center"/>
            </w:pPr>
            <w:r>
              <w:rPr>
                <w:rFonts w:ascii="Arial" w:hAnsi="Arial"/>
                <w:b/>
                <w:color w:val="FFFFFF"/>
                <w:sz w:val="19"/>
              </w:rPr>
              <w:t>Estado</w:t>
            </w:r>
          </w:p>
        </w:tc>
        <w:tc>
          <w:tcPr>
            <w:tcW w:type="dxa" w:w="1296"/>
            <w:shd w:fill="006699"/>
            <w:tcMar>
              <w:top w:w="120" w:type="dxa"/>
              <w:bottom w:w="120" w:type="dxa"/>
              <w:left w:w="150" w:type="dxa"/>
              <w:right w:w="150" w:type="dxa"/>
            </w:tcMar>
          </w:tcPr>
          <w:p>
            <w:pPr>
              <w:jc w:val="center"/>
            </w:pPr>
            <w:r>
              <w:rPr>
                <w:rFonts w:ascii="Arial" w:hAnsi="Arial"/>
                <w:b/>
                <w:color w:val="FFFFFF"/>
                <w:sz w:val="19"/>
              </w:rPr>
              <w:t>Tiempo</w:t>
            </w:r>
          </w:p>
        </w:tc>
      </w:tr>
      <w:tr>
        <w:tc>
          <w:tcPr>
            <w:tcW w:type="dxa" w:w="2160"/>
            <w:tcMar>
              <w:top w:w="90" w:type="dxa"/>
              <w:bottom w:w="90" w:type="dxa"/>
              <w:left w:w="140" w:type="dxa"/>
              <w:right w:w="140" w:type="dxa"/>
            </w:tcMar>
          </w:tcPr>
          <w:p>
            <w:r>
              <w:rPr>
                <w:rFonts w:ascii="Arial" w:hAnsi="Arial"/>
                <w:sz w:val="18"/>
              </w:rPr>
              <w:t>Puno – Juliaca</w:t>
            </w:r>
          </w:p>
        </w:tc>
        <w:tc>
          <w:tcPr>
            <w:tcW w:type="dxa" w:w="2592"/>
            <w:tcMar>
              <w:top w:w="90" w:type="dxa"/>
              <w:bottom w:w="90" w:type="dxa"/>
              <w:left w:w="140" w:type="dxa"/>
              <w:right w:w="140" w:type="dxa"/>
            </w:tcMar>
          </w:tcPr>
          <w:p>
            <w:r>
              <w:rPr>
                <w:rFonts w:ascii="Arial" w:hAnsi="Arial"/>
                <w:sz w:val="18"/>
              </w:rPr>
              <w:t>Asfaltada (Red Nacional)</w:t>
            </w:r>
          </w:p>
        </w:tc>
        <w:tc>
          <w:tcPr>
            <w:tcW w:type="dxa" w:w="1440"/>
            <w:tcMar>
              <w:top w:w="90" w:type="dxa"/>
              <w:bottom w:w="90" w:type="dxa"/>
              <w:left w:w="140" w:type="dxa"/>
              <w:right w:w="140" w:type="dxa"/>
            </w:tcMar>
          </w:tcPr>
          <w:p>
            <w:r>
              <w:rPr>
                <w:rFonts w:ascii="Arial" w:hAnsi="Arial"/>
                <w:sz w:val="18"/>
              </w:rPr>
              <w:t>44.0</w:t>
            </w:r>
          </w:p>
        </w:tc>
        <w:tc>
          <w:tcPr>
            <w:tcW w:type="dxa" w:w="1872"/>
            <w:tcMar>
              <w:top w:w="90" w:type="dxa"/>
              <w:bottom w:w="90" w:type="dxa"/>
              <w:left w:w="140" w:type="dxa"/>
              <w:right w:w="140" w:type="dxa"/>
            </w:tcMar>
          </w:tcPr>
          <w:p>
            <w:r>
              <w:rPr>
                <w:rFonts w:ascii="Arial" w:hAnsi="Arial"/>
                <w:sz w:val="18"/>
              </w:rPr>
              <w:t>Bueno</w:t>
            </w:r>
          </w:p>
        </w:tc>
        <w:tc>
          <w:tcPr>
            <w:tcW w:type="dxa" w:w="1296"/>
            <w:tcMar>
              <w:top w:w="90" w:type="dxa"/>
              <w:bottom w:w="90" w:type="dxa"/>
              <w:left w:w="140" w:type="dxa"/>
              <w:right w:w="140" w:type="dxa"/>
            </w:tcMar>
          </w:tcPr>
          <w:p>
            <w:r>
              <w:rPr>
                <w:rFonts w:ascii="Arial" w:hAnsi="Arial"/>
                <w:sz w:val="18"/>
              </w:rPr>
              <w:t>0.8 h</w:t>
            </w:r>
          </w:p>
        </w:tc>
      </w:tr>
      <w:tr>
        <w:tc>
          <w:tcPr>
            <w:tcW w:type="dxa" w:w="2160"/>
            <w:shd w:fill="F4F6F9"/>
            <w:tcMar>
              <w:top w:w="90" w:type="dxa"/>
              <w:bottom w:w="90" w:type="dxa"/>
              <w:left w:w="140" w:type="dxa"/>
              <w:right w:w="140" w:type="dxa"/>
            </w:tcMar>
          </w:tcPr>
          <w:p>
            <w:r>
              <w:rPr>
                <w:rFonts w:ascii="Arial" w:hAnsi="Arial"/>
                <w:sz w:val="18"/>
              </w:rPr>
              <w:t>Juliaca – Huancané – Ananea</w:t>
            </w:r>
          </w:p>
        </w:tc>
        <w:tc>
          <w:tcPr>
            <w:tcW w:type="dxa" w:w="2592"/>
            <w:shd w:fill="F4F6F9"/>
            <w:tcMar>
              <w:top w:w="90" w:type="dxa"/>
              <w:bottom w:w="90" w:type="dxa"/>
              <w:left w:w="140" w:type="dxa"/>
              <w:right w:w="140" w:type="dxa"/>
            </w:tcMar>
          </w:tcPr>
          <w:p>
            <w:r>
              <w:rPr>
                <w:rFonts w:ascii="Arial" w:hAnsi="Arial"/>
                <w:sz w:val="18"/>
              </w:rPr>
              <w:t>Asfaltada / Afirmada</w:t>
            </w:r>
          </w:p>
        </w:tc>
        <w:tc>
          <w:tcPr>
            <w:tcW w:type="dxa" w:w="1440"/>
            <w:shd w:fill="F4F6F9"/>
            <w:tcMar>
              <w:top w:w="90" w:type="dxa"/>
              <w:bottom w:w="90" w:type="dxa"/>
              <w:left w:w="140" w:type="dxa"/>
              <w:right w:w="140" w:type="dxa"/>
            </w:tcMar>
          </w:tcPr>
          <w:p>
            <w:r>
              <w:rPr>
                <w:rFonts w:ascii="Arial" w:hAnsi="Arial"/>
                <w:sz w:val="18"/>
              </w:rPr>
              <w:t>128.0</w:t>
            </w:r>
          </w:p>
        </w:tc>
        <w:tc>
          <w:tcPr>
            <w:tcW w:type="dxa" w:w="1872"/>
            <w:shd w:fill="F4F6F9"/>
            <w:tcMar>
              <w:top w:w="90" w:type="dxa"/>
              <w:bottom w:w="90" w:type="dxa"/>
              <w:left w:w="140" w:type="dxa"/>
              <w:right w:w="140" w:type="dxa"/>
            </w:tcMar>
          </w:tcPr>
          <w:p>
            <w:r>
              <w:rPr>
                <w:rFonts w:ascii="Arial" w:hAnsi="Arial"/>
                <w:sz w:val="18"/>
              </w:rPr>
              <w:t>Regular</w:t>
            </w:r>
          </w:p>
        </w:tc>
        <w:tc>
          <w:tcPr>
            <w:tcW w:type="dxa" w:w="1296"/>
            <w:shd w:fill="F4F6F9"/>
            <w:tcMar>
              <w:top w:w="90" w:type="dxa"/>
              <w:bottom w:w="90" w:type="dxa"/>
              <w:left w:w="140" w:type="dxa"/>
              <w:right w:w="140" w:type="dxa"/>
            </w:tcMar>
          </w:tcPr>
          <w:p>
            <w:r>
              <w:rPr>
                <w:rFonts w:ascii="Arial" w:hAnsi="Arial"/>
                <w:sz w:val="18"/>
              </w:rPr>
              <w:t>2.5 h</w:t>
            </w:r>
          </w:p>
        </w:tc>
      </w:tr>
      <w:tr>
        <w:tc>
          <w:tcPr>
            <w:tcW w:type="dxa" w:w="2160"/>
            <w:tcMar>
              <w:top w:w="90" w:type="dxa"/>
              <w:bottom w:w="90" w:type="dxa"/>
              <w:left w:w="140" w:type="dxa"/>
              <w:right w:w="140" w:type="dxa"/>
            </w:tcMar>
          </w:tcPr>
          <w:p>
            <w:r>
              <w:rPr>
                <w:rFonts w:ascii="Arial" w:hAnsi="Arial"/>
                <w:sz w:val="18"/>
              </w:rPr>
              <w:t>Ananea – Crucero – Limbani</w:t>
            </w:r>
          </w:p>
        </w:tc>
        <w:tc>
          <w:tcPr>
            <w:tcW w:type="dxa" w:w="2592"/>
            <w:tcMar>
              <w:top w:w="90" w:type="dxa"/>
              <w:bottom w:w="90" w:type="dxa"/>
              <w:left w:w="140" w:type="dxa"/>
              <w:right w:w="140" w:type="dxa"/>
            </w:tcMar>
          </w:tcPr>
          <w:p>
            <w:r>
              <w:rPr>
                <w:rFonts w:ascii="Arial" w:hAnsi="Arial"/>
                <w:sz w:val="18"/>
              </w:rPr>
              <w:t>Afirmada / Trocha afirmada</w:t>
            </w:r>
          </w:p>
        </w:tc>
        <w:tc>
          <w:tcPr>
            <w:tcW w:type="dxa" w:w="1440"/>
            <w:tcMar>
              <w:top w:w="90" w:type="dxa"/>
              <w:bottom w:w="90" w:type="dxa"/>
              <w:left w:w="140" w:type="dxa"/>
              <w:right w:w="140" w:type="dxa"/>
            </w:tcMar>
          </w:tcPr>
          <w:p>
            <w:r>
              <w:rPr>
                <w:rFonts w:ascii="Arial" w:hAnsi="Arial"/>
                <w:sz w:val="18"/>
              </w:rPr>
              <w:t>62.0</w:t>
            </w:r>
          </w:p>
        </w:tc>
        <w:tc>
          <w:tcPr>
            <w:tcW w:type="dxa" w:w="1872"/>
            <w:tcMar>
              <w:top w:w="90" w:type="dxa"/>
              <w:bottom w:w="90" w:type="dxa"/>
              <w:left w:w="140" w:type="dxa"/>
              <w:right w:w="140" w:type="dxa"/>
            </w:tcMar>
          </w:tcPr>
          <w:p>
            <w:r>
              <w:rPr>
                <w:rFonts w:ascii="Arial" w:hAnsi="Arial"/>
                <w:sz w:val="18"/>
              </w:rPr>
              <w:t>Tránsito moderado</w:t>
            </w:r>
          </w:p>
        </w:tc>
        <w:tc>
          <w:tcPr>
            <w:tcW w:type="dxa" w:w="1296"/>
            <w:tcMar>
              <w:top w:w="90" w:type="dxa"/>
              <w:bottom w:w="90" w:type="dxa"/>
              <w:left w:w="140" w:type="dxa"/>
              <w:right w:w="140" w:type="dxa"/>
            </w:tcMar>
          </w:tcPr>
          <w:p>
            <w:r>
              <w:rPr>
                <w:rFonts w:ascii="Arial" w:hAnsi="Arial"/>
                <w:sz w:val="18"/>
              </w:rPr>
              <w:t>2.2 h</w:t>
            </w:r>
          </w:p>
        </w:tc>
      </w:tr>
      <w:tr>
        <w:tc>
          <w:tcPr>
            <w:tcW w:type="dxa" w:w="2160"/>
            <w:shd w:fill="F4F6F9"/>
            <w:tcMar>
              <w:top w:w="90" w:type="dxa"/>
              <w:bottom w:w="90" w:type="dxa"/>
              <w:left w:w="140" w:type="dxa"/>
              <w:right w:w="140" w:type="dxa"/>
            </w:tcMar>
          </w:tcPr>
          <w:p>
            <w:r>
              <w:rPr>
                <w:rFonts w:ascii="Arial" w:hAnsi="Arial"/>
                <w:sz w:val="18"/>
              </w:rPr>
              <w:t>Total Itinerario Terrestre</w:t>
            </w:r>
          </w:p>
        </w:tc>
        <w:tc>
          <w:tcPr>
            <w:tcW w:type="dxa" w:w="2592"/>
            <w:shd w:fill="F4F6F9"/>
            <w:tcMar>
              <w:top w:w="90" w:type="dxa"/>
              <w:bottom w:w="90" w:type="dxa"/>
              <w:left w:w="140" w:type="dxa"/>
              <w:right w:w="140" w:type="dxa"/>
            </w:tcMar>
          </w:tcPr>
          <w:p>
            <w:r>
              <w:rPr>
                <w:rFonts w:ascii="Arial" w:hAnsi="Arial"/>
                <w:sz w:val="18"/>
              </w:rPr>
              <w:t>Ruta Departamental / Local</w:t>
            </w:r>
          </w:p>
        </w:tc>
        <w:tc>
          <w:tcPr>
            <w:tcW w:type="dxa" w:w="1440"/>
            <w:shd w:fill="F4F6F9"/>
            <w:tcMar>
              <w:top w:w="90" w:type="dxa"/>
              <w:bottom w:w="90" w:type="dxa"/>
              <w:left w:w="140" w:type="dxa"/>
              <w:right w:w="140" w:type="dxa"/>
            </w:tcMar>
          </w:tcPr>
          <w:p>
            <w:r>
              <w:rPr>
                <w:rFonts w:ascii="Arial" w:hAnsi="Arial"/>
                <w:sz w:val="18"/>
              </w:rPr>
              <w:t>234.0 km</w:t>
            </w:r>
          </w:p>
        </w:tc>
        <w:tc>
          <w:tcPr>
            <w:tcW w:type="dxa" w:w="1872"/>
            <w:shd w:fill="F4F6F9"/>
            <w:tcMar>
              <w:top w:w="90" w:type="dxa"/>
              <w:bottom w:w="90" w:type="dxa"/>
              <w:left w:w="140" w:type="dxa"/>
              <w:right w:w="140" w:type="dxa"/>
            </w:tcMar>
          </w:tcPr>
          <w:p>
            <w:r>
              <w:rPr>
                <w:rFonts w:ascii="Arial" w:hAnsi="Arial"/>
                <w:sz w:val="18"/>
              </w:rPr>
              <w:t>Operativo</w:t>
            </w:r>
          </w:p>
        </w:tc>
        <w:tc>
          <w:tcPr>
            <w:tcW w:type="dxa" w:w="1296"/>
            <w:shd w:fill="F4F6F9"/>
            <w:tcMar>
              <w:top w:w="90" w:type="dxa"/>
              <w:bottom w:w="90" w:type="dxa"/>
              <w:left w:w="140" w:type="dxa"/>
              <w:right w:w="140" w:type="dxa"/>
            </w:tcMar>
          </w:tcPr>
          <w:p>
            <w:r>
              <w:rPr>
                <w:rFonts w:ascii="Arial" w:hAnsi="Arial"/>
                <w:sz w:val="18"/>
              </w:rPr>
              <w:t>≈ 5.5 h</w:t>
            </w:r>
          </w:p>
        </w:tc>
      </w:tr>
    </w:tbl>
    <w:p>
      <w:pPr>
        <w:keepNext/>
        <w:spacing w:before="240" w:after="80"/>
      </w:pPr>
      <w:r>
        <w:rPr>
          <w:rFonts w:ascii="Arial" w:hAnsi="Arial"/>
          <w:b/>
          <w:color w:val="006699"/>
          <w:sz w:val="25"/>
        </w:rPr>
        <w:t>1.3 Condiciones Ambientales y Climatológicas</w:t>
      </w:r>
    </w:p>
    <w:p>
      <w:pPr>
        <w:spacing w:before="40" w:after="100" w:line="276" w:lineRule="auto"/>
      </w:pPr>
      <w:r>
        <w:rPr>
          <w:rFonts w:ascii="Arial" w:hAnsi="Arial"/>
          <w:sz w:val="20"/>
        </w:rPr>
        <w:t>Conforme a la zonificación bioclimática y la Parte 2 del CNE - Suministro 2011 (Zona 2: Sierra y Altiplano):</w:t>
      </w:r>
    </w:p>
    <w:p>
      <w:pPr>
        <w:pStyle w:val="ListBullet"/>
        <w:spacing w:before="20" w:after="60" w:line="276" w:lineRule="auto"/>
      </w:pPr>
      <w:r>
        <w:rPr>
          <w:rFonts w:ascii="Arial" w:hAnsi="Arial"/>
          <w:b/>
          <w:sz w:val="20"/>
        </w:rPr>
        <w:t xml:space="preserve">Temperatura mínima extrema: </w:t>
      </w:r>
      <w:r>
        <w:rPr>
          <w:rFonts w:ascii="Arial" w:hAnsi="Arial"/>
          <w:sz w:val="20"/>
        </w:rPr>
        <w:t>-5.0 °C (noches de helada invernal)</w:t>
      </w:r>
    </w:p>
    <w:p>
      <w:pPr>
        <w:pStyle w:val="ListBullet"/>
        <w:spacing w:before="20" w:after="60" w:line="276" w:lineRule="auto"/>
      </w:pPr>
      <w:r>
        <w:rPr>
          <w:rFonts w:ascii="Arial" w:hAnsi="Arial"/>
          <w:b/>
          <w:sz w:val="20"/>
        </w:rPr>
        <w:t xml:space="preserve">Temperatura media anual: </w:t>
      </w:r>
      <w:r>
        <w:rPr>
          <w:rFonts w:ascii="Arial" w:hAnsi="Arial"/>
          <w:sz w:val="20"/>
        </w:rPr>
        <w:t>+12.0 °C</w:t>
      </w:r>
    </w:p>
    <w:p>
      <w:pPr>
        <w:pStyle w:val="ListBullet"/>
        <w:spacing w:before="20" w:after="60" w:line="276" w:lineRule="auto"/>
      </w:pPr>
      <w:r>
        <w:rPr>
          <w:rFonts w:ascii="Arial" w:hAnsi="Arial"/>
          <w:b/>
          <w:sz w:val="20"/>
        </w:rPr>
        <w:t xml:space="preserve">Temperatura máxima extrema: </w:t>
      </w:r>
      <w:r>
        <w:rPr>
          <w:rFonts w:ascii="Arial" w:hAnsi="Arial"/>
          <w:sz w:val="20"/>
        </w:rPr>
        <w:t>+35.0 °C (radiación diurna directa)</w:t>
      </w:r>
    </w:p>
    <w:p>
      <w:pPr>
        <w:pStyle w:val="ListBullet"/>
        <w:spacing w:before="20" w:after="60" w:line="276" w:lineRule="auto"/>
      </w:pPr>
      <w:r>
        <w:rPr>
          <w:rFonts w:ascii="Arial" w:hAnsi="Arial"/>
          <w:b/>
          <w:sz w:val="20"/>
        </w:rPr>
        <w:t xml:space="preserve">Velocidad máxima de viento: </w:t>
      </w:r>
      <w:r>
        <w:rPr>
          <w:rFonts w:ascii="Arial" w:hAnsi="Arial"/>
          <w:sz w:val="20"/>
        </w:rPr>
        <w:t>90.0 km/h (25.0 m/s)</w:t>
      </w:r>
    </w:p>
    <w:p>
      <w:pPr>
        <w:pStyle w:val="ListBullet"/>
        <w:spacing w:before="20" w:after="60" w:line="276" w:lineRule="auto"/>
      </w:pPr>
      <w:r>
        <w:rPr>
          <w:rFonts w:ascii="Arial" w:hAnsi="Arial"/>
          <w:b/>
          <w:sz w:val="20"/>
        </w:rPr>
        <w:t xml:space="preserve">Precipitación pluvial media: </w:t>
      </w:r>
      <w:r>
        <w:rPr>
          <w:rFonts w:ascii="Arial" w:hAnsi="Arial"/>
          <w:sz w:val="20"/>
        </w:rPr>
        <w:t>850 mm/año (diciembre a marzo)</w:t>
      </w:r>
    </w:p>
    <w:p>
      <w:pPr>
        <w:pStyle w:val="ListBullet"/>
        <w:spacing w:before="20" w:after="60" w:line="276" w:lineRule="auto"/>
      </w:pPr>
      <w:r>
        <w:rPr>
          <w:rFonts w:ascii="Arial" w:hAnsi="Arial"/>
          <w:b/>
          <w:sz w:val="20"/>
        </w:rPr>
        <w:t xml:space="preserve">Nivel ceráunico: </w:t>
      </w:r>
      <w:r>
        <w:rPr>
          <w:rFonts w:ascii="Arial" w:hAnsi="Arial"/>
          <w:sz w:val="20"/>
        </w:rPr>
        <w:t>60 a 75 días de tormenta/año (nivel medio-alto)</w:t>
      </w:r>
    </w:p>
    <w:p>
      <w:pPr>
        <w:pStyle w:val="ListBullet"/>
        <w:spacing w:before="20" w:after="60" w:line="276" w:lineRule="auto"/>
      </w:pPr>
      <w:r>
        <w:rPr>
          <w:rFonts w:ascii="Arial" w:hAnsi="Arial"/>
          <w:b/>
          <w:sz w:val="20"/>
        </w:rPr>
        <w:t xml:space="preserve">Resistividad de terreno: </w:t>
      </w:r>
      <w:r>
        <w:rPr>
          <w:rFonts w:ascii="Arial" w:hAnsi="Arial"/>
          <w:sz w:val="20"/>
        </w:rPr>
        <w:t>150 a 450 Ω·m (suelo rocoso y arcillo-arenoso)</w:t>
      </w:r>
    </w:p>
    <w:p>
      <w:pPr>
        <w:keepNext/>
        <w:spacing w:before="240" w:after="80"/>
      </w:pPr>
      <w:r>
        <w:rPr>
          <w:rFonts w:ascii="Arial" w:hAnsi="Arial"/>
          <w:b/>
          <w:color w:val="006699"/>
          <w:sz w:val="25"/>
        </w:rPr>
        <w:t>1.4 Descripción de la Fuente: MCH Limbani (200 kW)</w:t>
      </w:r>
    </w:p>
    <w:p>
      <w:pPr>
        <w:pStyle w:val="ListBullet"/>
        <w:spacing w:before="20" w:after="60" w:line="276" w:lineRule="auto"/>
      </w:pPr>
      <w:r>
        <w:rPr>
          <w:rFonts w:ascii="Arial" w:hAnsi="Arial"/>
          <w:b/>
          <w:sz w:val="20"/>
        </w:rPr>
        <w:t xml:space="preserve">Tipo de central: </w:t>
      </w:r>
      <w:r>
        <w:rPr>
          <w:rFonts w:ascii="Arial" w:hAnsi="Arial"/>
          <w:sz w:val="20"/>
        </w:rPr>
        <w:t>Central de pasada sobre el Río Limbani.</w:t>
      </w:r>
    </w:p>
    <w:p>
      <w:pPr>
        <w:pStyle w:val="ListBullet"/>
        <w:spacing w:before="20" w:after="60" w:line="276" w:lineRule="auto"/>
      </w:pPr>
      <w:r>
        <w:rPr>
          <w:rFonts w:ascii="Arial" w:hAnsi="Arial"/>
          <w:b/>
          <w:sz w:val="20"/>
        </w:rPr>
        <w:t xml:space="preserve">Turbina hidráulica: </w:t>
      </w:r>
      <w:r>
        <w:rPr>
          <w:rFonts w:ascii="Arial" w:hAnsi="Arial"/>
          <w:sz w:val="20"/>
        </w:rPr>
        <w:t>Michell-Banki (flujo transversal o cross-flow). Caudal de diseño Q = 0.55 m³/s, salto neto H = 45.0 m, rendimiento η = 82%.</w:t>
      </w:r>
    </w:p>
    <w:p>
      <w:pPr>
        <w:pStyle w:val="ListBullet"/>
        <w:spacing w:before="20" w:after="60" w:line="276" w:lineRule="auto"/>
      </w:pPr>
      <w:r>
        <w:rPr>
          <w:rFonts w:ascii="Arial" w:hAnsi="Arial"/>
          <w:b/>
          <w:sz w:val="20"/>
        </w:rPr>
        <w:t xml:space="preserve">Generador: </w:t>
      </w:r>
      <w:r>
        <w:rPr>
          <w:rFonts w:ascii="Arial" w:hAnsi="Arial"/>
          <w:sz w:val="20"/>
        </w:rPr>
        <w:t>Síncrono trifásico sin escobillas, 200 kW (250 kVA a cos φ = 0.80), 380 V, 60 Hz, 1,800 RPM.</w:t>
      </w:r>
    </w:p>
    <w:p>
      <w:pPr>
        <w:pStyle w:val="ListBullet"/>
        <w:spacing w:before="20" w:after="60" w:line="276" w:lineRule="auto"/>
      </w:pPr>
      <w:r>
        <w:rPr>
          <w:rFonts w:ascii="Arial" w:hAnsi="Arial"/>
          <w:b/>
          <w:sz w:val="20"/>
        </w:rPr>
        <w:t xml:space="preserve">Transformador Elevador: </w:t>
      </w:r>
      <w:r>
        <w:rPr>
          <w:rFonts w:ascii="Arial" w:hAnsi="Arial"/>
          <w:sz w:val="20"/>
        </w:rPr>
        <w:t>250 kVA, 0.38 / 10.0 kV, Dyn5, ONAN, clase térmica A.</w:t>
      </w:r>
    </w:p>
    <w:p>
      <w:pPr>
        <w:keepNext/>
        <w:spacing w:before="240" w:after="80"/>
      </w:pPr>
      <w:r>
        <w:rPr>
          <w:rFonts w:ascii="Arial" w:hAnsi="Arial"/>
          <w:b/>
          <w:color w:val="006699"/>
          <w:sz w:val="25"/>
        </w:rPr>
        <w:t>1.5 Descripción de las Redes de Media y Baja Tensión</w:t>
      </w:r>
    </w:p>
    <w:p>
      <w:pPr>
        <w:spacing w:before="40" w:after="100" w:line="276" w:lineRule="auto"/>
      </w:pPr>
      <w:r>
        <w:rPr>
          <w:rFonts w:ascii="Arial" w:hAnsi="Arial"/>
          <w:sz w:val="20"/>
        </w:rPr>
        <w:t>La energía se transporta desde la casa de máquinas de la MCH Limbani hacia el casco urbano mediante una línea primaria trifásica en 10.0 kV de 2.15 km de longitud tendida con conductor desnudo de aleación de aluminio AAAC 35 mm² sobre postes de concreto armado centrifugado (CAC) de 12 m y 13 m.</w:t>
      </w:r>
    </w:p>
    <w:p>
      <w:pPr>
        <w:spacing w:before="40" w:after="100" w:line="276" w:lineRule="auto"/>
      </w:pPr>
      <w:r>
        <w:rPr>
          <w:rFonts w:ascii="Arial" w:hAnsi="Arial"/>
          <w:sz w:val="20"/>
        </w:rPr>
        <w:t>En el casco urbano se disponen tres (03) Subestaciones Aéreas Biposte (SAB) con una potencia agregada de 250 kVA:</w:t>
      </w:r>
    </w:p>
    <w:p>
      <w:pPr>
        <w:pStyle w:val="ListBullet"/>
        <w:spacing w:before="20" w:after="60" w:line="276" w:lineRule="auto"/>
      </w:pPr>
      <w:r>
        <w:rPr>
          <w:rFonts w:ascii="Arial" w:hAnsi="Arial"/>
          <w:b/>
          <w:sz w:val="20"/>
        </w:rPr>
        <w:t xml:space="preserve">SED-01 (Sector Norte): </w:t>
      </w:r>
      <w:r>
        <w:rPr>
          <w:rFonts w:ascii="Arial" w:hAnsi="Arial"/>
          <w:sz w:val="20"/>
        </w:rPr>
        <w:t>SAB 50 kVA (10/0.38-0.22 kV), abastece 142 lotes y cargas del sector septentrional.</w:t>
      </w:r>
    </w:p>
    <w:p>
      <w:pPr>
        <w:pStyle w:val="ListBullet"/>
        <w:spacing w:before="20" w:after="60" w:line="276" w:lineRule="auto"/>
      </w:pPr>
      <w:r>
        <w:rPr>
          <w:rFonts w:ascii="Arial" w:hAnsi="Arial"/>
          <w:b/>
          <w:sz w:val="20"/>
        </w:rPr>
        <w:t xml:space="preserve">SED-02 (Sector Centro): </w:t>
      </w:r>
      <w:r>
        <w:rPr>
          <w:rFonts w:ascii="Arial" w:hAnsi="Arial"/>
          <w:sz w:val="20"/>
        </w:rPr>
        <w:t>SAB 100 kVA (10/0.38-0.22 kV), abastece 348 lotes, Plaza de Armas, Municipalidad y Centro de Salud.</w:t>
      </w:r>
    </w:p>
    <w:p>
      <w:pPr>
        <w:pStyle w:val="ListBullet"/>
        <w:spacing w:before="20" w:after="60" w:line="276" w:lineRule="auto"/>
      </w:pPr>
      <w:r>
        <w:rPr>
          <w:rFonts w:ascii="Arial" w:hAnsi="Arial"/>
          <w:b/>
          <w:sz w:val="20"/>
        </w:rPr>
        <w:t xml:space="preserve">SED-03 (Sector Sur): </w:t>
      </w:r>
      <w:r>
        <w:rPr>
          <w:rFonts w:ascii="Arial" w:hAnsi="Arial"/>
          <w:sz w:val="20"/>
        </w:rPr>
        <w:t>SAB 100 kVA (10/0.38-0.22 kV), abastece 274 lotes, complejo recreacional, piscina y expansión sur.</w:t>
      </w:r>
    </w:p>
    <w:p>
      <w:r>
        <w:br w:type="page"/>
      </w:r>
    </w:p>
    <w:p>
      <w:pPr>
        <w:keepNext/>
        <w:spacing w:before="320" w:after="120"/>
      </w:pPr>
      <w:r>
        <w:rPr>
          <w:rFonts w:ascii="Arial" w:hAnsi="Arial"/>
          <w:b/>
          <w:color w:val="B40000"/>
          <w:sz w:val="30"/>
        </w:rPr>
        <w:t>CAPÍTULO II: CÁLCULOS JUSTIFICATIVOS</w:t>
      </w:r>
    </w:p>
    <w:p>
      <w:pPr>
        <w:keepNext/>
        <w:spacing w:before="240" w:after="80"/>
      </w:pPr>
      <w:r>
        <w:rPr>
          <w:rFonts w:ascii="Arial" w:hAnsi="Arial"/>
          <w:b/>
          <w:color w:val="006699"/>
          <w:sz w:val="25"/>
        </w:rPr>
        <w:t>2.1 Estudio de Demanda y Máxima Demanda Coincidente</w:t>
      </w:r>
    </w:p>
    <w:p>
      <w:pPr>
        <w:pStyle w:val="ListBullet"/>
        <w:spacing w:before="20" w:after="60" w:line="276" w:lineRule="auto"/>
      </w:pPr>
      <w:r>
        <w:rPr>
          <w:rFonts w:ascii="Arial" w:hAnsi="Arial"/>
          <w:b/>
          <w:sz w:val="20"/>
        </w:rPr>
        <w:t xml:space="preserve">Dotación unitaria por vivienda: </w:t>
      </w:r>
      <w:r>
        <w:rPr>
          <w:rFonts w:ascii="Arial" w:hAnsi="Arial"/>
          <w:sz w:val="20"/>
        </w:rPr>
        <w:t>350 W/lote (Norma DGE R.D. 016-2003-EM/DGE)</w:t>
      </w:r>
    </w:p>
    <w:p>
      <w:pPr>
        <w:pStyle w:val="ListBullet"/>
        <w:spacing w:before="20" w:after="60" w:line="276" w:lineRule="auto"/>
      </w:pPr>
      <w:r>
        <w:rPr>
          <w:rFonts w:ascii="Arial" w:hAnsi="Arial"/>
          <w:b/>
          <w:sz w:val="20"/>
        </w:rPr>
        <w:t xml:space="preserve">Total viviendas catastradas: </w:t>
      </w:r>
      <w:r>
        <w:rPr>
          <w:rFonts w:ascii="Arial" w:hAnsi="Arial"/>
          <w:sz w:val="20"/>
        </w:rPr>
        <w:t>764 predios consolidados</w:t>
      </w:r>
    </w:p>
    <w:p>
      <w:pPr>
        <w:pStyle w:val="ListBullet"/>
        <w:spacing w:before="20" w:after="60" w:line="276" w:lineRule="auto"/>
      </w:pPr>
      <w:r>
        <w:rPr>
          <w:rFonts w:ascii="Arial" w:hAnsi="Arial"/>
          <w:b/>
          <w:sz w:val="20"/>
        </w:rPr>
        <w:t xml:space="preserve">Potencia instalada doméstica: </w:t>
      </w:r>
      <w:r>
        <w:rPr>
          <w:rFonts w:ascii="Arial" w:hAnsi="Arial"/>
          <w:sz w:val="20"/>
        </w:rPr>
        <w:t>764 × 0.350 kW = 267.40 kW</w:t>
      </w:r>
    </w:p>
    <w:p>
      <w:pPr>
        <w:pStyle w:val="ListBullet"/>
        <w:spacing w:before="20" w:after="60" w:line="276" w:lineRule="auto"/>
      </w:pPr>
      <w:r>
        <w:rPr>
          <w:rFonts w:ascii="Arial" w:hAnsi="Arial"/>
          <w:b/>
          <w:sz w:val="20"/>
        </w:rPr>
        <w:t xml:space="preserve">Factor de simultaneidad: </w:t>
      </w:r>
      <w:r>
        <w:rPr>
          <w:rFonts w:ascii="Arial" w:hAnsi="Arial"/>
          <w:sz w:val="20"/>
        </w:rPr>
        <w:t>0.52 (para más de 500 abonados según DGE)</w:t>
      </w:r>
    </w:p>
    <w:p>
      <w:pPr>
        <w:pStyle w:val="ListBullet"/>
        <w:spacing w:before="20" w:after="60" w:line="276" w:lineRule="auto"/>
      </w:pPr>
      <w:r>
        <w:rPr>
          <w:rFonts w:ascii="Arial" w:hAnsi="Arial"/>
          <w:b/>
          <w:sz w:val="20"/>
        </w:rPr>
        <w:t xml:space="preserve">Máxima demanda doméstica: </w:t>
      </w:r>
      <w:r>
        <w:rPr>
          <w:rFonts w:ascii="Arial" w:hAnsi="Arial"/>
          <w:sz w:val="20"/>
        </w:rPr>
        <w:t>267.40 × 0.52 = 139.05 kW</w:t>
      </w:r>
    </w:p>
    <w:p>
      <w:pPr>
        <w:pStyle w:val="ListBullet"/>
        <w:spacing w:before="20" w:after="60" w:line="276" w:lineRule="auto"/>
      </w:pPr>
      <w:r>
        <w:rPr>
          <w:rFonts w:ascii="Arial" w:hAnsi="Arial"/>
          <w:b/>
          <w:sz w:val="20"/>
        </w:rPr>
        <w:t xml:space="preserve">Alumbrado Público (AP): </w:t>
      </w:r>
      <w:r>
        <w:rPr>
          <w:rFonts w:ascii="Arial" w:hAnsi="Arial"/>
          <w:sz w:val="20"/>
        </w:rPr>
        <w:t>165 luminarias LED de 50 W = 8.25 kW (Fs = 1.0)</w:t>
      </w:r>
    </w:p>
    <w:p>
      <w:pPr>
        <w:pStyle w:val="ListBullet"/>
        <w:spacing w:before="20" w:after="60" w:line="276" w:lineRule="auto"/>
      </w:pPr>
      <w:r>
        <w:rPr>
          <w:rFonts w:ascii="Arial" w:hAnsi="Arial"/>
          <w:b/>
          <w:sz w:val="20"/>
        </w:rPr>
        <w:t xml:space="preserve">Cargas Especiales: </w:t>
      </w:r>
      <w:r>
        <w:rPr>
          <w:rFonts w:ascii="Arial" w:hAnsi="Arial"/>
          <w:sz w:val="20"/>
        </w:rPr>
        <w:t>Municipalidad (4.5 kW) + Salud (8.0 kW) + Plaza (3.0 kW) + Estadio (7.5 kW) + Piscina (5.0 kW) + Colegios (6.5 kW) = 34.50 kW</w:t>
      </w:r>
    </w:p>
    <w:p>
      <w:pPr>
        <w:spacing w:before="40" w:after="100" w:line="276" w:lineRule="auto"/>
      </w:pPr>
      <w:r>
        <w:rPr>
          <w:rFonts w:ascii="Arial" w:hAnsi="Arial"/>
          <w:b/>
          <w:sz w:val="20"/>
        </w:rPr>
        <w:t xml:space="preserve">Máxima Demanda Coincidente Total: </w:t>
      </w:r>
      <w:r>
        <w:rPr>
          <w:rFonts w:ascii="Arial" w:hAnsi="Arial"/>
          <w:sz w:val="20"/>
        </w:rPr>
        <w:t>MD_total = 139.05 kW + 8.25 kW + 34.50 kW = 181.80 kW</w:t>
      </w:r>
    </w:p>
    <w:p>
      <w:pPr>
        <w:spacing w:before="40" w:after="100" w:line="276" w:lineRule="auto"/>
      </w:pPr>
      <w:r>
        <w:rPr>
          <w:rFonts w:ascii="Arial" w:hAnsi="Arial"/>
          <w:b/>
          <w:sz w:val="20"/>
        </w:rPr>
        <w:t xml:space="preserve">Potencia Aparente Coincidente: </w:t>
      </w:r>
      <w:r>
        <w:rPr>
          <w:rFonts w:ascii="Arial" w:hAnsi="Arial"/>
          <w:sz w:val="20"/>
        </w:rPr>
        <w:t>S_max = 181.80 / 0.90 = 202.00 kVA (cos φ = 0.90)</w:t>
      </w:r>
    </w:p>
    <w:p>
      <w:pPr>
        <w:spacing w:before="40" w:after="100" w:line="276" w:lineRule="auto"/>
      </w:pPr>
      <w:r>
        <w:rPr>
          <w:rFonts w:ascii="Arial" w:hAnsi="Arial"/>
          <w:sz w:val="20"/>
        </w:rPr>
        <w:t>Balance frente a la generación de la MCH Limbani (200 kW netos): La demanda de 181.80 kW representa el 90.9% de la capacidad nominal de la minicentral hidroeléctrica, garantizando un margen de reserva operativa del 9.1% (18.2 kW).</w:t>
      </w:r>
    </w:p>
    <w:p>
      <w:pPr>
        <w:keepNext/>
        <w:spacing w:before="240" w:after="80"/>
      </w:pPr>
      <w:r>
        <w:rPr>
          <w:rFonts w:ascii="Arial" w:hAnsi="Arial"/>
          <w:b/>
          <w:color w:val="006699"/>
          <w:sz w:val="25"/>
        </w:rPr>
        <w:t>2.2 Cálculos Eléctricos de la Línea Primaria 10 kV</w:t>
      </w:r>
    </w:p>
    <w:p>
      <w:pPr>
        <w:pStyle w:val="ListBullet"/>
        <w:spacing w:before="20" w:after="60" w:line="276" w:lineRule="auto"/>
      </w:pPr>
      <w:r>
        <w:rPr>
          <w:rFonts w:ascii="Arial" w:hAnsi="Arial"/>
          <w:b/>
          <w:sz w:val="20"/>
        </w:rPr>
        <w:t xml:space="preserve">Corriente nominal máxima: </w:t>
      </w:r>
      <w:r>
        <w:rPr>
          <w:rFonts w:ascii="Arial" w:hAnsi="Arial"/>
          <w:sz w:val="20"/>
        </w:rPr>
        <w:t>In = P / (√3 × Vn × cos φ) = 200.0 / (√3 × 10.0 × 0.90) = 12.83 A</w:t>
      </w:r>
    </w:p>
    <w:p>
      <w:pPr>
        <w:pStyle w:val="ListBullet"/>
        <w:spacing w:before="20" w:after="60" w:line="276" w:lineRule="auto"/>
      </w:pPr>
      <w:r>
        <w:rPr>
          <w:rFonts w:ascii="Arial" w:hAnsi="Arial"/>
          <w:b/>
          <w:sz w:val="20"/>
        </w:rPr>
        <w:t xml:space="preserve">Capacidad térmica del conductor: </w:t>
      </w:r>
      <w:r>
        <w:rPr>
          <w:rFonts w:ascii="Arial" w:hAnsi="Arial"/>
          <w:sz w:val="20"/>
        </w:rPr>
        <w:t>AAAC 35 mm² (NTP 370.258). I_adm = 145.0 A. Factor de seguridad térmico FS = 145.0 / 12.83 = 11.30 &gt;&gt; 1.0.</w:t>
      </w:r>
    </w:p>
    <w:p>
      <w:pPr>
        <w:pStyle w:val="ListBullet"/>
        <w:spacing w:before="20" w:after="60" w:line="276" w:lineRule="auto"/>
      </w:pPr>
      <w:r>
        <w:rPr>
          <w:rFonts w:ascii="Arial" w:hAnsi="Arial"/>
          <w:b/>
          <w:sz w:val="20"/>
        </w:rPr>
        <w:t xml:space="preserve">Caída de tensión absoluta: </w:t>
      </w:r>
      <w:r>
        <w:rPr>
          <w:rFonts w:ascii="Arial" w:hAnsi="Arial"/>
          <w:sz w:val="20"/>
        </w:rPr>
        <w:t>ΔV = √3 × In × (R cos φ + X sin φ) × L = 50.41 V</w:t>
      </w:r>
    </w:p>
    <w:p>
      <w:pPr>
        <w:pStyle w:val="ListBullet"/>
        <w:spacing w:before="20" w:after="60" w:line="276" w:lineRule="auto"/>
      </w:pPr>
      <w:r>
        <w:rPr>
          <w:rFonts w:ascii="Arial" w:hAnsi="Arial"/>
          <w:b/>
          <w:sz w:val="20"/>
        </w:rPr>
        <w:t xml:space="preserve">Caída de tensión porcentual: </w:t>
      </w:r>
      <w:r>
        <w:rPr>
          <w:rFonts w:ascii="Arial" w:hAnsi="Arial"/>
          <w:sz w:val="20"/>
        </w:rPr>
        <w:t>ΔV% = (50.41 / 10,000) × 100 = 0.504% &lt;&lt; 5.0% (Ampliamente conforme a NTCSE)</w:t>
      </w:r>
    </w:p>
    <w:p>
      <w:pPr>
        <w:pStyle w:val="ListBullet"/>
        <w:spacing w:before="20" w:after="60" w:line="276" w:lineRule="auto"/>
      </w:pPr>
      <w:r>
        <w:rPr>
          <w:rFonts w:ascii="Arial" w:hAnsi="Arial"/>
          <w:b/>
          <w:sz w:val="20"/>
        </w:rPr>
        <w:t xml:space="preserve">Pérdidas de potencia por efecto Joule: </w:t>
      </w:r>
      <w:r>
        <w:rPr>
          <w:rFonts w:ascii="Arial" w:hAnsi="Arial"/>
          <w:sz w:val="20"/>
        </w:rPr>
        <w:t>ΔP = 3 × In² × R × L = 3 × (12.83)² × 0.986 × 2.15 = 1,047 W = 1.05 kW (0.52% de la potencia generada)</w:t>
      </w:r>
    </w:p>
    <w:p>
      <w:pPr>
        <w:keepNext/>
        <w:spacing w:before="240" w:after="80"/>
      </w:pPr>
      <w:r>
        <w:rPr>
          <w:rFonts w:ascii="Arial" w:hAnsi="Arial"/>
          <w:b/>
          <w:color w:val="006699"/>
          <w:sz w:val="25"/>
        </w:rPr>
        <w:t>2.3 Cálculos Eléctricos de las Redes Secundarias en Baja Tensión</w:t>
      </w:r>
    </w:p>
    <w:p>
      <w:pPr>
        <w:pStyle w:val="ListBullet"/>
        <w:spacing w:before="20" w:after="60" w:line="276" w:lineRule="auto"/>
      </w:pPr>
      <w:r>
        <w:rPr>
          <w:rFonts w:ascii="Arial" w:hAnsi="Arial"/>
          <w:b/>
          <w:sz w:val="20"/>
        </w:rPr>
        <w:t xml:space="preserve">Conductor adoptado: </w:t>
      </w:r>
      <w:r>
        <w:rPr>
          <w:rFonts w:ascii="Arial" w:hAnsi="Arial"/>
          <w:sz w:val="20"/>
        </w:rPr>
        <w:t>CAAI autoportante (3×35 + 1×16 + NA 25 mm² troncales; 2×16 + 1×16 + NA 25 mm² derivados).</w:t>
      </w:r>
    </w:p>
    <w:p>
      <w:pPr>
        <w:pStyle w:val="ListBullet"/>
        <w:spacing w:before="20" w:after="60" w:line="276" w:lineRule="auto"/>
      </w:pPr>
      <w:r>
        <w:rPr>
          <w:rFonts w:ascii="Arial" w:hAnsi="Arial"/>
          <w:b/>
          <w:sz w:val="20"/>
        </w:rPr>
        <w:t xml:space="preserve">Caída de tensión máxima en BT: </w:t>
      </w:r>
      <w:r>
        <w:rPr>
          <w:rFonts w:ascii="Arial" w:hAnsi="Arial"/>
          <w:sz w:val="20"/>
        </w:rPr>
        <w:t>Para la derivación más desfavorable de la SED-02 (L = 240 m, Ib = 77.94 A): ΔV_BT = 3.82% &lt;= 5.0% (Conforme a norma DGE y NTCSE).</w:t>
      </w:r>
    </w:p>
    <w:p>
      <w:pPr>
        <w:keepNext/>
        <w:spacing w:before="240" w:after="80"/>
      </w:pPr>
      <w:r>
        <w:rPr>
          <w:rFonts w:ascii="Arial" w:hAnsi="Arial"/>
          <w:b/>
          <w:color w:val="006699"/>
          <w:sz w:val="25"/>
        </w:rPr>
        <w:t>2.4 Cálculos Mecánicos y Esfuerzos en Estructuras</w:t>
      </w:r>
    </w:p>
    <w:p>
      <w:pPr>
        <w:pStyle w:val="ListBullet"/>
        <w:spacing w:before="20" w:after="60" w:line="276" w:lineRule="auto"/>
      </w:pPr>
      <w:r>
        <w:rPr>
          <w:rFonts w:ascii="Arial" w:hAnsi="Arial"/>
          <w:b/>
          <w:sz w:val="20"/>
        </w:rPr>
        <w:t xml:space="preserve">Hipótesis climáticas Zona 2 CNE: </w:t>
      </w:r>
      <w:r>
        <w:rPr>
          <w:rFonts w:ascii="Arial" w:hAnsi="Arial"/>
          <w:sz w:val="20"/>
        </w:rPr>
        <w:t>Viento 90 km/h (Pv = 40 daN/m²); Temp. mínima -5 °C; Temp. máxima +35 °C (flecha máx = 0.48 m para vano de 85 m).</w:t>
      </w:r>
    </w:p>
    <w:p>
      <w:pPr>
        <w:pStyle w:val="ListBullet"/>
        <w:spacing w:before="20" w:after="60" w:line="276" w:lineRule="auto"/>
      </w:pPr>
      <w:r>
        <w:rPr>
          <w:rFonts w:ascii="Arial" w:hAnsi="Arial"/>
          <w:b/>
          <w:sz w:val="20"/>
        </w:rPr>
        <w:t xml:space="preserve">Postes Media Tensión: </w:t>
      </w:r>
      <w:r>
        <w:rPr>
          <w:rFonts w:ascii="Arial" w:hAnsi="Arial"/>
          <w:sz w:val="20"/>
        </w:rPr>
        <w:t>CAC 12 m / 300 daN (alineamiento) y 13 m / 400 daN (anclaje/retención). FS &gt;= 2.0.</w:t>
      </w:r>
    </w:p>
    <w:p>
      <w:pPr>
        <w:pStyle w:val="ListBullet"/>
        <w:spacing w:before="20" w:after="60" w:line="276" w:lineRule="auto"/>
      </w:pPr>
      <w:r>
        <w:rPr>
          <w:rFonts w:ascii="Arial" w:hAnsi="Arial"/>
          <w:b/>
          <w:sz w:val="20"/>
        </w:rPr>
        <w:t xml:space="preserve">Postes Baja Tensión: </w:t>
      </w:r>
      <w:r>
        <w:rPr>
          <w:rFonts w:ascii="Arial" w:hAnsi="Arial"/>
          <w:sz w:val="20"/>
        </w:rPr>
        <w:t>CAC 8 m / 200 daN y 9 m / 300 daN. FS &gt;= 2.2.</w:t>
      </w:r>
    </w:p>
    <w:p>
      <w:pPr>
        <w:keepNext/>
        <w:spacing w:before="240" w:after="80"/>
      </w:pPr>
      <w:r>
        <w:rPr>
          <w:rFonts w:ascii="Arial" w:hAnsi="Arial"/>
          <w:b/>
          <w:color w:val="006699"/>
          <w:sz w:val="25"/>
        </w:rPr>
        <w:t>2.5 Cálculo de Sistemas de Puesta a Tierra (Fórmula de Dwight)</w:t>
      </w:r>
    </w:p>
    <w:p>
      <w:pPr>
        <w:spacing w:before="40" w:after="100" w:line="276" w:lineRule="auto"/>
      </w:pPr>
      <w:r>
        <w:rPr>
          <w:rFonts w:ascii="Arial" w:hAnsi="Arial"/>
          <w:sz w:val="20"/>
        </w:rPr>
        <w:t>R = (ρ / (2π L)) × [ ln(4L / d) - 1 ]</w:t>
      </w:r>
    </w:p>
    <w:p>
      <w:pPr>
        <w:spacing w:before="40" w:after="100" w:line="276" w:lineRule="auto"/>
      </w:pPr>
      <w:r>
        <w:rPr>
          <w:rFonts w:ascii="Arial" w:hAnsi="Arial"/>
          <w:sz w:val="20"/>
        </w:rPr>
        <w:t>Para electrodo de cobre de 5/8" × 2.40 m y terreno tratado con bentonita (ρ = 70 Ω·m): R_1 = 25.05 Ω. Con dos varillas en paralelo separadas 3.0 m conectadas con conductor de cobre de 35 mm²: R_SED = 8.14 Ω &lt;= 10.0 Ω (Conforme a CNE-Suministro).</w:t>
      </w:r>
    </w:p>
    <w:p>
      <w:r>
        <w:br w:type="page"/>
      </w:r>
    </w:p>
    <w:p>
      <w:pPr>
        <w:keepNext/>
        <w:spacing w:before="320" w:after="120"/>
      </w:pPr>
      <w:r>
        <w:rPr>
          <w:rFonts w:ascii="Arial" w:hAnsi="Arial"/>
          <w:b/>
          <w:color w:val="B40000"/>
          <w:sz w:val="30"/>
        </w:rPr>
        <w:t>CAPÍTULO III: ESPECIFICACIONES TÉCNICAS DE MATERIALES Y EQUIPOS</w:t>
      </w:r>
    </w:p>
    <w:p>
      <w:pPr>
        <w:keepNext/>
        <w:spacing w:before="240" w:after="80"/>
      </w:pPr>
      <w:r>
        <w:rPr>
          <w:rFonts w:ascii="Arial" w:hAnsi="Arial"/>
          <w:b/>
          <w:color w:val="006699"/>
          <w:sz w:val="25"/>
        </w:rPr>
        <w:t>3.1 Conductores Eléctricos</w:t>
      </w:r>
    </w:p>
    <w:p>
      <w:pPr>
        <w:pStyle w:val="ListBullet"/>
        <w:spacing w:before="20" w:after="60" w:line="276" w:lineRule="auto"/>
      </w:pPr>
      <w:r>
        <w:rPr>
          <w:rFonts w:ascii="Arial" w:hAnsi="Arial"/>
          <w:b/>
          <w:sz w:val="20"/>
        </w:rPr>
        <w:t xml:space="preserve">AAAC 35 mm² (NTP 370.258): </w:t>
      </w:r>
      <w:r>
        <w:rPr>
          <w:rFonts w:ascii="Arial" w:hAnsi="Arial"/>
          <w:sz w:val="20"/>
        </w:rPr>
        <w:t>Aleación Al 6201-T81, 7 alambres, diámetro 7.56 mm, rotura 10.5 kN, R_20°C = 0.986 Ω/km, corriente admisible 145 A.</w:t>
      </w:r>
    </w:p>
    <w:p>
      <w:pPr>
        <w:pStyle w:val="ListBullet"/>
        <w:spacing w:before="20" w:after="60" w:line="276" w:lineRule="auto"/>
      </w:pPr>
      <w:r>
        <w:rPr>
          <w:rFonts w:ascii="Arial" w:hAnsi="Arial"/>
          <w:b/>
          <w:sz w:val="20"/>
        </w:rPr>
        <w:t xml:space="preserve">Cable Autoportante CAAI (NTP 370.254): </w:t>
      </w:r>
      <w:r>
        <w:rPr>
          <w:rFonts w:ascii="Arial" w:hAnsi="Arial"/>
          <w:sz w:val="20"/>
        </w:rPr>
        <w:t>Fases de aluminio puro con aislamiento XLPE (3×35 mm²), neutro mensajero de aleación AAAC de 25 mm² y alumbrado 1×16 mm².</w:t>
      </w:r>
    </w:p>
    <w:p>
      <w:pPr>
        <w:keepNext/>
        <w:spacing w:before="240" w:after="80"/>
      </w:pPr>
      <w:r>
        <w:rPr>
          <w:rFonts w:ascii="Arial" w:hAnsi="Arial"/>
          <w:b/>
          <w:color w:val="006699"/>
          <w:sz w:val="25"/>
        </w:rPr>
        <w:t>3.2 Postes de Concreto Armado Centrifugado (CAC)</w:t>
      </w:r>
    </w:p>
    <w:p>
      <w:pPr>
        <w:spacing w:before="40" w:after="100" w:line="276" w:lineRule="auto"/>
      </w:pPr>
      <w:r>
        <w:rPr>
          <w:rFonts w:ascii="Arial" w:hAnsi="Arial"/>
          <w:sz w:val="20"/>
        </w:rPr>
        <w:t>Fabricados según norma técnica NTP 339.027:</w:t>
      </w:r>
    </w:p>
    <w:p>
      <w:pPr>
        <w:pStyle w:val="ListBullet"/>
        <w:spacing w:before="20" w:after="60" w:line="276" w:lineRule="auto"/>
      </w:pPr>
      <w:r>
        <w:rPr>
          <w:rFonts w:ascii="Arial" w:hAnsi="Arial"/>
          <w:b/>
          <w:sz w:val="20"/>
        </w:rPr>
        <w:t xml:space="preserve">Media Tensión (10 kV): </w:t>
      </w:r>
      <w:r>
        <w:rPr>
          <w:rFonts w:ascii="Arial" w:hAnsi="Arial"/>
          <w:sz w:val="20"/>
        </w:rPr>
        <w:t>CAC 12 m / 300 daN (alineamiento) y CAC 13 m / 400 daN (anclajes y SAB). Cima 150-180 mm, base 330-375 mm.</w:t>
      </w:r>
    </w:p>
    <w:p>
      <w:pPr>
        <w:pStyle w:val="ListBullet"/>
        <w:spacing w:before="20" w:after="60" w:line="276" w:lineRule="auto"/>
      </w:pPr>
      <w:r>
        <w:rPr>
          <w:rFonts w:ascii="Arial" w:hAnsi="Arial"/>
          <w:b/>
          <w:sz w:val="20"/>
        </w:rPr>
        <w:t xml:space="preserve">Baja Tensión (380/220 V): </w:t>
      </w:r>
      <w:r>
        <w:rPr>
          <w:rFonts w:ascii="Arial" w:hAnsi="Arial"/>
          <w:sz w:val="20"/>
        </w:rPr>
        <w:t>CAC 8 m / 200 daN (pasajes), CAC 8 m / 300 daN (retención) y CAC 9 m / 300 daN (mixtos con luminarias).</w:t>
      </w:r>
    </w:p>
    <w:p>
      <w:pPr>
        <w:keepNext/>
        <w:spacing w:before="240" w:after="80"/>
      </w:pPr>
      <w:r>
        <w:rPr>
          <w:rFonts w:ascii="Arial" w:hAnsi="Arial"/>
          <w:b/>
          <w:color w:val="006699"/>
          <w:sz w:val="25"/>
        </w:rPr>
        <w:t>3.3 Transformadores de Distribución</w:t>
      </w:r>
    </w:p>
    <w:tbl>
      <w:tblPr>
        <w:tblW w:type="auto" w:w="0"/>
        <w:jc w:val="center"/>
        <w:tblLook w:firstColumn="1" w:firstRow="1" w:lastColumn="0" w:lastRow="0" w:noHBand="0" w:noVBand="1" w:val="04A0"/>
      </w:tblPr>
      <w:tblGrid>
        <w:gridCol w:w="2340"/>
        <w:gridCol w:w="2340"/>
        <w:gridCol w:w="2340"/>
        <w:gridCol w:w="2340"/>
      </w:tblGrid>
      <w:tr>
        <w:tc>
          <w:tcPr>
            <w:tcW w:type="dxa" w:w="3168"/>
            <w:shd w:fill="006699"/>
            <w:tcMar>
              <w:top w:w="120" w:type="dxa"/>
              <w:bottom w:w="120" w:type="dxa"/>
              <w:left w:w="150" w:type="dxa"/>
              <w:right w:w="150" w:type="dxa"/>
            </w:tcMar>
          </w:tcPr>
          <w:p>
            <w:pPr>
              <w:jc w:val="center"/>
            </w:pPr>
            <w:r>
              <w:rPr>
                <w:rFonts w:ascii="Arial" w:hAnsi="Arial"/>
                <w:b/>
                <w:color w:val="FFFFFF"/>
                <w:sz w:val="19"/>
              </w:rPr>
              <w:t>Parámetro</w:t>
            </w:r>
          </w:p>
        </w:tc>
        <w:tc>
          <w:tcPr>
            <w:tcW w:type="dxa" w:w="2016"/>
            <w:shd w:fill="006699"/>
            <w:tcMar>
              <w:top w:w="120" w:type="dxa"/>
              <w:bottom w:w="120" w:type="dxa"/>
              <w:left w:w="150" w:type="dxa"/>
              <w:right w:w="150" w:type="dxa"/>
            </w:tcMar>
          </w:tcPr>
          <w:p>
            <w:pPr>
              <w:jc w:val="center"/>
            </w:pPr>
            <w:r>
              <w:rPr>
                <w:rFonts w:ascii="Arial" w:hAnsi="Arial"/>
                <w:b/>
                <w:color w:val="FFFFFF"/>
                <w:sz w:val="19"/>
              </w:rPr>
              <w:t>SED-01 (Norte)</w:t>
            </w:r>
          </w:p>
        </w:tc>
        <w:tc>
          <w:tcPr>
            <w:tcW w:type="dxa" w:w="2016"/>
            <w:shd w:fill="006699"/>
            <w:tcMar>
              <w:top w:w="120" w:type="dxa"/>
              <w:bottom w:w="120" w:type="dxa"/>
              <w:left w:w="150" w:type="dxa"/>
              <w:right w:w="150" w:type="dxa"/>
            </w:tcMar>
          </w:tcPr>
          <w:p>
            <w:pPr>
              <w:jc w:val="center"/>
            </w:pPr>
            <w:r>
              <w:rPr>
                <w:rFonts w:ascii="Arial" w:hAnsi="Arial"/>
                <w:b/>
                <w:color w:val="FFFFFF"/>
                <w:sz w:val="19"/>
              </w:rPr>
              <w:t>SED-02 (Centro)</w:t>
            </w:r>
          </w:p>
        </w:tc>
        <w:tc>
          <w:tcPr>
            <w:tcW w:type="dxa" w:w="2016"/>
            <w:shd w:fill="006699"/>
            <w:tcMar>
              <w:top w:w="120" w:type="dxa"/>
              <w:bottom w:w="120" w:type="dxa"/>
              <w:left w:w="150" w:type="dxa"/>
              <w:right w:w="150" w:type="dxa"/>
            </w:tcMar>
          </w:tcPr>
          <w:p>
            <w:pPr>
              <w:jc w:val="center"/>
            </w:pPr>
            <w:r>
              <w:rPr>
                <w:rFonts w:ascii="Arial" w:hAnsi="Arial"/>
                <w:b/>
                <w:color w:val="FFFFFF"/>
                <w:sz w:val="19"/>
              </w:rPr>
              <w:t>SED-03 (Sur)</w:t>
            </w:r>
          </w:p>
        </w:tc>
      </w:tr>
      <w:tr>
        <w:tc>
          <w:tcPr>
            <w:tcW w:type="dxa" w:w="3168"/>
            <w:tcMar>
              <w:top w:w="90" w:type="dxa"/>
              <w:bottom w:w="90" w:type="dxa"/>
              <w:left w:w="140" w:type="dxa"/>
              <w:right w:w="140" w:type="dxa"/>
            </w:tcMar>
          </w:tcPr>
          <w:p>
            <w:r>
              <w:rPr>
                <w:rFonts w:ascii="Arial" w:hAnsi="Arial"/>
                <w:sz w:val="18"/>
              </w:rPr>
              <w:t>Potencia nominal</w:t>
            </w:r>
          </w:p>
        </w:tc>
        <w:tc>
          <w:tcPr>
            <w:tcW w:type="dxa" w:w="2016"/>
            <w:tcMar>
              <w:top w:w="90" w:type="dxa"/>
              <w:bottom w:w="90" w:type="dxa"/>
              <w:left w:w="140" w:type="dxa"/>
              <w:right w:w="140" w:type="dxa"/>
            </w:tcMar>
          </w:tcPr>
          <w:p>
            <w:r>
              <w:rPr>
                <w:rFonts w:ascii="Arial" w:hAnsi="Arial"/>
                <w:sz w:val="18"/>
              </w:rPr>
              <w:t>50 kVA</w:t>
            </w:r>
          </w:p>
        </w:tc>
        <w:tc>
          <w:tcPr>
            <w:tcW w:type="dxa" w:w="2016"/>
            <w:tcMar>
              <w:top w:w="90" w:type="dxa"/>
              <w:bottom w:w="90" w:type="dxa"/>
              <w:left w:w="140" w:type="dxa"/>
              <w:right w:w="140" w:type="dxa"/>
            </w:tcMar>
          </w:tcPr>
          <w:p>
            <w:r>
              <w:rPr>
                <w:rFonts w:ascii="Arial" w:hAnsi="Arial"/>
                <w:sz w:val="18"/>
              </w:rPr>
              <w:t>100 kVA</w:t>
            </w:r>
          </w:p>
        </w:tc>
        <w:tc>
          <w:tcPr>
            <w:tcW w:type="dxa" w:w="2016"/>
            <w:tcMar>
              <w:top w:w="90" w:type="dxa"/>
              <w:bottom w:w="90" w:type="dxa"/>
              <w:left w:w="140" w:type="dxa"/>
              <w:right w:w="140" w:type="dxa"/>
            </w:tcMar>
          </w:tcPr>
          <w:p>
            <w:r>
              <w:rPr>
                <w:rFonts w:ascii="Arial" w:hAnsi="Arial"/>
                <w:sz w:val="18"/>
              </w:rPr>
              <w:t>100 kVA</w:t>
            </w:r>
          </w:p>
        </w:tc>
      </w:tr>
      <w:tr>
        <w:tc>
          <w:tcPr>
            <w:tcW w:type="dxa" w:w="3168"/>
            <w:shd w:fill="F4F6F9"/>
            <w:tcMar>
              <w:top w:w="90" w:type="dxa"/>
              <w:bottom w:w="90" w:type="dxa"/>
              <w:left w:w="140" w:type="dxa"/>
              <w:right w:w="140" w:type="dxa"/>
            </w:tcMar>
          </w:tcPr>
          <w:p>
            <w:r>
              <w:rPr>
                <w:rFonts w:ascii="Arial" w:hAnsi="Arial"/>
                <w:sz w:val="18"/>
              </w:rPr>
              <w:t>Relación de transformación</w:t>
            </w:r>
          </w:p>
        </w:tc>
        <w:tc>
          <w:tcPr>
            <w:tcW w:type="dxa" w:w="2016"/>
            <w:shd w:fill="F4F6F9"/>
            <w:tcMar>
              <w:top w:w="90" w:type="dxa"/>
              <w:bottom w:w="90" w:type="dxa"/>
              <w:left w:w="140" w:type="dxa"/>
              <w:right w:w="140" w:type="dxa"/>
            </w:tcMar>
          </w:tcPr>
          <w:p>
            <w:r>
              <w:rPr>
                <w:rFonts w:ascii="Arial" w:hAnsi="Arial"/>
                <w:sz w:val="18"/>
              </w:rPr>
              <w:t>10,000 / 380-220 V</w:t>
            </w:r>
          </w:p>
        </w:tc>
        <w:tc>
          <w:tcPr>
            <w:tcW w:type="dxa" w:w="2016"/>
            <w:shd w:fill="F4F6F9"/>
            <w:tcMar>
              <w:top w:w="90" w:type="dxa"/>
              <w:bottom w:w="90" w:type="dxa"/>
              <w:left w:w="140" w:type="dxa"/>
              <w:right w:w="140" w:type="dxa"/>
            </w:tcMar>
          </w:tcPr>
          <w:p>
            <w:r>
              <w:rPr>
                <w:rFonts w:ascii="Arial" w:hAnsi="Arial"/>
                <w:sz w:val="18"/>
              </w:rPr>
              <w:t>10,000 / 380-220 V</w:t>
            </w:r>
          </w:p>
        </w:tc>
        <w:tc>
          <w:tcPr>
            <w:tcW w:type="dxa" w:w="2016"/>
            <w:shd w:fill="F4F6F9"/>
            <w:tcMar>
              <w:top w:w="90" w:type="dxa"/>
              <w:bottom w:w="90" w:type="dxa"/>
              <w:left w:w="140" w:type="dxa"/>
              <w:right w:w="140" w:type="dxa"/>
            </w:tcMar>
          </w:tcPr>
          <w:p>
            <w:r>
              <w:rPr>
                <w:rFonts w:ascii="Arial" w:hAnsi="Arial"/>
                <w:sz w:val="18"/>
              </w:rPr>
              <w:t>10,000 / 380-220 V</w:t>
            </w:r>
          </w:p>
        </w:tc>
      </w:tr>
      <w:tr>
        <w:tc>
          <w:tcPr>
            <w:tcW w:type="dxa" w:w="3168"/>
            <w:tcMar>
              <w:top w:w="90" w:type="dxa"/>
              <w:bottom w:w="90" w:type="dxa"/>
              <w:left w:w="140" w:type="dxa"/>
              <w:right w:w="140" w:type="dxa"/>
            </w:tcMar>
          </w:tcPr>
          <w:p>
            <w:r>
              <w:rPr>
                <w:rFonts w:ascii="Arial" w:hAnsi="Arial"/>
                <w:sz w:val="18"/>
              </w:rPr>
              <w:t>Grupo de conexión</w:t>
            </w:r>
          </w:p>
        </w:tc>
        <w:tc>
          <w:tcPr>
            <w:tcW w:type="dxa" w:w="2016"/>
            <w:tcMar>
              <w:top w:w="90" w:type="dxa"/>
              <w:bottom w:w="90" w:type="dxa"/>
              <w:left w:w="140" w:type="dxa"/>
              <w:right w:w="140" w:type="dxa"/>
            </w:tcMar>
          </w:tcPr>
          <w:p>
            <w:r>
              <w:rPr>
                <w:rFonts w:ascii="Arial" w:hAnsi="Arial"/>
                <w:sz w:val="18"/>
              </w:rPr>
              <w:t>Dyn5 (neutro fuera)</w:t>
            </w:r>
          </w:p>
        </w:tc>
        <w:tc>
          <w:tcPr>
            <w:tcW w:type="dxa" w:w="2016"/>
            <w:tcMar>
              <w:top w:w="90" w:type="dxa"/>
              <w:bottom w:w="90" w:type="dxa"/>
              <w:left w:w="140" w:type="dxa"/>
              <w:right w:w="140" w:type="dxa"/>
            </w:tcMar>
          </w:tcPr>
          <w:p>
            <w:r>
              <w:rPr>
                <w:rFonts w:ascii="Arial" w:hAnsi="Arial"/>
                <w:sz w:val="18"/>
              </w:rPr>
              <w:t>Dyn5 (neutro fuera)</w:t>
            </w:r>
          </w:p>
        </w:tc>
        <w:tc>
          <w:tcPr>
            <w:tcW w:type="dxa" w:w="2016"/>
            <w:tcMar>
              <w:top w:w="90" w:type="dxa"/>
              <w:bottom w:w="90" w:type="dxa"/>
              <w:left w:w="140" w:type="dxa"/>
              <w:right w:w="140" w:type="dxa"/>
            </w:tcMar>
          </w:tcPr>
          <w:p>
            <w:r>
              <w:rPr>
                <w:rFonts w:ascii="Arial" w:hAnsi="Arial"/>
                <w:sz w:val="18"/>
              </w:rPr>
              <w:t>Dyn5 (neutro fuera)</w:t>
            </w:r>
          </w:p>
        </w:tc>
      </w:tr>
      <w:tr>
        <w:tc>
          <w:tcPr>
            <w:tcW w:type="dxa" w:w="3168"/>
            <w:shd w:fill="F4F6F9"/>
            <w:tcMar>
              <w:top w:w="90" w:type="dxa"/>
              <w:bottom w:w="90" w:type="dxa"/>
              <w:left w:w="140" w:type="dxa"/>
              <w:right w:w="140" w:type="dxa"/>
            </w:tcMar>
          </w:tcPr>
          <w:p>
            <w:r>
              <w:rPr>
                <w:rFonts w:ascii="Arial" w:hAnsi="Arial"/>
                <w:sz w:val="18"/>
              </w:rPr>
              <w:t>Refrigeración / Aceite</w:t>
            </w:r>
          </w:p>
        </w:tc>
        <w:tc>
          <w:tcPr>
            <w:tcW w:type="dxa" w:w="2016"/>
            <w:shd w:fill="F4F6F9"/>
            <w:tcMar>
              <w:top w:w="90" w:type="dxa"/>
              <w:bottom w:w="90" w:type="dxa"/>
              <w:left w:w="140" w:type="dxa"/>
              <w:right w:w="140" w:type="dxa"/>
            </w:tcMar>
          </w:tcPr>
          <w:p>
            <w:r>
              <w:rPr>
                <w:rFonts w:ascii="Arial" w:hAnsi="Arial"/>
                <w:sz w:val="18"/>
              </w:rPr>
              <w:t>ONAN (Mineral libre PCB)</w:t>
            </w:r>
          </w:p>
        </w:tc>
        <w:tc>
          <w:tcPr>
            <w:tcW w:type="dxa" w:w="2016"/>
            <w:shd w:fill="F4F6F9"/>
            <w:tcMar>
              <w:top w:w="90" w:type="dxa"/>
              <w:bottom w:w="90" w:type="dxa"/>
              <w:left w:w="140" w:type="dxa"/>
              <w:right w:w="140" w:type="dxa"/>
            </w:tcMar>
          </w:tcPr>
          <w:p>
            <w:r>
              <w:rPr>
                <w:rFonts w:ascii="Arial" w:hAnsi="Arial"/>
                <w:sz w:val="18"/>
              </w:rPr>
              <w:t>ONAN (Mineral libre PCB)</w:t>
            </w:r>
          </w:p>
        </w:tc>
        <w:tc>
          <w:tcPr>
            <w:tcW w:type="dxa" w:w="2016"/>
            <w:shd w:fill="F4F6F9"/>
            <w:tcMar>
              <w:top w:w="90" w:type="dxa"/>
              <w:bottom w:w="90" w:type="dxa"/>
              <w:left w:w="140" w:type="dxa"/>
              <w:right w:w="140" w:type="dxa"/>
            </w:tcMar>
          </w:tcPr>
          <w:p>
            <w:r>
              <w:rPr>
                <w:rFonts w:ascii="Arial" w:hAnsi="Arial"/>
                <w:sz w:val="18"/>
              </w:rPr>
              <w:t>ONAN (Mineral libre PCB)</w:t>
            </w:r>
          </w:p>
        </w:tc>
      </w:tr>
      <w:tr>
        <w:tc>
          <w:tcPr>
            <w:tcW w:type="dxa" w:w="3168"/>
            <w:tcMar>
              <w:top w:w="90" w:type="dxa"/>
              <w:bottom w:w="90" w:type="dxa"/>
              <w:left w:w="140" w:type="dxa"/>
              <w:right w:w="140" w:type="dxa"/>
            </w:tcMar>
          </w:tcPr>
          <w:p>
            <w:r>
              <w:rPr>
                <w:rFonts w:ascii="Arial" w:hAnsi="Arial"/>
                <w:sz w:val="18"/>
              </w:rPr>
              <w:t>Tensión cortocircuito (Ucc)</w:t>
            </w:r>
          </w:p>
        </w:tc>
        <w:tc>
          <w:tcPr>
            <w:tcW w:type="dxa" w:w="2016"/>
            <w:tcMar>
              <w:top w:w="90" w:type="dxa"/>
              <w:bottom w:w="90" w:type="dxa"/>
              <w:left w:w="140" w:type="dxa"/>
              <w:right w:w="140" w:type="dxa"/>
            </w:tcMar>
          </w:tcPr>
          <w:p>
            <w:r>
              <w:rPr>
                <w:rFonts w:ascii="Arial" w:hAnsi="Arial"/>
                <w:sz w:val="18"/>
              </w:rPr>
              <w:t>4.0%</w:t>
            </w:r>
          </w:p>
        </w:tc>
        <w:tc>
          <w:tcPr>
            <w:tcW w:type="dxa" w:w="2016"/>
            <w:tcMar>
              <w:top w:w="90" w:type="dxa"/>
              <w:bottom w:w="90" w:type="dxa"/>
              <w:left w:w="140" w:type="dxa"/>
              <w:right w:w="140" w:type="dxa"/>
            </w:tcMar>
          </w:tcPr>
          <w:p>
            <w:r>
              <w:rPr>
                <w:rFonts w:ascii="Arial" w:hAnsi="Arial"/>
                <w:sz w:val="18"/>
              </w:rPr>
              <w:t>4.5%</w:t>
            </w:r>
          </w:p>
        </w:tc>
        <w:tc>
          <w:tcPr>
            <w:tcW w:type="dxa" w:w="2016"/>
            <w:tcMar>
              <w:top w:w="90" w:type="dxa"/>
              <w:bottom w:w="90" w:type="dxa"/>
              <w:left w:w="140" w:type="dxa"/>
              <w:right w:w="140" w:type="dxa"/>
            </w:tcMar>
          </w:tcPr>
          <w:p>
            <w:r>
              <w:rPr>
                <w:rFonts w:ascii="Arial" w:hAnsi="Arial"/>
                <w:sz w:val="18"/>
              </w:rPr>
              <w:t>4.5%</w:t>
            </w:r>
          </w:p>
        </w:tc>
      </w:tr>
      <w:tr>
        <w:tc>
          <w:tcPr>
            <w:tcW w:type="dxa" w:w="3168"/>
            <w:shd w:fill="F4F6F9"/>
            <w:tcMar>
              <w:top w:w="90" w:type="dxa"/>
              <w:bottom w:w="90" w:type="dxa"/>
              <w:left w:w="140" w:type="dxa"/>
              <w:right w:w="140" w:type="dxa"/>
            </w:tcMar>
          </w:tcPr>
          <w:p>
            <w:r>
              <w:rPr>
                <w:rFonts w:ascii="Arial" w:hAnsi="Arial"/>
                <w:sz w:val="18"/>
              </w:rPr>
              <w:t>Nivel de aislamiento (BIL)</w:t>
            </w:r>
          </w:p>
        </w:tc>
        <w:tc>
          <w:tcPr>
            <w:tcW w:type="dxa" w:w="2016"/>
            <w:shd w:fill="F4F6F9"/>
            <w:tcMar>
              <w:top w:w="90" w:type="dxa"/>
              <w:bottom w:w="90" w:type="dxa"/>
              <w:left w:w="140" w:type="dxa"/>
              <w:right w:w="140" w:type="dxa"/>
            </w:tcMar>
          </w:tcPr>
          <w:p>
            <w:r>
              <w:rPr>
                <w:rFonts w:ascii="Arial" w:hAnsi="Arial"/>
                <w:sz w:val="18"/>
              </w:rPr>
              <w:t>110 kV (3,050 msnm)</w:t>
            </w:r>
          </w:p>
        </w:tc>
        <w:tc>
          <w:tcPr>
            <w:tcW w:type="dxa" w:w="2016"/>
            <w:shd w:fill="F4F6F9"/>
            <w:tcMar>
              <w:top w:w="90" w:type="dxa"/>
              <w:bottom w:w="90" w:type="dxa"/>
              <w:left w:w="140" w:type="dxa"/>
              <w:right w:w="140" w:type="dxa"/>
            </w:tcMar>
          </w:tcPr>
          <w:p>
            <w:r>
              <w:rPr>
                <w:rFonts w:ascii="Arial" w:hAnsi="Arial"/>
                <w:sz w:val="18"/>
              </w:rPr>
              <w:t>110 kV (3,050 msnm)</w:t>
            </w:r>
          </w:p>
        </w:tc>
        <w:tc>
          <w:tcPr>
            <w:tcW w:type="dxa" w:w="2016"/>
            <w:shd w:fill="F4F6F9"/>
            <w:tcMar>
              <w:top w:w="90" w:type="dxa"/>
              <w:bottom w:w="90" w:type="dxa"/>
              <w:left w:w="140" w:type="dxa"/>
              <w:right w:w="140" w:type="dxa"/>
            </w:tcMar>
          </w:tcPr>
          <w:p>
            <w:r>
              <w:rPr>
                <w:rFonts w:ascii="Arial" w:hAnsi="Arial"/>
                <w:sz w:val="18"/>
              </w:rPr>
              <w:t>110 kV (3,050 msnm)</w:t>
            </w:r>
          </w:p>
        </w:tc>
      </w:tr>
    </w:tbl>
    <w:p>
      <w:pPr>
        <w:keepNext/>
        <w:spacing w:before="240" w:after="80"/>
      </w:pPr>
      <w:r>
        <w:rPr>
          <w:rFonts w:ascii="Arial" w:hAnsi="Arial"/>
          <w:b/>
          <w:color w:val="006699"/>
          <w:sz w:val="25"/>
        </w:rPr>
        <w:t>3.4 Equipos de Protección y Maniobra MT</w:t>
      </w:r>
    </w:p>
    <w:p>
      <w:pPr>
        <w:pStyle w:val="ListBullet"/>
        <w:spacing w:before="20" w:after="60" w:line="276" w:lineRule="auto"/>
      </w:pPr>
      <w:r>
        <w:rPr>
          <w:rFonts w:ascii="Arial" w:hAnsi="Arial"/>
          <w:b/>
          <w:sz w:val="20"/>
        </w:rPr>
        <w:t xml:space="preserve">Cortacircuitos Cut-Out: </w:t>
      </w:r>
      <w:r>
        <w:rPr>
          <w:rFonts w:ascii="Arial" w:hAnsi="Arial"/>
          <w:sz w:val="20"/>
        </w:rPr>
        <w:t>15 kV, 100 A continuo, BIL 110 kV, corte simétrico 8 kA, fusibles chicote tipo K (3 A y 6 A).</w:t>
      </w:r>
    </w:p>
    <w:p>
      <w:pPr>
        <w:pStyle w:val="ListBullet"/>
        <w:spacing w:before="20" w:after="60" w:line="276" w:lineRule="auto"/>
      </w:pPr>
      <w:r>
        <w:rPr>
          <w:rFonts w:ascii="Arial" w:hAnsi="Arial"/>
          <w:b/>
          <w:sz w:val="20"/>
        </w:rPr>
        <w:t xml:space="preserve">Pararrayos de ZnO: </w:t>
      </w:r>
      <w:r>
        <w:rPr>
          <w:rFonts w:ascii="Arial" w:hAnsi="Arial"/>
          <w:sz w:val="20"/>
        </w:rPr>
        <w:t>Óxido de Zinc (ZnO), poliméricos, Ur = 12 kV, MCOV = 10.2 kV, corriente de descarga 10 kA clase distribución pesada.</w:t>
      </w:r>
    </w:p>
    <w:p>
      <w:pPr>
        <w:keepNext/>
        <w:spacing w:before="240" w:after="80"/>
      </w:pPr>
      <w:r>
        <w:rPr>
          <w:rFonts w:ascii="Arial" w:hAnsi="Arial"/>
          <w:b/>
          <w:color w:val="006699"/>
          <w:sz w:val="25"/>
        </w:rPr>
        <w:t>3.5 Luminarias de Alumbrado Público y Medición</w:t>
      </w:r>
    </w:p>
    <w:p>
      <w:pPr>
        <w:pStyle w:val="ListBullet"/>
        <w:spacing w:before="20" w:after="60" w:line="276" w:lineRule="auto"/>
      </w:pPr>
      <w:r>
        <w:rPr>
          <w:rFonts w:ascii="Arial" w:hAnsi="Arial"/>
          <w:b/>
          <w:sz w:val="20"/>
        </w:rPr>
        <w:t xml:space="preserve">Alumbrado Público: </w:t>
      </w:r>
      <w:r>
        <w:rPr>
          <w:rFonts w:ascii="Arial" w:hAnsi="Arial"/>
          <w:sz w:val="20"/>
        </w:rPr>
        <w:t>Luminarias LED integradas de 50 W, 6,500 lm, IP66, 4,000 K (blanco neutro), pastoral de acero galvanizado 1 1/2" × 1.5 m y fotocélula electrónica omnidireccional.</w:t>
      </w:r>
    </w:p>
    <w:p>
      <w:pPr>
        <w:pStyle w:val="ListBullet"/>
        <w:spacing w:before="20" w:after="60" w:line="276" w:lineRule="auto"/>
      </w:pPr>
      <w:r>
        <w:rPr>
          <w:rFonts w:ascii="Arial" w:hAnsi="Arial"/>
          <w:b/>
          <w:sz w:val="20"/>
        </w:rPr>
        <w:t xml:space="preserve">Acometidas y Medición: </w:t>
      </w:r>
      <w:r>
        <w:rPr>
          <w:rFonts w:ascii="Arial" w:hAnsi="Arial"/>
          <w:sz w:val="20"/>
        </w:rPr>
        <w:t>Cajas poliméricas monofásicas IP54 tipo L-T, medidor digital clase 1.0 (IEC 62053-21) 220 V 5(60) A, termo 2×16 A e hilo concéntrico SET 2×4 mm².</w:t>
      </w:r>
    </w:p>
    <w:p>
      <w:r>
        <w:br w:type="page"/>
      </w:r>
    </w:p>
    <w:p>
      <w:pPr>
        <w:keepNext/>
        <w:spacing w:before="320" w:after="120"/>
      </w:pPr>
      <w:r>
        <w:rPr>
          <w:rFonts w:ascii="Arial" w:hAnsi="Arial"/>
          <w:b/>
          <w:color w:val="B40000"/>
          <w:sz w:val="30"/>
        </w:rPr>
        <w:t>CAPÍTULO IV: ESPECIFICACIONES TÉCNICAS DE MONTAJE ELECTROMECÁNICO</w:t>
      </w:r>
    </w:p>
    <w:p>
      <w:pPr>
        <w:keepNext/>
        <w:spacing w:before="240" w:after="80"/>
      </w:pPr>
      <w:r>
        <w:rPr>
          <w:rFonts w:ascii="Arial" w:hAnsi="Arial"/>
          <w:b/>
          <w:color w:val="006699"/>
          <w:sz w:val="25"/>
        </w:rPr>
        <w:t>4.1 Trazo, Replanteo y Georreferenciación</w:t>
      </w:r>
    </w:p>
    <w:p>
      <w:pPr>
        <w:spacing w:before="40" w:after="100" w:line="276" w:lineRule="auto"/>
      </w:pPr>
      <w:r>
        <w:rPr>
          <w:rFonts w:ascii="Arial" w:hAnsi="Arial"/>
          <w:sz w:val="20"/>
        </w:rPr>
        <w:t>Se utiliza como base inalterable el Catastro Urbano Oficial de Limbani (WGS 84 Zona 19 Sur). La ubicación de cada poste y subestación debe respetar rigurosamente los anchos de calzada, veredas y límites de propiedad privada.</w:t>
      </w:r>
    </w:p>
    <w:p>
      <w:pPr>
        <w:keepNext/>
        <w:spacing w:before="240" w:after="80"/>
      </w:pPr>
      <w:r>
        <w:rPr>
          <w:rFonts w:ascii="Arial" w:hAnsi="Arial"/>
          <w:b/>
          <w:color w:val="006699"/>
          <w:sz w:val="25"/>
        </w:rPr>
        <w:t>4.2 Excavación e Izaje de Postes CAC</w:t>
      </w:r>
    </w:p>
    <w:p>
      <w:pPr>
        <w:pStyle w:val="ListBullet"/>
        <w:spacing w:before="20" w:after="60" w:line="276" w:lineRule="auto"/>
      </w:pPr>
      <w:r>
        <w:rPr>
          <w:rFonts w:ascii="Arial" w:hAnsi="Arial"/>
          <w:b/>
          <w:sz w:val="20"/>
        </w:rPr>
        <w:t xml:space="preserve">Profundidad reglamentaria: </w:t>
      </w:r>
      <w:r>
        <w:rPr>
          <w:rFonts w:ascii="Arial" w:hAnsi="Arial"/>
          <w:sz w:val="20"/>
        </w:rPr>
        <w:t>He = Ht/10 + 0.50 m (1.80 m para postes de 13 m; 1.70 m para 12 m; 1.40 m para 9 m; 1.30 m para 8 m).</w:t>
      </w:r>
    </w:p>
    <w:p>
      <w:pPr>
        <w:pStyle w:val="ListBullet"/>
        <w:spacing w:before="20" w:after="60" w:line="276" w:lineRule="auto"/>
      </w:pPr>
      <w:r>
        <w:rPr>
          <w:rFonts w:ascii="Arial" w:hAnsi="Arial"/>
          <w:b/>
          <w:sz w:val="20"/>
        </w:rPr>
        <w:t xml:space="preserve">Concreto ciclópeo: </w:t>
      </w:r>
      <w:r>
        <w:rPr>
          <w:rFonts w:ascii="Arial" w:hAnsi="Arial"/>
          <w:sz w:val="20"/>
        </w:rPr>
        <w:t>Cimentación con solado de concreto simple e=0.15 m y macizo ciclópeo f'c = 140 kg/cm² + 30% piedra en laderas y terrenos rocosos.</w:t>
      </w:r>
    </w:p>
    <w:p>
      <w:pPr>
        <w:keepNext/>
        <w:spacing w:before="240" w:after="80"/>
      </w:pPr>
      <w:r>
        <w:rPr>
          <w:rFonts w:ascii="Arial" w:hAnsi="Arial"/>
          <w:b/>
          <w:color w:val="006699"/>
          <w:sz w:val="25"/>
        </w:rPr>
        <w:t>4.3 Tendido y Flechado</w:t>
      </w:r>
    </w:p>
    <w:p>
      <w:pPr>
        <w:pStyle w:val="ListBullet"/>
        <w:spacing w:before="20" w:after="60" w:line="276" w:lineRule="auto"/>
      </w:pPr>
      <w:r>
        <w:rPr>
          <w:rFonts w:ascii="Arial" w:hAnsi="Arial"/>
          <w:b/>
          <w:sz w:val="20"/>
        </w:rPr>
        <w:t xml:space="preserve">Línea 10 kV: </w:t>
      </w:r>
      <w:r>
        <w:rPr>
          <w:rFonts w:ascii="Arial" w:hAnsi="Arial"/>
          <w:sz w:val="20"/>
        </w:rPr>
        <w:t>Con poleas de aluminio protegidas con neopreno, cabestrante y dinamómetro calibrado según temperatura ambiente registrada con termómetro de contacto.</w:t>
      </w:r>
    </w:p>
    <w:p>
      <w:pPr>
        <w:pStyle w:val="ListBullet"/>
        <w:spacing w:before="20" w:after="60" w:line="276" w:lineRule="auto"/>
      </w:pPr>
      <w:r>
        <w:rPr>
          <w:rFonts w:ascii="Arial" w:hAnsi="Arial"/>
          <w:b/>
          <w:sz w:val="20"/>
        </w:rPr>
        <w:t xml:space="preserve">Cables BT CAAI: </w:t>
      </w:r>
      <w:r>
        <w:rPr>
          <w:rFonts w:ascii="Arial" w:hAnsi="Arial"/>
          <w:sz w:val="20"/>
        </w:rPr>
        <w:t>Tendido traccionando exclusivamente el neutro portador NA 25, utilizando grapas cónicas de aleación de aluminio y poleas de nilón.</w:t>
      </w:r>
    </w:p>
    <w:p>
      <w:pPr>
        <w:keepNext/>
        <w:spacing w:before="240" w:after="80"/>
      </w:pPr>
      <w:r>
        <w:rPr>
          <w:rFonts w:ascii="Arial" w:hAnsi="Arial"/>
          <w:b/>
          <w:color w:val="006699"/>
          <w:sz w:val="25"/>
        </w:rPr>
        <w:t>4.4 Protocolos de Pruebas Previas a la Puesta en Servicio</w:t>
      </w:r>
    </w:p>
    <w:tbl>
      <w:tblPr>
        <w:tblW w:type="auto" w:w="0"/>
        <w:jc w:val="center"/>
        <w:tblLook w:firstColumn="1" w:firstRow="1" w:lastColumn="0" w:lastRow="0" w:noHBand="0" w:noVBand="1" w:val="04A0"/>
      </w:tblPr>
      <w:tblGrid>
        <w:gridCol w:w="2340"/>
        <w:gridCol w:w="2340"/>
        <w:gridCol w:w="2340"/>
        <w:gridCol w:w="2340"/>
      </w:tblGrid>
      <w:tr>
        <w:tc>
          <w:tcPr>
            <w:tcW w:type="dxa" w:w="3168"/>
            <w:shd w:fill="006699"/>
            <w:tcMar>
              <w:top w:w="120" w:type="dxa"/>
              <w:bottom w:w="120" w:type="dxa"/>
              <w:left w:w="150" w:type="dxa"/>
              <w:right w:w="150" w:type="dxa"/>
            </w:tcMar>
          </w:tcPr>
          <w:p>
            <w:pPr>
              <w:jc w:val="center"/>
            </w:pPr>
            <w:r>
              <w:rPr>
                <w:rFonts w:ascii="Arial" w:hAnsi="Arial"/>
                <w:b/>
                <w:color w:val="FFFFFF"/>
                <w:sz w:val="19"/>
              </w:rPr>
              <w:t>Prueba Electromecánica</w:t>
            </w:r>
          </w:p>
        </w:tc>
        <w:tc>
          <w:tcPr>
            <w:tcW w:type="dxa" w:w="2304"/>
            <w:shd w:fill="006699"/>
            <w:tcMar>
              <w:top w:w="120" w:type="dxa"/>
              <w:bottom w:w="120" w:type="dxa"/>
              <w:left w:w="150" w:type="dxa"/>
              <w:right w:w="150" w:type="dxa"/>
            </w:tcMar>
          </w:tcPr>
          <w:p>
            <w:pPr>
              <w:jc w:val="center"/>
            </w:pPr>
            <w:r>
              <w:rPr>
                <w:rFonts w:ascii="Arial" w:hAnsi="Arial"/>
                <w:b/>
                <w:color w:val="FFFFFF"/>
                <w:sz w:val="19"/>
              </w:rPr>
              <w:t>Instrumento</w:t>
            </w:r>
          </w:p>
        </w:tc>
        <w:tc>
          <w:tcPr>
            <w:tcW w:type="dxa" w:w="2592"/>
            <w:shd w:fill="006699"/>
            <w:tcMar>
              <w:top w:w="120" w:type="dxa"/>
              <w:bottom w:w="120" w:type="dxa"/>
              <w:left w:w="150" w:type="dxa"/>
              <w:right w:w="150" w:type="dxa"/>
            </w:tcMar>
          </w:tcPr>
          <w:p>
            <w:pPr>
              <w:jc w:val="center"/>
            </w:pPr>
            <w:r>
              <w:rPr>
                <w:rFonts w:ascii="Arial" w:hAnsi="Arial"/>
                <w:b/>
                <w:color w:val="FFFFFF"/>
                <w:sz w:val="19"/>
              </w:rPr>
              <w:t>Criterio de Aceptación</w:t>
            </w:r>
          </w:p>
        </w:tc>
        <w:tc>
          <w:tcPr>
            <w:tcW w:type="dxa" w:w="1440"/>
            <w:shd w:fill="006699"/>
            <w:tcMar>
              <w:top w:w="120" w:type="dxa"/>
              <w:bottom w:w="120" w:type="dxa"/>
              <w:left w:w="150" w:type="dxa"/>
              <w:right w:w="150" w:type="dxa"/>
            </w:tcMar>
          </w:tcPr>
          <w:p>
            <w:pPr>
              <w:jc w:val="center"/>
            </w:pPr>
            <w:r>
              <w:rPr>
                <w:rFonts w:ascii="Arial" w:hAnsi="Arial"/>
                <w:b/>
                <w:color w:val="FFFFFF"/>
                <w:sz w:val="19"/>
              </w:rPr>
              <w:t>Norma</w:t>
            </w:r>
          </w:p>
        </w:tc>
      </w:tr>
      <w:tr>
        <w:tc>
          <w:tcPr>
            <w:tcW w:type="dxa" w:w="3168"/>
            <w:tcMar>
              <w:top w:w="90" w:type="dxa"/>
              <w:bottom w:w="90" w:type="dxa"/>
              <w:left w:w="140" w:type="dxa"/>
              <w:right w:w="140" w:type="dxa"/>
            </w:tcMar>
          </w:tcPr>
          <w:p>
            <w:r>
              <w:rPr>
                <w:rFonts w:ascii="Arial" w:hAnsi="Arial"/>
                <w:sz w:val="18"/>
              </w:rPr>
              <w:t>Aislamiento Media Tensión</w:t>
            </w:r>
          </w:p>
        </w:tc>
        <w:tc>
          <w:tcPr>
            <w:tcW w:type="dxa" w:w="2304"/>
            <w:tcMar>
              <w:top w:w="90" w:type="dxa"/>
              <w:bottom w:w="90" w:type="dxa"/>
              <w:left w:w="140" w:type="dxa"/>
              <w:right w:w="140" w:type="dxa"/>
            </w:tcMar>
          </w:tcPr>
          <w:p>
            <w:r>
              <w:rPr>
                <w:rFonts w:ascii="Arial" w:hAnsi="Arial"/>
                <w:sz w:val="18"/>
              </w:rPr>
              <w:t>Megóhmetro 2,500 V DC</w:t>
            </w:r>
          </w:p>
        </w:tc>
        <w:tc>
          <w:tcPr>
            <w:tcW w:type="dxa" w:w="2592"/>
            <w:tcMar>
              <w:top w:w="90" w:type="dxa"/>
              <w:bottom w:w="90" w:type="dxa"/>
              <w:left w:w="140" w:type="dxa"/>
              <w:right w:w="140" w:type="dxa"/>
            </w:tcMar>
          </w:tcPr>
          <w:p>
            <w:r>
              <w:rPr>
                <w:rFonts w:ascii="Arial" w:hAnsi="Arial"/>
                <w:sz w:val="18"/>
              </w:rPr>
              <w:t>R &gt;= 1,000 MΩ a 20 °C</w:t>
            </w:r>
          </w:p>
        </w:tc>
        <w:tc>
          <w:tcPr>
            <w:tcW w:type="dxa" w:w="1440"/>
            <w:tcMar>
              <w:top w:w="90" w:type="dxa"/>
              <w:bottom w:w="90" w:type="dxa"/>
              <w:left w:w="140" w:type="dxa"/>
              <w:right w:w="140" w:type="dxa"/>
            </w:tcMar>
          </w:tcPr>
          <w:p>
            <w:r>
              <w:rPr>
                <w:rFonts w:ascii="Arial" w:hAnsi="Arial"/>
                <w:sz w:val="18"/>
              </w:rPr>
              <w:t>IEC 60076</w:t>
            </w:r>
          </w:p>
        </w:tc>
      </w:tr>
      <w:tr>
        <w:tc>
          <w:tcPr>
            <w:tcW w:type="dxa" w:w="3168"/>
            <w:shd w:fill="F4F6F9"/>
            <w:tcMar>
              <w:top w:w="90" w:type="dxa"/>
              <w:bottom w:w="90" w:type="dxa"/>
              <w:left w:w="140" w:type="dxa"/>
              <w:right w:w="140" w:type="dxa"/>
            </w:tcMar>
          </w:tcPr>
          <w:p>
            <w:r>
              <w:rPr>
                <w:rFonts w:ascii="Arial" w:hAnsi="Arial"/>
                <w:sz w:val="18"/>
              </w:rPr>
              <w:t>Aislamiento Baja Tensión</w:t>
            </w:r>
          </w:p>
        </w:tc>
        <w:tc>
          <w:tcPr>
            <w:tcW w:type="dxa" w:w="2304"/>
            <w:shd w:fill="F4F6F9"/>
            <w:tcMar>
              <w:top w:w="90" w:type="dxa"/>
              <w:bottom w:w="90" w:type="dxa"/>
              <w:left w:w="140" w:type="dxa"/>
              <w:right w:w="140" w:type="dxa"/>
            </w:tcMar>
          </w:tcPr>
          <w:p>
            <w:r>
              <w:rPr>
                <w:rFonts w:ascii="Arial" w:hAnsi="Arial"/>
                <w:sz w:val="18"/>
              </w:rPr>
              <w:t>Megóhmetro 1,000 V DC</w:t>
            </w:r>
          </w:p>
        </w:tc>
        <w:tc>
          <w:tcPr>
            <w:tcW w:type="dxa" w:w="2592"/>
            <w:shd w:fill="F4F6F9"/>
            <w:tcMar>
              <w:top w:w="90" w:type="dxa"/>
              <w:bottom w:w="90" w:type="dxa"/>
              <w:left w:w="140" w:type="dxa"/>
              <w:right w:w="140" w:type="dxa"/>
            </w:tcMar>
          </w:tcPr>
          <w:p>
            <w:r>
              <w:rPr>
                <w:rFonts w:ascii="Arial" w:hAnsi="Arial"/>
                <w:sz w:val="18"/>
              </w:rPr>
              <w:t>R &gt;= 10.0 MΩ</w:t>
            </w:r>
          </w:p>
        </w:tc>
        <w:tc>
          <w:tcPr>
            <w:tcW w:type="dxa" w:w="1440"/>
            <w:shd w:fill="F4F6F9"/>
            <w:tcMar>
              <w:top w:w="90" w:type="dxa"/>
              <w:bottom w:w="90" w:type="dxa"/>
              <w:left w:w="140" w:type="dxa"/>
              <w:right w:w="140" w:type="dxa"/>
            </w:tcMar>
          </w:tcPr>
          <w:p>
            <w:r>
              <w:rPr>
                <w:rFonts w:ascii="Arial" w:hAnsi="Arial"/>
                <w:sz w:val="18"/>
              </w:rPr>
              <w:t>CNE 2011</w:t>
            </w:r>
          </w:p>
        </w:tc>
      </w:tr>
      <w:tr>
        <w:tc>
          <w:tcPr>
            <w:tcW w:type="dxa" w:w="3168"/>
            <w:tcMar>
              <w:top w:w="90" w:type="dxa"/>
              <w:bottom w:w="90" w:type="dxa"/>
              <w:left w:w="140" w:type="dxa"/>
              <w:right w:w="140" w:type="dxa"/>
            </w:tcMar>
          </w:tcPr>
          <w:p>
            <w:r>
              <w:rPr>
                <w:rFonts w:ascii="Arial" w:hAnsi="Arial"/>
                <w:sz w:val="18"/>
              </w:rPr>
              <w:t>Resistencia de Puesta a Tierra</w:t>
            </w:r>
          </w:p>
        </w:tc>
        <w:tc>
          <w:tcPr>
            <w:tcW w:type="dxa" w:w="2304"/>
            <w:tcMar>
              <w:top w:w="90" w:type="dxa"/>
              <w:bottom w:w="90" w:type="dxa"/>
              <w:left w:w="140" w:type="dxa"/>
              <w:right w:w="140" w:type="dxa"/>
            </w:tcMar>
          </w:tcPr>
          <w:p>
            <w:r>
              <w:rPr>
                <w:rFonts w:ascii="Arial" w:hAnsi="Arial"/>
                <w:sz w:val="18"/>
              </w:rPr>
              <w:t>Telurómetro digital 3 bornes</w:t>
            </w:r>
          </w:p>
        </w:tc>
        <w:tc>
          <w:tcPr>
            <w:tcW w:type="dxa" w:w="2592"/>
            <w:tcMar>
              <w:top w:w="90" w:type="dxa"/>
              <w:bottom w:w="90" w:type="dxa"/>
              <w:left w:w="140" w:type="dxa"/>
              <w:right w:w="140" w:type="dxa"/>
            </w:tcMar>
          </w:tcPr>
          <w:p>
            <w:r>
              <w:rPr>
                <w:rFonts w:ascii="Arial" w:hAnsi="Arial"/>
                <w:sz w:val="18"/>
              </w:rPr>
              <w:t>R_SED &lt;= 10 Ω / R_BT &lt;= 25 Ω</w:t>
            </w:r>
          </w:p>
        </w:tc>
        <w:tc>
          <w:tcPr>
            <w:tcW w:type="dxa" w:w="1440"/>
            <w:tcMar>
              <w:top w:w="90" w:type="dxa"/>
              <w:bottom w:w="90" w:type="dxa"/>
              <w:left w:w="140" w:type="dxa"/>
              <w:right w:w="140" w:type="dxa"/>
            </w:tcMar>
          </w:tcPr>
          <w:p>
            <w:r>
              <w:rPr>
                <w:rFonts w:ascii="Arial" w:hAnsi="Arial"/>
                <w:sz w:val="18"/>
              </w:rPr>
              <w:t>CNE 2011</w:t>
            </w:r>
          </w:p>
        </w:tc>
      </w:tr>
      <w:tr>
        <w:tc>
          <w:tcPr>
            <w:tcW w:type="dxa" w:w="3168"/>
            <w:shd w:fill="F4F6F9"/>
            <w:tcMar>
              <w:top w:w="90" w:type="dxa"/>
              <w:bottom w:w="90" w:type="dxa"/>
              <w:left w:w="140" w:type="dxa"/>
              <w:right w:w="140" w:type="dxa"/>
            </w:tcMar>
          </w:tcPr>
          <w:p>
            <w:r>
              <w:rPr>
                <w:rFonts w:ascii="Arial" w:hAnsi="Arial"/>
                <w:sz w:val="18"/>
              </w:rPr>
              <w:t>Secuencia y rotación fases</w:t>
            </w:r>
          </w:p>
        </w:tc>
        <w:tc>
          <w:tcPr>
            <w:tcW w:type="dxa" w:w="2304"/>
            <w:shd w:fill="F4F6F9"/>
            <w:tcMar>
              <w:top w:w="90" w:type="dxa"/>
              <w:bottom w:w="90" w:type="dxa"/>
              <w:left w:w="140" w:type="dxa"/>
              <w:right w:w="140" w:type="dxa"/>
            </w:tcMar>
          </w:tcPr>
          <w:p>
            <w:r>
              <w:rPr>
                <w:rFonts w:ascii="Arial" w:hAnsi="Arial"/>
                <w:sz w:val="18"/>
              </w:rPr>
              <w:t>Fasímetro digital</w:t>
            </w:r>
          </w:p>
        </w:tc>
        <w:tc>
          <w:tcPr>
            <w:tcW w:type="dxa" w:w="2592"/>
            <w:shd w:fill="F4F6F9"/>
            <w:tcMar>
              <w:top w:w="90" w:type="dxa"/>
              <w:bottom w:w="90" w:type="dxa"/>
              <w:left w:w="140" w:type="dxa"/>
              <w:right w:w="140" w:type="dxa"/>
            </w:tcMar>
          </w:tcPr>
          <w:p>
            <w:r>
              <w:rPr>
                <w:rFonts w:ascii="Arial" w:hAnsi="Arial"/>
                <w:sz w:val="18"/>
              </w:rPr>
              <w:t>Secuencia directa (R-S-T)</w:t>
            </w:r>
          </w:p>
        </w:tc>
        <w:tc>
          <w:tcPr>
            <w:tcW w:type="dxa" w:w="1440"/>
            <w:shd w:fill="F4F6F9"/>
            <w:tcMar>
              <w:top w:w="90" w:type="dxa"/>
              <w:bottom w:w="90" w:type="dxa"/>
              <w:left w:w="140" w:type="dxa"/>
              <w:right w:w="140" w:type="dxa"/>
            </w:tcMar>
          </w:tcPr>
          <w:p>
            <w:r>
              <w:rPr>
                <w:rFonts w:ascii="Arial" w:hAnsi="Arial"/>
                <w:sz w:val="18"/>
              </w:rPr>
              <w:t>IEC 60034</w:t>
            </w:r>
          </w:p>
        </w:tc>
      </w:tr>
      <w:tr>
        <w:tc>
          <w:tcPr>
            <w:tcW w:type="dxa" w:w="3168"/>
            <w:tcMar>
              <w:top w:w="90" w:type="dxa"/>
              <w:bottom w:w="90" w:type="dxa"/>
              <w:left w:w="140" w:type="dxa"/>
              <w:right w:w="140" w:type="dxa"/>
            </w:tcMar>
          </w:tcPr>
          <w:p>
            <w:r>
              <w:rPr>
                <w:rFonts w:ascii="Arial" w:hAnsi="Arial"/>
                <w:sz w:val="18"/>
              </w:rPr>
              <w:t>Rigidez dieléctrica aceite</w:t>
            </w:r>
          </w:p>
        </w:tc>
        <w:tc>
          <w:tcPr>
            <w:tcW w:type="dxa" w:w="2304"/>
            <w:tcMar>
              <w:top w:w="90" w:type="dxa"/>
              <w:bottom w:w="90" w:type="dxa"/>
              <w:left w:w="140" w:type="dxa"/>
              <w:right w:w="140" w:type="dxa"/>
            </w:tcMar>
          </w:tcPr>
          <w:p>
            <w:r>
              <w:rPr>
                <w:rFonts w:ascii="Arial" w:hAnsi="Arial"/>
                <w:sz w:val="18"/>
              </w:rPr>
              <w:t>Chispómetro normalizado</w:t>
            </w:r>
          </w:p>
        </w:tc>
        <w:tc>
          <w:tcPr>
            <w:tcW w:type="dxa" w:w="2592"/>
            <w:tcMar>
              <w:top w:w="90" w:type="dxa"/>
              <w:bottom w:w="90" w:type="dxa"/>
              <w:left w:w="140" w:type="dxa"/>
              <w:right w:w="140" w:type="dxa"/>
            </w:tcMar>
          </w:tcPr>
          <w:p>
            <w:r>
              <w:rPr>
                <w:rFonts w:ascii="Arial" w:hAnsi="Arial"/>
                <w:sz w:val="18"/>
              </w:rPr>
              <w:t>V_rup &gt;= 35 kV / 2.5 mm</w:t>
            </w:r>
          </w:p>
        </w:tc>
        <w:tc>
          <w:tcPr>
            <w:tcW w:type="dxa" w:w="1440"/>
            <w:tcMar>
              <w:top w:w="90" w:type="dxa"/>
              <w:bottom w:w="90" w:type="dxa"/>
              <w:left w:w="140" w:type="dxa"/>
              <w:right w:w="140" w:type="dxa"/>
            </w:tcMar>
          </w:tcPr>
          <w:p>
            <w:r>
              <w:rPr>
                <w:rFonts w:ascii="Arial" w:hAnsi="Arial"/>
                <w:sz w:val="18"/>
              </w:rPr>
              <w:t>ASTM D877</w:t>
            </w:r>
          </w:p>
        </w:tc>
      </w:tr>
      <w:tr>
        <w:tc>
          <w:tcPr>
            <w:tcW w:type="dxa" w:w="3168"/>
            <w:shd w:fill="F4F6F9"/>
            <w:tcMar>
              <w:top w:w="90" w:type="dxa"/>
              <w:bottom w:w="90" w:type="dxa"/>
              <w:left w:w="140" w:type="dxa"/>
              <w:right w:w="140" w:type="dxa"/>
            </w:tcMar>
          </w:tcPr>
          <w:p>
            <w:r>
              <w:rPr>
                <w:rFonts w:ascii="Arial" w:hAnsi="Arial"/>
                <w:sz w:val="18"/>
              </w:rPr>
              <w:t>Tensión en vacío transformador</w:t>
            </w:r>
          </w:p>
        </w:tc>
        <w:tc>
          <w:tcPr>
            <w:tcW w:type="dxa" w:w="2304"/>
            <w:shd w:fill="F4F6F9"/>
            <w:tcMar>
              <w:top w:w="90" w:type="dxa"/>
              <w:bottom w:w="90" w:type="dxa"/>
              <w:left w:w="140" w:type="dxa"/>
              <w:right w:w="140" w:type="dxa"/>
            </w:tcMar>
          </w:tcPr>
          <w:p>
            <w:r>
              <w:rPr>
                <w:rFonts w:ascii="Arial" w:hAnsi="Arial"/>
                <w:sz w:val="18"/>
              </w:rPr>
              <w:t>Voltímetro digital RMS</w:t>
            </w:r>
          </w:p>
        </w:tc>
        <w:tc>
          <w:tcPr>
            <w:tcW w:type="dxa" w:w="2592"/>
            <w:shd w:fill="F4F6F9"/>
            <w:tcMar>
              <w:top w:w="90" w:type="dxa"/>
              <w:bottom w:w="90" w:type="dxa"/>
              <w:left w:w="140" w:type="dxa"/>
              <w:right w:w="140" w:type="dxa"/>
            </w:tcMar>
          </w:tcPr>
          <w:p>
            <w:r>
              <w:rPr>
                <w:rFonts w:ascii="Arial" w:hAnsi="Arial"/>
                <w:sz w:val="18"/>
              </w:rPr>
              <w:t>380 / 220 V ± 2.5%</w:t>
            </w:r>
          </w:p>
        </w:tc>
        <w:tc>
          <w:tcPr>
            <w:tcW w:type="dxa" w:w="1440"/>
            <w:shd w:fill="F4F6F9"/>
            <w:tcMar>
              <w:top w:w="90" w:type="dxa"/>
              <w:bottom w:w="90" w:type="dxa"/>
              <w:left w:w="140" w:type="dxa"/>
              <w:right w:w="140" w:type="dxa"/>
            </w:tcMar>
          </w:tcPr>
          <w:p>
            <w:r>
              <w:rPr>
                <w:rFonts w:ascii="Arial" w:hAnsi="Arial"/>
                <w:sz w:val="18"/>
              </w:rPr>
              <w:t>IEC 60076</w:t>
            </w:r>
          </w:p>
        </w:tc>
      </w:tr>
    </w:tbl>
    <w:p>
      <w:r>
        <w:br w:type="page"/>
      </w:r>
    </w:p>
    <w:p>
      <w:pPr>
        <w:keepNext/>
        <w:spacing w:before="320" w:after="120"/>
      </w:pPr>
      <w:r>
        <w:rPr>
          <w:rFonts w:ascii="Arial" w:hAnsi="Arial"/>
          <w:b/>
          <w:color w:val="B40000"/>
          <w:sz w:val="30"/>
        </w:rPr>
        <w:t>CAPÍTULO V: CRONOGRAMA DE EJECUCIÓN DE OBRA</w:t>
      </w:r>
    </w:p>
    <w:p>
      <w:pPr>
        <w:spacing w:before="40" w:after="100" w:line="276" w:lineRule="auto"/>
      </w:pPr>
      <w:r>
        <w:rPr>
          <w:rFonts w:ascii="Arial" w:hAnsi="Arial"/>
          <w:sz w:val="20"/>
        </w:rPr>
        <w:t>Plazo contractual de ejecución física: Ciento veinte (120) días calendario (4 meses consecutivos).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006699"/>
            <w:tcMar>
              <w:top w:w="120" w:type="dxa"/>
              <w:bottom w:w="120" w:type="dxa"/>
              <w:left w:w="150" w:type="dxa"/>
              <w:right w:w="150" w:type="dxa"/>
            </w:tcMar>
          </w:tcPr>
          <w:p>
            <w:pPr>
              <w:jc w:val="center"/>
            </w:pPr>
            <w:r>
              <w:rPr>
                <w:rFonts w:ascii="Arial" w:hAnsi="Arial"/>
                <w:b/>
                <w:color w:val="FFFFFF"/>
                <w:sz w:val="19"/>
              </w:rPr>
              <w:t>Ítem</w:t>
            </w:r>
          </w:p>
        </w:tc>
        <w:tc>
          <w:tcPr>
            <w:tcW w:type="dxa" w:w="3600"/>
            <w:shd w:fill="006699"/>
            <w:tcMar>
              <w:top w:w="120" w:type="dxa"/>
              <w:bottom w:w="120" w:type="dxa"/>
              <w:left w:w="150" w:type="dxa"/>
              <w:right w:w="150" w:type="dxa"/>
            </w:tcMar>
          </w:tcPr>
          <w:p>
            <w:pPr>
              <w:jc w:val="center"/>
            </w:pPr>
            <w:r>
              <w:rPr>
                <w:rFonts w:ascii="Arial" w:hAnsi="Arial"/>
                <w:b/>
                <w:color w:val="FFFFFF"/>
                <w:sz w:val="19"/>
              </w:rPr>
              <w:t>Partida</w:t>
            </w:r>
          </w:p>
        </w:tc>
        <w:tc>
          <w:tcPr>
            <w:tcW w:type="dxa" w:w="1008"/>
            <w:shd w:fill="006699"/>
            <w:tcMar>
              <w:top w:w="120" w:type="dxa"/>
              <w:bottom w:w="120" w:type="dxa"/>
              <w:left w:w="150" w:type="dxa"/>
              <w:right w:w="150" w:type="dxa"/>
            </w:tcMar>
          </w:tcPr>
          <w:p>
            <w:pPr>
              <w:jc w:val="center"/>
            </w:pPr>
            <w:r>
              <w:rPr>
                <w:rFonts w:ascii="Arial" w:hAnsi="Arial"/>
                <w:b/>
                <w:color w:val="FFFFFF"/>
                <w:sz w:val="19"/>
              </w:rPr>
              <w:t>Pond.</w:t>
            </w:r>
          </w:p>
        </w:tc>
        <w:tc>
          <w:tcPr>
            <w:tcW w:type="dxa" w:w="1008"/>
            <w:shd w:fill="006699"/>
            <w:tcMar>
              <w:top w:w="120" w:type="dxa"/>
              <w:bottom w:w="120" w:type="dxa"/>
              <w:left w:w="150" w:type="dxa"/>
              <w:right w:w="150" w:type="dxa"/>
            </w:tcMar>
          </w:tcPr>
          <w:p>
            <w:pPr>
              <w:jc w:val="center"/>
            </w:pPr>
            <w:r>
              <w:rPr>
                <w:rFonts w:ascii="Arial" w:hAnsi="Arial"/>
                <w:b/>
                <w:color w:val="FFFFFF"/>
                <w:sz w:val="19"/>
              </w:rPr>
              <w:t>Mes 1</w:t>
            </w:r>
          </w:p>
        </w:tc>
        <w:tc>
          <w:tcPr>
            <w:tcW w:type="dxa" w:w="1008"/>
            <w:shd w:fill="006699"/>
            <w:tcMar>
              <w:top w:w="120" w:type="dxa"/>
              <w:bottom w:w="120" w:type="dxa"/>
              <w:left w:w="150" w:type="dxa"/>
              <w:right w:w="150" w:type="dxa"/>
            </w:tcMar>
          </w:tcPr>
          <w:p>
            <w:pPr>
              <w:jc w:val="center"/>
            </w:pPr>
            <w:r>
              <w:rPr>
                <w:rFonts w:ascii="Arial" w:hAnsi="Arial"/>
                <w:b/>
                <w:color w:val="FFFFFF"/>
                <w:sz w:val="19"/>
              </w:rPr>
              <w:t>Mes 2</w:t>
            </w:r>
          </w:p>
        </w:tc>
        <w:tc>
          <w:tcPr>
            <w:tcW w:type="dxa" w:w="1008"/>
            <w:shd w:fill="006699"/>
            <w:tcMar>
              <w:top w:w="120" w:type="dxa"/>
              <w:bottom w:w="120" w:type="dxa"/>
              <w:left w:w="150" w:type="dxa"/>
              <w:right w:w="150" w:type="dxa"/>
            </w:tcMar>
          </w:tcPr>
          <w:p>
            <w:pPr>
              <w:jc w:val="center"/>
            </w:pPr>
            <w:r>
              <w:rPr>
                <w:rFonts w:ascii="Arial" w:hAnsi="Arial"/>
                <w:b/>
                <w:color w:val="FFFFFF"/>
                <w:sz w:val="19"/>
              </w:rPr>
              <w:t>Mes 3</w:t>
            </w:r>
          </w:p>
        </w:tc>
        <w:tc>
          <w:tcPr>
            <w:tcW w:type="dxa" w:w="1008"/>
            <w:shd w:fill="006699"/>
            <w:tcMar>
              <w:top w:w="120" w:type="dxa"/>
              <w:bottom w:w="120" w:type="dxa"/>
              <w:left w:w="150" w:type="dxa"/>
              <w:right w:w="150" w:type="dxa"/>
            </w:tcMar>
          </w:tcPr>
          <w:p>
            <w:pPr>
              <w:jc w:val="center"/>
            </w:pPr>
            <w:r>
              <w:rPr>
                <w:rFonts w:ascii="Arial" w:hAnsi="Arial"/>
                <w:b/>
                <w:color w:val="FFFFFF"/>
                <w:sz w:val="19"/>
              </w:rPr>
              <w:t>Mes 4</w:t>
            </w:r>
          </w:p>
        </w:tc>
      </w:tr>
      <w:tr>
        <w:tc>
          <w:tcPr>
            <w:tcW w:type="dxa" w:w="864"/>
            <w:tcMar>
              <w:top w:w="90" w:type="dxa"/>
              <w:bottom w:w="90" w:type="dxa"/>
              <w:left w:w="140" w:type="dxa"/>
              <w:right w:w="140" w:type="dxa"/>
            </w:tcMar>
          </w:tcPr>
          <w:p>
            <w:r>
              <w:rPr>
                <w:rFonts w:ascii="Arial" w:hAnsi="Arial"/>
                <w:sz w:val="18"/>
              </w:rPr>
              <w:t>01.00</w:t>
            </w:r>
          </w:p>
        </w:tc>
        <w:tc>
          <w:tcPr>
            <w:tcW w:type="dxa" w:w="3600"/>
            <w:tcMar>
              <w:top w:w="90" w:type="dxa"/>
              <w:bottom w:w="90" w:type="dxa"/>
              <w:left w:w="140" w:type="dxa"/>
              <w:right w:w="140" w:type="dxa"/>
            </w:tcMar>
          </w:tcPr>
          <w:p>
            <w:r>
              <w:rPr>
                <w:rFonts w:ascii="Arial" w:hAnsi="Arial"/>
                <w:sz w:val="18"/>
              </w:rPr>
              <w:t>Obras Preliminares y Replanteo</w:t>
            </w:r>
          </w:p>
        </w:tc>
        <w:tc>
          <w:tcPr>
            <w:tcW w:type="dxa" w:w="1008"/>
            <w:tcMar>
              <w:top w:w="90" w:type="dxa"/>
              <w:bottom w:w="90" w:type="dxa"/>
              <w:left w:w="140" w:type="dxa"/>
              <w:right w:w="140" w:type="dxa"/>
            </w:tcMar>
          </w:tcPr>
          <w:p>
            <w:r>
              <w:rPr>
                <w:rFonts w:ascii="Arial" w:hAnsi="Arial"/>
                <w:sz w:val="18"/>
              </w:rPr>
              <w:t>8.5%</w:t>
            </w:r>
          </w:p>
        </w:tc>
        <w:tc>
          <w:tcPr>
            <w:tcW w:type="dxa" w:w="1008"/>
            <w:tcMar>
              <w:top w:w="90" w:type="dxa"/>
              <w:bottom w:w="90" w:type="dxa"/>
              <w:left w:w="140" w:type="dxa"/>
              <w:right w:w="140" w:type="dxa"/>
            </w:tcMar>
          </w:tcPr>
          <w:p>
            <w:r>
              <w:rPr>
                <w:rFonts w:ascii="Arial" w:hAnsi="Arial"/>
                <w:sz w:val="18"/>
              </w:rPr>
              <w:t>6.0%</w:t>
            </w:r>
          </w:p>
        </w:tc>
        <w:tc>
          <w:tcPr>
            <w:tcW w:type="dxa" w:w="1008"/>
            <w:tcMar>
              <w:top w:w="90" w:type="dxa"/>
              <w:bottom w:w="90" w:type="dxa"/>
              <w:left w:w="140" w:type="dxa"/>
              <w:right w:w="140" w:type="dxa"/>
            </w:tcMar>
          </w:tcPr>
          <w:p>
            <w:r>
              <w:rPr>
                <w:rFonts w:ascii="Arial" w:hAnsi="Arial"/>
                <w:sz w:val="18"/>
              </w:rPr>
              <w:t>2.5%</w:t>
            </w:r>
          </w:p>
        </w:tc>
        <w:tc>
          <w:tcPr>
            <w:tcW w:type="dxa" w:w="1008"/>
            <w:tcMar>
              <w:top w:w="90" w:type="dxa"/>
              <w:bottom w:w="90" w:type="dxa"/>
              <w:left w:w="140" w:type="dxa"/>
              <w:right w:w="140" w:type="dxa"/>
            </w:tcMar>
          </w:tcPr>
          <w:p>
            <w:r>
              <w:rPr>
                <w:rFonts w:ascii="Arial" w:hAnsi="Arial"/>
                <w:sz w:val="18"/>
              </w:rPr>
              <w:t>--</w:t>
            </w:r>
          </w:p>
        </w:tc>
        <w:tc>
          <w:tcPr>
            <w:tcW w:type="dxa" w:w="1008"/>
            <w:tcMar>
              <w:top w:w="90" w:type="dxa"/>
              <w:bottom w:w="90" w:type="dxa"/>
              <w:left w:w="140" w:type="dxa"/>
              <w:right w:w="140" w:type="dxa"/>
            </w:tcMar>
          </w:tcPr>
          <w:p>
            <w:r>
              <w:rPr>
                <w:rFonts w:ascii="Arial" w:hAnsi="Arial"/>
                <w:sz w:val="18"/>
              </w:rPr>
              <w:t>--</w:t>
            </w:r>
          </w:p>
        </w:tc>
      </w:tr>
      <w:tr>
        <w:tc>
          <w:tcPr>
            <w:tcW w:type="dxa" w:w="864"/>
            <w:shd w:fill="F4F6F9"/>
            <w:tcMar>
              <w:top w:w="90" w:type="dxa"/>
              <w:bottom w:w="90" w:type="dxa"/>
              <w:left w:w="140" w:type="dxa"/>
              <w:right w:w="140" w:type="dxa"/>
            </w:tcMar>
          </w:tcPr>
          <w:p>
            <w:r>
              <w:rPr>
                <w:rFonts w:ascii="Arial" w:hAnsi="Arial"/>
                <w:sz w:val="18"/>
              </w:rPr>
              <w:t>02.00</w:t>
            </w:r>
          </w:p>
        </w:tc>
        <w:tc>
          <w:tcPr>
            <w:tcW w:type="dxa" w:w="3600"/>
            <w:shd w:fill="F4F6F9"/>
            <w:tcMar>
              <w:top w:w="90" w:type="dxa"/>
              <w:bottom w:w="90" w:type="dxa"/>
              <w:left w:w="140" w:type="dxa"/>
              <w:right w:w="140" w:type="dxa"/>
            </w:tcMar>
          </w:tcPr>
          <w:p>
            <w:r>
              <w:rPr>
                <w:rFonts w:ascii="Arial" w:hAnsi="Arial"/>
                <w:sz w:val="18"/>
              </w:rPr>
              <w:t>Línea Primaria 10 kV (2.15 km)</w:t>
            </w:r>
          </w:p>
        </w:tc>
        <w:tc>
          <w:tcPr>
            <w:tcW w:type="dxa" w:w="1008"/>
            <w:shd w:fill="F4F6F9"/>
            <w:tcMar>
              <w:top w:w="90" w:type="dxa"/>
              <w:bottom w:w="90" w:type="dxa"/>
              <w:left w:w="140" w:type="dxa"/>
              <w:right w:w="140" w:type="dxa"/>
            </w:tcMar>
          </w:tcPr>
          <w:p>
            <w:r>
              <w:rPr>
                <w:rFonts w:ascii="Arial" w:hAnsi="Arial"/>
                <w:sz w:val="18"/>
              </w:rPr>
              <w:t>24.5%</w:t>
            </w:r>
          </w:p>
        </w:tc>
        <w:tc>
          <w:tcPr>
            <w:tcW w:type="dxa" w:w="1008"/>
            <w:shd w:fill="F4F6F9"/>
            <w:tcMar>
              <w:top w:w="90" w:type="dxa"/>
              <w:bottom w:w="90" w:type="dxa"/>
              <w:left w:w="140" w:type="dxa"/>
              <w:right w:w="140" w:type="dxa"/>
            </w:tcMar>
          </w:tcPr>
          <w:p>
            <w:r>
              <w:rPr>
                <w:rFonts w:ascii="Arial" w:hAnsi="Arial"/>
                <w:sz w:val="18"/>
              </w:rPr>
              <w:t>5.0%</w:t>
            </w:r>
          </w:p>
        </w:tc>
        <w:tc>
          <w:tcPr>
            <w:tcW w:type="dxa" w:w="1008"/>
            <w:shd w:fill="F4F6F9"/>
            <w:tcMar>
              <w:top w:w="90" w:type="dxa"/>
              <w:bottom w:w="90" w:type="dxa"/>
              <w:left w:w="140" w:type="dxa"/>
              <w:right w:w="140" w:type="dxa"/>
            </w:tcMar>
          </w:tcPr>
          <w:p>
            <w:r>
              <w:rPr>
                <w:rFonts w:ascii="Arial" w:hAnsi="Arial"/>
                <w:sz w:val="18"/>
              </w:rPr>
              <w:t>10.0%</w:t>
            </w:r>
          </w:p>
        </w:tc>
        <w:tc>
          <w:tcPr>
            <w:tcW w:type="dxa" w:w="1008"/>
            <w:shd w:fill="F4F6F9"/>
            <w:tcMar>
              <w:top w:w="90" w:type="dxa"/>
              <w:bottom w:w="90" w:type="dxa"/>
              <w:left w:w="140" w:type="dxa"/>
              <w:right w:w="140" w:type="dxa"/>
            </w:tcMar>
          </w:tcPr>
          <w:p>
            <w:r>
              <w:rPr>
                <w:rFonts w:ascii="Arial" w:hAnsi="Arial"/>
                <w:sz w:val="18"/>
              </w:rPr>
              <w:t>9.5%</w:t>
            </w:r>
          </w:p>
        </w:tc>
        <w:tc>
          <w:tcPr>
            <w:tcW w:type="dxa" w:w="1008"/>
            <w:shd w:fill="F4F6F9"/>
            <w:tcMar>
              <w:top w:w="90" w:type="dxa"/>
              <w:bottom w:w="90" w:type="dxa"/>
              <w:left w:w="140" w:type="dxa"/>
              <w:right w:w="140" w:type="dxa"/>
            </w:tcMar>
          </w:tcPr>
          <w:p>
            <w:r>
              <w:rPr>
                <w:rFonts w:ascii="Arial" w:hAnsi="Arial"/>
                <w:sz w:val="18"/>
              </w:rPr>
              <w:t>--</w:t>
            </w:r>
          </w:p>
        </w:tc>
      </w:tr>
      <w:tr>
        <w:tc>
          <w:tcPr>
            <w:tcW w:type="dxa" w:w="864"/>
            <w:tcMar>
              <w:top w:w="90" w:type="dxa"/>
              <w:bottom w:w="90" w:type="dxa"/>
              <w:left w:w="140" w:type="dxa"/>
              <w:right w:w="140" w:type="dxa"/>
            </w:tcMar>
          </w:tcPr>
          <w:p>
            <w:r>
              <w:rPr>
                <w:rFonts w:ascii="Arial" w:hAnsi="Arial"/>
                <w:sz w:val="18"/>
              </w:rPr>
              <w:t>03.00</w:t>
            </w:r>
          </w:p>
        </w:tc>
        <w:tc>
          <w:tcPr>
            <w:tcW w:type="dxa" w:w="3600"/>
            <w:tcMar>
              <w:top w:w="90" w:type="dxa"/>
              <w:bottom w:w="90" w:type="dxa"/>
              <w:left w:w="140" w:type="dxa"/>
              <w:right w:w="140" w:type="dxa"/>
            </w:tcMar>
          </w:tcPr>
          <w:p>
            <w:r>
              <w:rPr>
                <w:rFonts w:ascii="Arial" w:hAnsi="Arial"/>
                <w:sz w:val="18"/>
              </w:rPr>
              <w:t>Subestaciones Biposte (3 SED)</w:t>
            </w:r>
          </w:p>
        </w:tc>
        <w:tc>
          <w:tcPr>
            <w:tcW w:type="dxa" w:w="1008"/>
            <w:tcMar>
              <w:top w:w="90" w:type="dxa"/>
              <w:bottom w:w="90" w:type="dxa"/>
              <w:left w:w="140" w:type="dxa"/>
              <w:right w:w="140" w:type="dxa"/>
            </w:tcMar>
          </w:tcPr>
          <w:p>
            <w:r>
              <w:rPr>
                <w:rFonts w:ascii="Arial" w:hAnsi="Arial"/>
                <w:sz w:val="18"/>
              </w:rPr>
              <w:t>21.0%</w:t>
            </w:r>
          </w:p>
        </w:tc>
        <w:tc>
          <w:tcPr>
            <w:tcW w:type="dxa" w:w="1008"/>
            <w:tcMar>
              <w:top w:w="90" w:type="dxa"/>
              <w:bottom w:w="90" w:type="dxa"/>
              <w:left w:w="140" w:type="dxa"/>
              <w:right w:w="140" w:type="dxa"/>
            </w:tcMar>
          </w:tcPr>
          <w:p>
            <w:r>
              <w:rPr>
                <w:rFonts w:ascii="Arial" w:hAnsi="Arial"/>
                <w:sz w:val="18"/>
              </w:rPr>
              <w:t>--</w:t>
            </w:r>
          </w:p>
        </w:tc>
        <w:tc>
          <w:tcPr>
            <w:tcW w:type="dxa" w:w="1008"/>
            <w:tcMar>
              <w:top w:w="90" w:type="dxa"/>
              <w:bottom w:w="90" w:type="dxa"/>
              <w:left w:w="140" w:type="dxa"/>
              <w:right w:w="140" w:type="dxa"/>
            </w:tcMar>
          </w:tcPr>
          <w:p>
            <w:r>
              <w:rPr>
                <w:rFonts w:ascii="Arial" w:hAnsi="Arial"/>
                <w:sz w:val="18"/>
              </w:rPr>
              <w:t>6.0%</w:t>
            </w:r>
          </w:p>
        </w:tc>
        <w:tc>
          <w:tcPr>
            <w:tcW w:type="dxa" w:w="1008"/>
            <w:tcMar>
              <w:top w:w="90" w:type="dxa"/>
              <w:bottom w:w="90" w:type="dxa"/>
              <w:left w:w="140" w:type="dxa"/>
              <w:right w:w="140" w:type="dxa"/>
            </w:tcMar>
          </w:tcPr>
          <w:p>
            <w:r>
              <w:rPr>
                <w:rFonts w:ascii="Arial" w:hAnsi="Arial"/>
                <w:sz w:val="18"/>
              </w:rPr>
              <w:t>12.0%</w:t>
            </w:r>
          </w:p>
        </w:tc>
        <w:tc>
          <w:tcPr>
            <w:tcW w:type="dxa" w:w="1008"/>
            <w:tcMar>
              <w:top w:w="90" w:type="dxa"/>
              <w:bottom w:w="90" w:type="dxa"/>
              <w:left w:w="140" w:type="dxa"/>
              <w:right w:w="140" w:type="dxa"/>
            </w:tcMar>
          </w:tcPr>
          <w:p>
            <w:r>
              <w:rPr>
                <w:rFonts w:ascii="Arial" w:hAnsi="Arial"/>
                <w:sz w:val="18"/>
              </w:rPr>
              <w:t>3.0%</w:t>
            </w:r>
          </w:p>
        </w:tc>
      </w:tr>
      <w:tr>
        <w:tc>
          <w:tcPr>
            <w:tcW w:type="dxa" w:w="864"/>
            <w:shd w:fill="F4F6F9"/>
            <w:tcMar>
              <w:top w:w="90" w:type="dxa"/>
              <w:bottom w:w="90" w:type="dxa"/>
              <w:left w:w="140" w:type="dxa"/>
              <w:right w:w="140" w:type="dxa"/>
            </w:tcMar>
          </w:tcPr>
          <w:p>
            <w:r>
              <w:rPr>
                <w:rFonts w:ascii="Arial" w:hAnsi="Arial"/>
                <w:sz w:val="18"/>
              </w:rPr>
              <w:t>04.00</w:t>
            </w:r>
          </w:p>
        </w:tc>
        <w:tc>
          <w:tcPr>
            <w:tcW w:type="dxa" w:w="3600"/>
            <w:shd w:fill="F4F6F9"/>
            <w:tcMar>
              <w:top w:w="90" w:type="dxa"/>
              <w:bottom w:w="90" w:type="dxa"/>
              <w:left w:w="140" w:type="dxa"/>
              <w:right w:w="140" w:type="dxa"/>
            </w:tcMar>
          </w:tcPr>
          <w:p>
            <w:r>
              <w:rPr>
                <w:rFonts w:ascii="Arial" w:hAnsi="Arial"/>
                <w:sz w:val="18"/>
              </w:rPr>
              <w:t>Redes Secundarias y Alumbrado</w:t>
            </w:r>
          </w:p>
        </w:tc>
        <w:tc>
          <w:tcPr>
            <w:tcW w:type="dxa" w:w="1008"/>
            <w:shd w:fill="F4F6F9"/>
            <w:tcMar>
              <w:top w:w="90" w:type="dxa"/>
              <w:bottom w:w="90" w:type="dxa"/>
              <w:left w:w="140" w:type="dxa"/>
              <w:right w:w="140" w:type="dxa"/>
            </w:tcMar>
          </w:tcPr>
          <w:p>
            <w:r>
              <w:rPr>
                <w:rFonts w:ascii="Arial" w:hAnsi="Arial"/>
                <w:sz w:val="18"/>
              </w:rPr>
              <w:t>26.0%</w:t>
            </w:r>
          </w:p>
        </w:tc>
        <w:tc>
          <w:tcPr>
            <w:tcW w:type="dxa" w:w="1008"/>
            <w:shd w:fill="F4F6F9"/>
            <w:tcMar>
              <w:top w:w="90" w:type="dxa"/>
              <w:bottom w:w="90" w:type="dxa"/>
              <w:left w:w="140" w:type="dxa"/>
              <w:right w:w="140" w:type="dxa"/>
            </w:tcMar>
          </w:tcPr>
          <w:p>
            <w:r>
              <w:rPr>
                <w:rFonts w:ascii="Arial" w:hAnsi="Arial"/>
                <w:sz w:val="18"/>
              </w:rPr>
              <w:t>3.0%</w:t>
            </w:r>
          </w:p>
        </w:tc>
        <w:tc>
          <w:tcPr>
            <w:tcW w:type="dxa" w:w="1008"/>
            <w:shd w:fill="F4F6F9"/>
            <w:tcMar>
              <w:top w:w="90" w:type="dxa"/>
              <w:bottom w:w="90" w:type="dxa"/>
              <w:left w:w="140" w:type="dxa"/>
              <w:right w:w="140" w:type="dxa"/>
            </w:tcMar>
          </w:tcPr>
          <w:p>
            <w:r>
              <w:rPr>
                <w:rFonts w:ascii="Arial" w:hAnsi="Arial"/>
                <w:sz w:val="18"/>
              </w:rPr>
              <w:t>8.0%</w:t>
            </w:r>
          </w:p>
        </w:tc>
        <w:tc>
          <w:tcPr>
            <w:tcW w:type="dxa" w:w="1008"/>
            <w:shd w:fill="F4F6F9"/>
            <w:tcMar>
              <w:top w:w="90" w:type="dxa"/>
              <w:bottom w:w="90" w:type="dxa"/>
              <w:left w:w="140" w:type="dxa"/>
              <w:right w:w="140" w:type="dxa"/>
            </w:tcMar>
          </w:tcPr>
          <w:p>
            <w:r>
              <w:rPr>
                <w:rFonts w:ascii="Arial" w:hAnsi="Arial"/>
                <w:sz w:val="18"/>
              </w:rPr>
              <w:t>10.0%</w:t>
            </w:r>
          </w:p>
        </w:tc>
        <w:tc>
          <w:tcPr>
            <w:tcW w:type="dxa" w:w="1008"/>
            <w:shd w:fill="F4F6F9"/>
            <w:tcMar>
              <w:top w:w="90" w:type="dxa"/>
              <w:bottom w:w="90" w:type="dxa"/>
              <w:left w:w="140" w:type="dxa"/>
              <w:right w:w="140" w:type="dxa"/>
            </w:tcMar>
          </w:tcPr>
          <w:p>
            <w:r>
              <w:rPr>
                <w:rFonts w:ascii="Arial" w:hAnsi="Arial"/>
                <w:sz w:val="18"/>
              </w:rPr>
              <w:t>5.0%</w:t>
            </w:r>
          </w:p>
        </w:tc>
      </w:tr>
      <w:tr>
        <w:tc>
          <w:tcPr>
            <w:tcW w:type="dxa" w:w="864"/>
            <w:tcMar>
              <w:top w:w="90" w:type="dxa"/>
              <w:bottom w:w="90" w:type="dxa"/>
              <w:left w:w="140" w:type="dxa"/>
              <w:right w:w="140" w:type="dxa"/>
            </w:tcMar>
          </w:tcPr>
          <w:p>
            <w:r>
              <w:rPr>
                <w:rFonts w:ascii="Arial" w:hAnsi="Arial"/>
                <w:sz w:val="18"/>
              </w:rPr>
              <w:t>05.00</w:t>
            </w:r>
          </w:p>
        </w:tc>
        <w:tc>
          <w:tcPr>
            <w:tcW w:type="dxa" w:w="3600"/>
            <w:tcMar>
              <w:top w:w="90" w:type="dxa"/>
              <w:bottom w:w="90" w:type="dxa"/>
              <w:left w:w="140" w:type="dxa"/>
              <w:right w:w="140" w:type="dxa"/>
            </w:tcMar>
          </w:tcPr>
          <w:p>
            <w:r>
              <w:rPr>
                <w:rFonts w:ascii="Arial" w:hAnsi="Arial"/>
                <w:sz w:val="18"/>
              </w:rPr>
              <w:t>Acometidas y Medición (764 viv)</w:t>
            </w:r>
          </w:p>
        </w:tc>
        <w:tc>
          <w:tcPr>
            <w:tcW w:type="dxa" w:w="1008"/>
            <w:tcMar>
              <w:top w:w="90" w:type="dxa"/>
              <w:bottom w:w="90" w:type="dxa"/>
              <w:left w:w="140" w:type="dxa"/>
              <w:right w:w="140" w:type="dxa"/>
            </w:tcMar>
          </w:tcPr>
          <w:p>
            <w:r>
              <w:rPr>
                <w:rFonts w:ascii="Arial" w:hAnsi="Arial"/>
                <w:sz w:val="18"/>
              </w:rPr>
              <w:t>14.0%</w:t>
            </w:r>
          </w:p>
        </w:tc>
        <w:tc>
          <w:tcPr>
            <w:tcW w:type="dxa" w:w="1008"/>
            <w:tcMar>
              <w:top w:w="90" w:type="dxa"/>
              <w:bottom w:w="90" w:type="dxa"/>
              <w:left w:w="140" w:type="dxa"/>
              <w:right w:w="140" w:type="dxa"/>
            </w:tcMar>
          </w:tcPr>
          <w:p>
            <w:r>
              <w:rPr>
                <w:rFonts w:ascii="Arial" w:hAnsi="Arial"/>
                <w:sz w:val="18"/>
              </w:rPr>
              <w:t>--</w:t>
            </w:r>
          </w:p>
        </w:tc>
        <w:tc>
          <w:tcPr>
            <w:tcW w:type="dxa" w:w="1008"/>
            <w:tcMar>
              <w:top w:w="90" w:type="dxa"/>
              <w:bottom w:w="90" w:type="dxa"/>
              <w:left w:w="140" w:type="dxa"/>
              <w:right w:w="140" w:type="dxa"/>
            </w:tcMar>
          </w:tcPr>
          <w:p>
            <w:r>
              <w:rPr>
                <w:rFonts w:ascii="Arial" w:hAnsi="Arial"/>
                <w:sz w:val="18"/>
              </w:rPr>
              <w:t>--</w:t>
            </w:r>
          </w:p>
        </w:tc>
        <w:tc>
          <w:tcPr>
            <w:tcW w:type="dxa" w:w="1008"/>
            <w:tcMar>
              <w:top w:w="90" w:type="dxa"/>
              <w:bottom w:w="90" w:type="dxa"/>
              <w:left w:w="140" w:type="dxa"/>
              <w:right w:w="140" w:type="dxa"/>
            </w:tcMar>
          </w:tcPr>
          <w:p>
            <w:r>
              <w:rPr>
                <w:rFonts w:ascii="Arial" w:hAnsi="Arial"/>
                <w:sz w:val="18"/>
              </w:rPr>
              <w:t>6.0%</w:t>
            </w:r>
          </w:p>
        </w:tc>
        <w:tc>
          <w:tcPr>
            <w:tcW w:type="dxa" w:w="1008"/>
            <w:tcMar>
              <w:top w:w="90" w:type="dxa"/>
              <w:bottom w:w="90" w:type="dxa"/>
              <w:left w:w="140" w:type="dxa"/>
              <w:right w:w="140" w:type="dxa"/>
            </w:tcMar>
          </w:tcPr>
          <w:p>
            <w:r>
              <w:rPr>
                <w:rFonts w:ascii="Arial" w:hAnsi="Arial"/>
                <w:sz w:val="18"/>
              </w:rPr>
              <w:t>8.0%</w:t>
            </w:r>
          </w:p>
        </w:tc>
      </w:tr>
      <w:tr>
        <w:tc>
          <w:tcPr>
            <w:tcW w:type="dxa" w:w="864"/>
            <w:shd w:fill="F4F6F9"/>
            <w:tcMar>
              <w:top w:w="90" w:type="dxa"/>
              <w:bottom w:w="90" w:type="dxa"/>
              <w:left w:w="140" w:type="dxa"/>
              <w:right w:w="140" w:type="dxa"/>
            </w:tcMar>
          </w:tcPr>
          <w:p>
            <w:r>
              <w:rPr>
                <w:rFonts w:ascii="Arial" w:hAnsi="Arial"/>
                <w:sz w:val="18"/>
              </w:rPr>
              <w:t>06.00</w:t>
            </w:r>
          </w:p>
        </w:tc>
        <w:tc>
          <w:tcPr>
            <w:tcW w:type="dxa" w:w="3600"/>
            <w:shd w:fill="F4F6F9"/>
            <w:tcMar>
              <w:top w:w="90" w:type="dxa"/>
              <w:bottom w:w="90" w:type="dxa"/>
              <w:left w:w="140" w:type="dxa"/>
              <w:right w:w="140" w:type="dxa"/>
            </w:tcMar>
          </w:tcPr>
          <w:p>
            <w:r>
              <w:rPr>
                <w:rFonts w:ascii="Arial" w:hAnsi="Arial"/>
                <w:sz w:val="18"/>
              </w:rPr>
              <w:t>Pruebas y Puesta en Servicio</w:t>
            </w:r>
          </w:p>
        </w:tc>
        <w:tc>
          <w:tcPr>
            <w:tcW w:type="dxa" w:w="1008"/>
            <w:shd w:fill="F4F6F9"/>
            <w:tcMar>
              <w:top w:w="90" w:type="dxa"/>
              <w:bottom w:w="90" w:type="dxa"/>
              <w:left w:w="140" w:type="dxa"/>
              <w:right w:w="140" w:type="dxa"/>
            </w:tcMar>
          </w:tcPr>
          <w:p>
            <w:r>
              <w:rPr>
                <w:rFonts w:ascii="Arial" w:hAnsi="Arial"/>
                <w:sz w:val="18"/>
              </w:rPr>
              <w:t>3.5%</w:t>
            </w:r>
          </w:p>
        </w:tc>
        <w:tc>
          <w:tcPr>
            <w:tcW w:type="dxa" w:w="1008"/>
            <w:shd w:fill="F4F6F9"/>
            <w:tcMar>
              <w:top w:w="90" w:type="dxa"/>
              <w:bottom w:w="90" w:type="dxa"/>
              <w:left w:w="140" w:type="dxa"/>
              <w:right w:w="140" w:type="dxa"/>
            </w:tcMar>
          </w:tcPr>
          <w:p>
            <w:r>
              <w:rPr>
                <w:rFonts w:ascii="Arial" w:hAnsi="Arial"/>
                <w:sz w:val="18"/>
              </w:rPr>
              <w:t>--</w:t>
            </w:r>
          </w:p>
        </w:tc>
        <w:tc>
          <w:tcPr>
            <w:tcW w:type="dxa" w:w="1008"/>
            <w:shd w:fill="F4F6F9"/>
            <w:tcMar>
              <w:top w:w="90" w:type="dxa"/>
              <w:bottom w:w="90" w:type="dxa"/>
              <w:left w:w="140" w:type="dxa"/>
              <w:right w:w="140" w:type="dxa"/>
            </w:tcMar>
          </w:tcPr>
          <w:p>
            <w:r>
              <w:rPr>
                <w:rFonts w:ascii="Arial" w:hAnsi="Arial"/>
                <w:sz w:val="18"/>
              </w:rPr>
              <w:t>--</w:t>
            </w:r>
          </w:p>
        </w:tc>
        <w:tc>
          <w:tcPr>
            <w:tcW w:type="dxa" w:w="1008"/>
            <w:shd w:fill="F4F6F9"/>
            <w:tcMar>
              <w:top w:w="90" w:type="dxa"/>
              <w:bottom w:w="90" w:type="dxa"/>
              <w:left w:w="140" w:type="dxa"/>
              <w:right w:w="140" w:type="dxa"/>
            </w:tcMar>
          </w:tcPr>
          <w:p>
            <w:r>
              <w:rPr>
                <w:rFonts w:ascii="Arial" w:hAnsi="Arial"/>
                <w:sz w:val="18"/>
              </w:rPr>
              <w:t>--</w:t>
            </w:r>
          </w:p>
        </w:tc>
        <w:tc>
          <w:tcPr>
            <w:tcW w:type="dxa" w:w="1008"/>
            <w:shd w:fill="F4F6F9"/>
            <w:tcMar>
              <w:top w:w="90" w:type="dxa"/>
              <w:bottom w:w="90" w:type="dxa"/>
              <w:left w:w="140" w:type="dxa"/>
              <w:right w:w="140" w:type="dxa"/>
            </w:tcMar>
          </w:tcPr>
          <w:p>
            <w:r>
              <w:rPr>
                <w:rFonts w:ascii="Arial" w:hAnsi="Arial"/>
                <w:sz w:val="18"/>
              </w:rPr>
              <w:t>3.5%</w:t>
            </w:r>
          </w:p>
        </w:tc>
      </w:tr>
      <w:tr>
        <w:tc>
          <w:tcPr>
            <w:tcW w:type="dxa" w:w="864"/>
            <w:tcMar>
              <w:top w:w="90" w:type="dxa"/>
              <w:bottom w:w="90" w:type="dxa"/>
              <w:left w:w="140" w:type="dxa"/>
              <w:right w:w="140" w:type="dxa"/>
            </w:tcMar>
          </w:tcPr>
          <w:p>
            <w:r>
              <w:rPr>
                <w:rFonts w:ascii="Arial" w:hAnsi="Arial"/>
                <w:sz w:val="18"/>
              </w:rPr>
              <w:t>07.00</w:t>
            </w:r>
          </w:p>
        </w:tc>
        <w:tc>
          <w:tcPr>
            <w:tcW w:type="dxa" w:w="3600"/>
            <w:tcMar>
              <w:top w:w="90" w:type="dxa"/>
              <w:bottom w:w="90" w:type="dxa"/>
              <w:left w:w="140" w:type="dxa"/>
              <w:right w:w="140" w:type="dxa"/>
            </w:tcMar>
          </w:tcPr>
          <w:p>
            <w:r>
              <w:rPr>
                <w:rFonts w:ascii="Arial" w:hAnsi="Arial"/>
                <w:sz w:val="18"/>
              </w:rPr>
              <w:t>Gestión Ambiental y SST</w:t>
            </w:r>
          </w:p>
        </w:tc>
        <w:tc>
          <w:tcPr>
            <w:tcW w:type="dxa" w:w="1008"/>
            <w:tcMar>
              <w:top w:w="90" w:type="dxa"/>
              <w:bottom w:w="90" w:type="dxa"/>
              <w:left w:w="140" w:type="dxa"/>
              <w:right w:w="140" w:type="dxa"/>
            </w:tcMar>
          </w:tcPr>
          <w:p>
            <w:r>
              <w:rPr>
                <w:rFonts w:ascii="Arial" w:hAnsi="Arial"/>
                <w:sz w:val="18"/>
              </w:rPr>
              <w:t>2.5%</w:t>
            </w:r>
          </w:p>
        </w:tc>
        <w:tc>
          <w:tcPr>
            <w:tcW w:type="dxa" w:w="1008"/>
            <w:tcMar>
              <w:top w:w="90" w:type="dxa"/>
              <w:bottom w:w="90" w:type="dxa"/>
              <w:left w:w="140" w:type="dxa"/>
              <w:right w:w="140" w:type="dxa"/>
            </w:tcMar>
          </w:tcPr>
          <w:p>
            <w:r>
              <w:rPr>
                <w:rFonts w:ascii="Arial" w:hAnsi="Arial"/>
                <w:sz w:val="18"/>
              </w:rPr>
              <w:t>0.6%</w:t>
            </w:r>
          </w:p>
        </w:tc>
        <w:tc>
          <w:tcPr>
            <w:tcW w:type="dxa" w:w="1008"/>
            <w:tcMar>
              <w:top w:w="90" w:type="dxa"/>
              <w:bottom w:w="90" w:type="dxa"/>
              <w:left w:w="140" w:type="dxa"/>
              <w:right w:w="140" w:type="dxa"/>
            </w:tcMar>
          </w:tcPr>
          <w:p>
            <w:r>
              <w:rPr>
                <w:rFonts w:ascii="Arial" w:hAnsi="Arial"/>
                <w:sz w:val="18"/>
              </w:rPr>
              <w:t>0.7%</w:t>
            </w:r>
          </w:p>
        </w:tc>
        <w:tc>
          <w:tcPr>
            <w:tcW w:type="dxa" w:w="1008"/>
            <w:tcMar>
              <w:top w:w="90" w:type="dxa"/>
              <w:bottom w:w="90" w:type="dxa"/>
              <w:left w:w="140" w:type="dxa"/>
              <w:right w:w="140" w:type="dxa"/>
            </w:tcMar>
          </w:tcPr>
          <w:p>
            <w:r>
              <w:rPr>
                <w:rFonts w:ascii="Arial" w:hAnsi="Arial"/>
                <w:sz w:val="18"/>
              </w:rPr>
              <w:t>0.6%</w:t>
            </w:r>
          </w:p>
        </w:tc>
        <w:tc>
          <w:tcPr>
            <w:tcW w:type="dxa" w:w="1008"/>
            <w:tcMar>
              <w:top w:w="90" w:type="dxa"/>
              <w:bottom w:w="90" w:type="dxa"/>
              <w:left w:w="140" w:type="dxa"/>
              <w:right w:w="140" w:type="dxa"/>
            </w:tcMar>
          </w:tcPr>
          <w:p>
            <w:r>
              <w:rPr>
                <w:rFonts w:ascii="Arial" w:hAnsi="Arial"/>
                <w:sz w:val="18"/>
              </w:rPr>
              <w:t>0.6%</w:t>
            </w:r>
          </w:p>
        </w:tc>
      </w:tr>
      <w:tr>
        <w:tc>
          <w:tcPr>
            <w:tcW w:type="dxa" w:w="864"/>
            <w:shd w:fill="F4F6F9"/>
            <w:tcMar>
              <w:top w:w="90" w:type="dxa"/>
              <w:bottom w:w="90" w:type="dxa"/>
              <w:left w:w="140" w:type="dxa"/>
              <w:right w:w="140" w:type="dxa"/>
            </w:tcMar>
          </w:tcPr>
          <w:p>
            <w:r>
              <w:rPr>
                <w:rFonts w:ascii="Arial" w:hAnsi="Arial"/>
                <w:b/>
                <w:sz w:val="18"/>
              </w:rPr>
              <w:t>TOTAL</w:t>
            </w:r>
          </w:p>
        </w:tc>
        <w:tc>
          <w:tcPr>
            <w:tcW w:type="dxa" w:w="3600"/>
            <w:shd w:fill="F4F6F9"/>
            <w:tcMar>
              <w:top w:w="90" w:type="dxa"/>
              <w:bottom w:w="90" w:type="dxa"/>
              <w:left w:w="140" w:type="dxa"/>
              <w:right w:w="140" w:type="dxa"/>
            </w:tcMar>
          </w:tcPr>
          <w:p>
            <w:r>
              <w:rPr>
                <w:rFonts w:ascii="Arial" w:hAnsi="Arial"/>
                <w:b/>
                <w:sz w:val="18"/>
              </w:rPr>
              <w:t>Avance Físico Acumulado</w:t>
            </w:r>
          </w:p>
        </w:tc>
        <w:tc>
          <w:tcPr>
            <w:tcW w:type="dxa" w:w="1008"/>
            <w:shd w:fill="F4F6F9"/>
            <w:tcMar>
              <w:top w:w="90" w:type="dxa"/>
              <w:bottom w:w="90" w:type="dxa"/>
              <w:left w:w="140" w:type="dxa"/>
              <w:right w:w="140" w:type="dxa"/>
            </w:tcMar>
          </w:tcPr>
          <w:p>
            <w:r>
              <w:rPr>
                <w:rFonts w:ascii="Arial" w:hAnsi="Arial"/>
                <w:b/>
                <w:sz w:val="18"/>
              </w:rPr>
              <w:t>100.0%</w:t>
            </w:r>
          </w:p>
        </w:tc>
        <w:tc>
          <w:tcPr>
            <w:tcW w:type="dxa" w:w="1008"/>
            <w:shd w:fill="F4F6F9"/>
            <w:tcMar>
              <w:top w:w="90" w:type="dxa"/>
              <w:bottom w:w="90" w:type="dxa"/>
              <w:left w:w="140" w:type="dxa"/>
              <w:right w:w="140" w:type="dxa"/>
            </w:tcMar>
          </w:tcPr>
          <w:p>
            <w:r>
              <w:rPr>
                <w:rFonts w:ascii="Arial" w:hAnsi="Arial"/>
                <w:b/>
                <w:sz w:val="18"/>
              </w:rPr>
              <w:t>14.6%</w:t>
            </w:r>
          </w:p>
        </w:tc>
        <w:tc>
          <w:tcPr>
            <w:tcW w:type="dxa" w:w="1008"/>
            <w:shd w:fill="F4F6F9"/>
            <w:tcMar>
              <w:top w:w="90" w:type="dxa"/>
              <w:bottom w:w="90" w:type="dxa"/>
              <w:left w:w="140" w:type="dxa"/>
              <w:right w:w="140" w:type="dxa"/>
            </w:tcMar>
          </w:tcPr>
          <w:p>
            <w:r>
              <w:rPr>
                <w:rFonts w:ascii="Arial" w:hAnsi="Arial"/>
                <w:b/>
                <w:sz w:val="18"/>
              </w:rPr>
              <w:t>41.8%</w:t>
            </w:r>
          </w:p>
        </w:tc>
        <w:tc>
          <w:tcPr>
            <w:tcW w:type="dxa" w:w="1008"/>
            <w:shd w:fill="F4F6F9"/>
            <w:tcMar>
              <w:top w:w="90" w:type="dxa"/>
              <w:bottom w:w="90" w:type="dxa"/>
              <w:left w:w="140" w:type="dxa"/>
              <w:right w:w="140" w:type="dxa"/>
            </w:tcMar>
          </w:tcPr>
          <w:p>
            <w:r>
              <w:rPr>
                <w:rFonts w:ascii="Arial" w:hAnsi="Arial"/>
                <w:b/>
                <w:sz w:val="18"/>
              </w:rPr>
              <w:t>79.9%</w:t>
            </w:r>
          </w:p>
        </w:tc>
        <w:tc>
          <w:tcPr>
            <w:tcW w:type="dxa" w:w="1008"/>
            <w:shd w:fill="F4F6F9"/>
            <w:tcMar>
              <w:top w:w="90" w:type="dxa"/>
              <w:bottom w:w="90" w:type="dxa"/>
              <w:left w:w="140" w:type="dxa"/>
              <w:right w:w="140" w:type="dxa"/>
            </w:tcMar>
          </w:tcPr>
          <w:p>
            <w:r>
              <w:rPr>
                <w:rFonts w:ascii="Arial" w:hAnsi="Arial"/>
                <w:b/>
                <w:sz w:val="18"/>
              </w:rPr>
              <w:t>100.0%</w:t>
            </w:r>
          </w:p>
        </w:tc>
      </w:tr>
    </w:tbl>
    <w:p>
      <w:r>
        <w:br w:type="page"/>
      </w:r>
    </w:p>
    <w:p>
      <w:pPr>
        <w:keepNext/>
        <w:spacing w:before="320" w:after="120"/>
      </w:pPr>
      <w:r>
        <w:rPr>
          <w:rFonts w:ascii="Arial" w:hAnsi="Arial"/>
          <w:b/>
          <w:color w:val="B40000"/>
          <w:sz w:val="30"/>
        </w:rPr>
        <w:t>CAPÍTULO VI: METRADOS Y PRESUPUESTO ESTIMADO</w:t>
      </w:r>
    </w:p>
    <w:p>
      <w:pPr>
        <w:keepNext/>
        <w:spacing w:before="240" w:after="80"/>
      </w:pPr>
      <w:r>
        <w:rPr>
          <w:rFonts w:ascii="Arial" w:hAnsi="Arial"/>
          <w:b/>
          <w:color w:val="006699"/>
          <w:sz w:val="25"/>
        </w:rPr>
        <w:t>6.1 Resumen del Presupuesto Referencial de Obra</w:t>
      </w:r>
    </w:p>
    <w:tbl>
      <w:tblPr>
        <w:tblW w:type="auto" w:w="0"/>
        <w:jc w:val="center"/>
        <w:tblLook w:firstColumn="1" w:firstRow="1" w:lastColumn="0" w:lastRow="0" w:noHBand="0" w:noVBand="1" w:val="04A0"/>
      </w:tblPr>
      <w:tblGrid>
        <w:gridCol w:w="2340"/>
        <w:gridCol w:w="2340"/>
        <w:gridCol w:w="2340"/>
        <w:gridCol w:w="2340"/>
      </w:tblGrid>
      <w:tr>
        <w:tc>
          <w:tcPr>
            <w:tcW w:type="dxa" w:w="1152"/>
            <w:shd w:fill="006699"/>
            <w:tcMar>
              <w:top w:w="120" w:type="dxa"/>
              <w:bottom w:w="120" w:type="dxa"/>
              <w:left w:w="150" w:type="dxa"/>
              <w:right w:w="150" w:type="dxa"/>
            </w:tcMar>
          </w:tcPr>
          <w:p>
            <w:pPr>
              <w:jc w:val="center"/>
            </w:pPr>
            <w:r>
              <w:rPr>
                <w:rFonts w:ascii="Arial" w:hAnsi="Arial"/>
                <w:b/>
                <w:color w:val="FFFFFF"/>
                <w:sz w:val="19"/>
              </w:rPr>
              <w:t>Ítem</w:t>
            </w:r>
          </w:p>
        </w:tc>
        <w:tc>
          <w:tcPr>
            <w:tcW w:type="dxa" w:w="4608"/>
            <w:shd w:fill="006699"/>
            <w:tcMar>
              <w:top w:w="120" w:type="dxa"/>
              <w:bottom w:w="120" w:type="dxa"/>
              <w:left w:w="150" w:type="dxa"/>
              <w:right w:w="150" w:type="dxa"/>
            </w:tcMar>
          </w:tcPr>
          <w:p>
            <w:pPr>
              <w:jc w:val="center"/>
            </w:pPr>
            <w:r>
              <w:rPr>
                <w:rFonts w:ascii="Arial" w:hAnsi="Arial"/>
                <w:b/>
                <w:color w:val="FFFFFF"/>
                <w:sz w:val="19"/>
              </w:rPr>
              <w:t>Componente de Obra</w:t>
            </w:r>
          </w:p>
        </w:tc>
        <w:tc>
          <w:tcPr>
            <w:tcW w:type="dxa" w:w="2016"/>
            <w:shd w:fill="006699"/>
            <w:tcMar>
              <w:top w:w="120" w:type="dxa"/>
              <w:bottom w:w="120" w:type="dxa"/>
              <w:left w:w="150" w:type="dxa"/>
              <w:right w:w="150" w:type="dxa"/>
            </w:tcMar>
          </w:tcPr>
          <w:p>
            <w:pPr>
              <w:jc w:val="center"/>
            </w:pPr>
            <w:r>
              <w:rPr>
                <w:rFonts w:ascii="Arial" w:hAnsi="Arial"/>
                <w:b/>
                <w:color w:val="FFFFFF"/>
                <w:sz w:val="19"/>
              </w:rPr>
              <w:t>Costo Parcial (S/.)</w:t>
            </w:r>
          </w:p>
        </w:tc>
        <w:tc>
          <w:tcPr>
            <w:tcW w:type="dxa" w:w="1440"/>
            <w:shd w:fill="006699"/>
            <w:tcMar>
              <w:top w:w="120" w:type="dxa"/>
              <w:bottom w:w="120" w:type="dxa"/>
              <w:left w:w="150" w:type="dxa"/>
              <w:right w:w="150" w:type="dxa"/>
            </w:tcMar>
          </w:tcPr>
          <w:p>
            <w:pPr>
              <w:jc w:val="center"/>
            </w:pPr>
            <w:r>
              <w:rPr>
                <w:rFonts w:ascii="Arial" w:hAnsi="Arial"/>
                <w:b/>
                <w:color w:val="FFFFFF"/>
                <w:sz w:val="19"/>
              </w:rPr>
              <w:t>% Incid.</w:t>
            </w:r>
          </w:p>
        </w:tc>
      </w:tr>
      <w:tr>
        <w:tc>
          <w:tcPr>
            <w:tcW w:type="dxa" w:w="1152"/>
            <w:tcMar>
              <w:top w:w="90" w:type="dxa"/>
              <w:bottom w:w="90" w:type="dxa"/>
              <w:left w:w="140" w:type="dxa"/>
              <w:right w:w="140" w:type="dxa"/>
            </w:tcMar>
          </w:tcPr>
          <w:p>
            <w:r>
              <w:rPr>
                <w:rFonts w:ascii="Arial" w:hAnsi="Arial"/>
                <w:sz w:val="18"/>
              </w:rPr>
              <w:t>01.00</w:t>
            </w:r>
          </w:p>
        </w:tc>
        <w:tc>
          <w:tcPr>
            <w:tcW w:type="dxa" w:w="4608"/>
            <w:tcMar>
              <w:top w:w="90" w:type="dxa"/>
              <w:bottom w:w="90" w:type="dxa"/>
              <w:left w:w="140" w:type="dxa"/>
              <w:right w:w="140" w:type="dxa"/>
            </w:tcMar>
          </w:tcPr>
          <w:p>
            <w:r>
              <w:rPr>
                <w:rFonts w:ascii="Arial" w:hAnsi="Arial"/>
                <w:sz w:val="18"/>
              </w:rPr>
              <w:t>Obras Preliminares y Trabajos de Campo</w:t>
            </w:r>
          </w:p>
        </w:tc>
        <w:tc>
          <w:tcPr>
            <w:tcW w:type="dxa" w:w="2016"/>
            <w:tcMar>
              <w:top w:w="90" w:type="dxa"/>
              <w:bottom w:w="90" w:type="dxa"/>
              <w:left w:w="140" w:type="dxa"/>
              <w:right w:w="140" w:type="dxa"/>
            </w:tcMar>
          </w:tcPr>
          <w:p>
            <w:r>
              <w:rPr>
                <w:rFonts w:ascii="Arial" w:hAnsi="Arial"/>
                <w:sz w:val="18"/>
              </w:rPr>
              <w:t>48,500.00</w:t>
            </w:r>
          </w:p>
        </w:tc>
        <w:tc>
          <w:tcPr>
            <w:tcW w:type="dxa" w:w="1440"/>
            <w:tcMar>
              <w:top w:w="90" w:type="dxa"/>
              <w:bottom w:w="90" w:type="dxa"/>
              <w:left w:w="140" w:type="dxa"/>
              <w:right w:w="140" w:type="dxa"/>
            </w:tcMar>
          </w:tcPr>
          <w:p>
            <w:r>
              <w:rPr>
                <w:rFonts w:ascii="Arial" w:hAnsi="Arial"/>
                <w:sz w:val="18"/>
              </w:rPr>
              <w:t>5.17%</w:t>
            </w:r>
          </w:p>
        </w:tc>
      </w:tr>
      <w:tr>
        <w:tc>
          <w:tcPr>
            <w:tcW w:type="dxa" w:w="1152"/>
            <w:shd w:fill="F4F6F9"/>
            <w:tcMar>
              <w:top w:w="90" w:type="dxa"/>
              <w:bottom w:w="90" w:type="dxa"/>
              <w:left w:w="140" w:type="dxa"/>
              <w:right w:w="140" w:type="dxa"/>
            </w:tcMar>
          </w:tcPr>
          <w:p>
            <w:r>
              <w:rPr>
                <w:rFonts w:ascii="Arial" w:hAnsi="Arial"/>
                <w:sz w:val="18"/>
              </w:rPr>
              <w:t>02.00</w:t>
            </w:r>
          </w:p>
        </w:tc>
        <w:tc>
          <w:tcPr>
            <w:tcW w:type="dxa" w:w="4608"/>
            <w:shd w:fill="F4F6F9"/>
            <w:tcMar>
              <w:top w:w="90" w:type="dxa"/>
              <w:bottom w:w="90" w:type="dxa"/>
              <w:left w:w="140" w:type="dxa"/>
              <w:right w:w="140" w:type="dxa"/>
            </w:tcMar>
          </w:tcPr>
          <w:p>
            <w:r>
              <w:rPr>
                <w:rFonts w:ascii="Arial" w:hAnsi="Arial"/>
                <w:sz w:val="18"/>
              </w:rPr>
              <w:t>Línea Primaria en Media Tensión 10.0 kV</w:t>
            </w:r>
          </w:p>
        </w:tc>
        <w:tc>
          <w:tcPr>
            <w:tcW w:type="dxa" w:w="2016"/>
            <w:shd w:fill="F4F6F9"/>
            <w:tcMar>
              <w:top w:w="90" w:type="dxa"/>
              <w:bottom w:w="90" w:type="dxa"/>
              <w:left w:w="140" w:type="dxa"/>
              <w:right w:w="140" w:type="dxa"/>
            </w:tcMar>
          </w:tcPr>
          <w:p>
            <w:r>
              <w:rPr>
                <w:rFonts w:ascii="Arial" w:hAnsi="Arial"/>
                <w:sz w:val="18"/>
              </w:rPr>
              <w:t>225,400.00</w:t>
            </w:r>
          </w:p>
        </w:tc>
        <w:tc>
          <w:tcPr>
            <w:tcW w:type="dxa" w:w="1440"/>
            <w:shd w:fill="F4F6F9"/>
            <w:tcMar>
              <w:top w:w="90" w:type="dxa"/>
              <w:bottom w:w="90" w:type="dxa"/>
              <w:left w:w="140" w:type="dxa"/>
              <w:right w:w="140" w:type="dxa"/>
            </w:tcMar>
          </w:tcPr>
          <w:p>
            <w:r>
              <w:rPr>
                <w:rFonts w:ascii="Arial" w:hAnsi="Arial"/>
                <w:sz w:val="18"/>
              </w:rPr>
              <w:t>24.03%</w:t>
            </w:r>
          </w:p>
        </w:tc>
      </w:tr>
      <w:tr>
        <w:tc>
          <w:tcPr>
            <w:tcW w:type="dxa" w:w="1152"/>
            <w:tcMar>
              <w:top w:w="90" w:type="dxa"/>
              <w:bottom w:w="90" w:type="dxa"/>
              <w:left w:w="140" w:type="dxa"/>
              <w:right w:w="140" w:type="dxa"/>
            </w:tcMar>
          </w:tcPr>
          <w:p>
            <w:r>
              <w:rPr>
                <w:rFonts w:ascii="Arial" w:hAnsi="Arial"/>
                <w:sz w:val="18"/>
              </w:rPr>
              <w:t>03.00</w:t>
            </w:r>
          </w:p>
        </w:tc>
        <w:tc>
          <w:tcPr>
            <w:tcW w:type="dxa" w:w="4608"/>
            <w:tcMar>
              <w:top w:w="90" w:type="dxa"/>
              <w:bottom w:w="90" w:type="dxa"/>
              <w:left w:w="140" w:type="dxa"/>
              <w:right w:w="140" w:type="dxa"/>
            </w:tcMar>
          </w:tcPr>
          <w:p>
            <w:r>
              <w:rPr>
                <w:rFonts w:ascii="Arial" w:hAnsi="Arial"/>
                <w:sz w:val="18"/>
              </w:rPr>
              <w:t>Subestaciones Aéreas Biposte (3 SED, 250 kVA)</w:t>
            </w:r>
          </w:p>
        </w:tc>
        <w:tc>
          <w:tcPr>
            <w:tcW w:type="dxa" w:w="2016"/>
            <w:tcMar>
              <w:top w:w="90" w:type="dxa"/>
              <w:bottom w:w="90" w:type="dxa"/>
              <w:left w:w="140" w:type="dxa"/>
              <w:right w:w="140" w:type="dxa"/>
            </w:tcMar>
          </w:tcPr>
          <w:p>
            <w:r>
              <w:rPr>
                <w:rFonts w:ascii="Arial" w:hAnsi="Arial"/>
                <w:sz w:val="18"/>
              </w:rPr>
              <w:t>186,800.00</w:t>
            </w:r>
          </w:p>
        </w:tc>
        <w:tc>
          <w:tcPr>
            <w:tcW w:type="dxa" w:w="1440"/>
            <w:tcMar>
              <w:top w:w="90" w:type="dxa"/>
              <w:bottom w:w="90" w:type="dxa"/>
              <w:left w:w="140" w:type="dxa"/>
              <w:right w:w="140" w:type="dxa"/>
            </w:tcMar>
          </w:tcPr>
          <w:p>
            <w:r>
              <w:rPr>
                <w:rFonts w:ascii="Arial" w:hAnsi="Arial"/>
                <w:sz w:val="18"/>
              </w:rPr>
              <w:t>19.92%</w:t>
            </w:r>
          </w:p>
        </w:tc>
      </w:tr>
      <w:tr>
        <w:tc>
          <w:tcPr>
            <w:tcW w:type="dxa" w:w="1152"/>
            <w:shd w:fill="F4F6F9"/>
            <w:tcMar>
              <w:top w:w="90" w:type="dxa"/>
              <w:bottom w:w="90" w:type="dxa"/>
              <w:left w:w="140" w:type="dxa"/>
              <w:right w:w="140" w:type="dxa"/>
            </w:tcMar>
          </w:tcPr>
          <w:p>
            <w:r>
              <w:rPr>
                <w:rFonts w:ascii="Arial" w:hAnsi="Arial"/>
                <w:sz w:val="18"/>
              </w:rPr>
              <w:t>04.00</w:t>
            </w:r>
          </w:p>
        </w:tc>
        <w:tc>
          <w:tcPr>
            <w:tcW w:type="dxa" w:w="4608"/>
            <w:shd w:fill="F4F6F9"/>
            <w:tcMar>
              <w:top w:w="90" w:type="dxa"/>
              <w:bottom w:w="90" w:type="dxa"/>
              <w:left w:w="140" w:type="dxa"/>
              <w:right w:w="140" w:type="dxa"/>
            </w:tcMar>
          </w:tcPr>
          <w:p>
            <w:r>
              <w:rPr>
                <w:rFonts w:ascii="Arial" w:hAnsi="Arial"/>
                <w:sz w:val="18"/>
              </w:rPr>
              <w:t>Redes Secundarias 380/220 V y Alumbrado Público</w:t>
            </w:r>
          </w:p>
        </w:tc>
        <w:tc>
          <w:tcPr>
            <w:tcW w:type="dxa" w:w="2016"/>
            <w:shd w:fill="F4F6F9"/>
            <w:tcMar>
              <w:top w:w="90" w:type="dxa"/>
              <w:bottom w:w="90" w:type="dxa"/>
              <w:left w:w="140" w:type="dxa"/>
              <w:right w:w="140" w:type="dxa"/>
            </w:tcMar>
          </w:tcPr>
          <w:p>
            <w:r>
              <w:rPr>
                <w:rFonts w:ascii="Arial" w:hAnsi="Arial"/>
                <w:sz w:val="18"/>
              </w:rPr>
              <w:t>258,900.00</w:t>
            </w:r>
          </w:p>
        </w:tc>
        <w:tc>
          <w:tcPr>
            <w:tcW w:type="dxa" w:w="1440"/>
            <w:shd w:fill="F4F6F9"/>
            <w:tcMar>
              <w:top w:w="90" w:type="dxa"/>
              <w:bottom w:w="90" w:type="dxa"/>
              <w:left w:w="140" w:type="dxa"/>
              <w:right w:w="140" w:type="dxa"/>
            </w:tcMar>
          </w:tcPr>
          <w:p>
            <w:r>
              <w:rPr>
                <w:rFonts w:ascii="Arial" w:hAnsi="Arial"/>
                <w:sz w:val="18"/>
              </w:rPr>
              <w:t>27.60%</w:t>
            </w:r>
          </w:p>
        </w:tc>
      </w:tr>
      <w:tr>
        <w:tc>
          <w:tcPr>
            <w:tcW w:type="dxa" w:w="1152"/>
            <w:tcMar>
              <w:top w:w="90" w:type="dxa"/>
              <w:bottom w:w="90" w:type="dxa"/>
              <w:left w:w="140" w:type="dxa"/>
              <w:right w:w="140" w:type="dxa"/>
            </w:tcMar>
          </w:tcPr>
          <w:p>
            <w:r>
              <w:rPr>
                <w:rFonts w:ascii="Arial" w:hAnsi="Arial"/>
                <w:sz w:val="18"/>
              </w:rPr>
              <w:t>05.00</w:t>
            </w:r>
          </w:p>
        </w:tc>
        <w:tc>
          <w:tcPr>
            <w:tcW w:type="dxa" w:w="4608"/>
            <w:tcMar>
              <w:top w:w="90" w:type="dxa"/>
              <w:bottom w:w="90" w:type="dxa"/>
              <w:left w:w="140" w:type="dxa"/>
              <w:right w:w="140" w:type="dxa"/>
            </w:tcMar>
          </w:tcPr>
          <w:p>
            <w:r>
              <w:rPr>
                <w:rFonts w:ascii="Arial" w:hAnsi="Arial"/>
                <w:sz w:val="18"/>
              </w:rPr>
              <w:t>Acometidas Domiciliarias y Medición (764 viviendas)</w:t>
            </w:r>
          </w:p>
        </w:tc>
        <w:tc>
          <w:tcPr>
            <w:tcW w:type="dxa" w:w="2016"/>
            <w:tcMar>
              <w:top w:w="90" w:type="dxa"/>
              <w:bottom w:w="90" w:type="dxa"/>
              <w:left w:w="140" w:type="dxa"/>
              <w:right w:w="140" w:type="dxa"/>
            </w:tcMar>
          </w:tcPr>
          <w:p>
            <w:r>
              <w:rPr>
                <w:rFonts w:ascii="Arial" w:hAnsi="Arial"/>
                <w:sz w:val="18"/>
              </w:rPr>
              <w:t>164,260.00</w:t>
            </w:r>
          </w:p>
        </w:tc>
        <w:tc>
          <w:tcPr>
            <w:tcW w:type="dxa" w:w="1440"/>
            <w:tcMar>
              <w:top w:w="90" w:type="dxa"/>
              <w:bottom w:w="90" w:type="dxa"/>
              <w:left w:w="140" w:type="dxa"/>
              <w:right w:w="140" w:type="dxa"/>
            </w:tcMar>
          </w:tcPr>
          <w:p>
            <w:r>
              <w:rPr>
                <w:rFonts w:ascii="Arial" w:hAnsi="Arial"/>
                <w:sz w:val="18"/>
              </w:rPr>
              <w:t>17.51%</w:t>
            </w:r>
          </w:p>
        </w:tc>
      </w:tr>
      <w:tr>
        <w:tc>
          <w:tcPr>
            <w:tcW w:type="dxa" w:w="1152"/>
            <w:shd w:fill="F4F6F9"/>
            <w:tcMar>
              <w:top w:w="90" w:type="dxa"/>
              <w:bottom w:w="90" w:type="dxa"/>
              <w:left w:w="140" w:type="dxa"/>
              <w:right w:w="140" w:type="dxa"/>
            </w:tcMar>
          </w:tcPr>
          <w:p>
            <w:r>
              <w:rPr>
                <w:rFonts w:ascii="Arial" w:hAnsi="Arial"/>
                <w:sz w:val="18"/>
              </w:rPr>
              <w:t>06.00</w:t>
            </w:r>
          </w:p>
        </w:tc>
        <w:tc>
          <w:tcPr>
            <w:tcW w:type="dxa" w:w="4608"/>
            <w:shd w:fill="F4F6F9"/>
            <w:tcMar>
              <w:top w:w="90" w:type="dxa"/>
              <w:bottom w:w="90" w:type="dxa"/>
              <w:left w:w="140" w:type="dxa"/>
              <w:right w:w="140" w:type="dxa"/>
            </w:tcMar>
          </w:tcPr>
          <w:p>
            <w:r>
              <w:rPr>
                <w:rFonts w:ascii="Arial" w:hAnsi="Arial"/>
                <w:sz w:val="18"/>
              </w:rPr>
              <w:t>Pruebas Electromecánicas y Puesta en Servicio</w:t>
            </w:r>
          </w:p>
        </w:tc>
        <w:tc>
          <w:tcPr>
            <w:tcW w:type="dxa" w:w="2016"/>
            <w:shd w:fill="F4F6F9"/>
            <w:tcMar>
              <w:top w:w="90" w:type="dxa"/>
              <w:bottom w:w="90" w:type="dxa"/>
              <w:left w:w="140" w:type="dxa"/>
              <w:right w:w="140" w:type="dxa"/>
            </w:tcMar>
          </w:tcPr>
          <w:p>
            <w:r>
              <w:rPr>
                <w:rFonts w:ascii="Arial" w:hAnsi="Arial"/>
                <w:sz w:val="18"/>
              </w:rPr>
              <w:t>28,000.00</w:t>
            </w:r>
          </w:p>
        </w:tc>
        <w:tc>
          <w:tcPr>
            <w:tcW w:type="dxa" w:w="1440"/>
            <w:shd w:fill="F4F6F9"/>
            <w:tcMar>
              <w:top w:w="90" w:type="dxa"/>
              <w:bottom w:w="90" w:type="dxa"/>
              <w:left w:w="140" w:type="dxa"/>
              <w:right w:w="140" w:type="dxa"/>
            </w:tcMar>
          </w:tcPr>
          <w:p>
            <w:r>
              <w:rPr>
                <w:rFonts w:ascii="Arial" w:hAnsi="Arial"/>
                <w:sz w:val="18"/>
              </w:rPr>
              <w:t>2.99%</w:t>
            </w:r>
          </w:p>
        </w:tc>
      </w:tr>
      <w:tr>
        <w:tc>
          <w:tcPr>
            <w:tcW w:type="dxa" w:w="1152"/>
            <w:tcMar>
              <w:top w:w="90" w:type="dxa"/>
              <w:bottom w:w="90" w:type="dxa"/>
              <w:left w:w="140" w:type="dxa"/>
              <w:right w:w="140" w:type="dxa"/>
            </w:tcMar>
          </w:tcPr>
          <w:p>
            <w:r>
              <w:rPr>
                <w:rFonts w:ascii="Arial" w:hAnsi="Arial"/>
                <w:sz w:val="18"/>
              </w:rPr>
              <w:t>07.00</w:t>
            </w:r>
          </w:p>
        </w:tc>
        <w:tc>
          <w:tcPr>
            <w:tcW w:type="dxa" w:w="4608"/>
            <w:tcMar>
              <w:top w:w="90" w:type="dxa"/>
              <w:bottom w:w="90" w:type="dxa"/>
              <w:left w:w="140" w:type="dxa"/>
              <w:right w:w="140" w:type="dxa"/>
            </w:tcMar>
          </w:tcPr>
          <w:p>
            <w:r>
              <w:rPr>
                <w:rFonts w:ascii="Arial" w:hAnsi="Arial"/>
                <w:sz w:val="18"/>
              </w:rPr>
              <w:t>Plan de Mitigación Ambiental y Seguridad (SST)</w:t>
            </w:r>
          </w:p>
        </w:tc>
        <w:tc>
          <w:tcPr>
            <w:tcW w:type="dxa" w:w="2016"/>
            <w:tcMar>
              <w:top w:w="90" w:type="dxa"/>
              <w:bottom w:w="90" w:type="dxa"/>
              <w:left w:w="140" w:type="dxa"/>
              <w:right w:w="140" w:type="dxa"/>
            </w:tcMar>
          </w:tcPr>
          <w:p>
            <w:r>
              <w:rPr>
                <w:rFonts w:ascii="Arial" w:hAnsi="Arial"/>
                <w:sz w:val="18"/>
              </w:rPr>
              <w:t>26,000.00</w:t>
            </w:r>
          </w:p>
        </w:tc>
        <w:tc>
          <w:tcPr>
            <w:tcW w:type="dxa" w:w="1440"/>
            <w:tcMar>
              <w:top w:w="90" w:type="dxa"/>
              <w:bottom w:w="90" w:type="dxa"/>
              <w:left w:w="140" w:type="dxa"/>
              <w:right w:w="140" w:type="dxa"/>
            </w:tcMar>
          </w:tcPr>
          <w:p>
            <w:r>
              <w:rPr>
                <w:rFonts w:ascii="Arial" w:hAnsi="Arial"/>
                <w:sz w:val="18"/>
              </w:rPr>
              <w:t>2.77%</w:t>
            </w:r>
          </w:p>
        </w:tc>
      </w:tr>
      <w:tr>
        <w:tc>
          <w:tcPr>
            <w:tcW w:type="dxa" w:w="1152"/>
            <w:shd w:fill="F4F6F9"/>
            <w:tcMar>
              <w:top w:w="90" w:type="dxa"/>
              <w:bottom w:w="90" w:type="dxa"/>
              <w:left w:w="140" w:type="dxa"/>
              <w:right w:w="140" w:type="dxa"/>
            </w:tcMar>
          </w:tcPr>
          <w:p>
            <w:r>
              <w:rPr>
                <w:rFonts w:ascii="Arial" w:hAnsi="Arial"/>
                <w:b/>
                <w:sz w:val="18"/>
              </w:rPr>
              <w:t>--</w:t>
            </w:r>
          </w:p>
        </w:tc>
        <w:tc>
          <w:tcPr>
            <w:tcW w:type="dxa" w:w="4608"/>
            <w:shd w:fill="F4F6F9"/>
            <w:tcMar>
              <w:top w:w="90" w:type="dxa"/>
              <w:bottom w:w="90" w:type="dxa"/>
              <w:left w:w="140" w:type="dxa"/>
              <w:right w:w="140" w:type="dxa"/>
            </w:tcMar>
          </w:tcPr>
          <w:p>
            <w:r>
              <w:rPr>
                <w:rFonts w:ascii="Arial" w:hAnsi="Arial"/>
                <w:b/>
                <w:sz w:val="18"/>
              </w:rPr>
              <w:t>COSTO DIRECTO TOTAL (CD)</w:t>
            </w:r>
          </w:p>
        </w:tc>
        <w:tc>
          <w:tcPr>
            <w:tcW w:type="dxa" w:w="2016"/>
            <w:shd w:fill="F4F6F9"/>
            <w:tcMar>
              <w:top w:w="90" w:type="dxa"/>
              <w:bottom w:w="90" w:type="dxa"/>
              <w:left w:w="140" w:type="dxa"/>
              <w:right w:w="140" w:type="dxa"/>
            </w:tcMar>
          </w:tcPr>
          <w:p>
            <w:r>
              <w:rPr>
                <w:rFonts w:ascii="Arial" w:hAnsi="Arial"/>
                <w:b/>
                <w:sz w:val="18"/>
              </w:rPr>
              <w:t>937,860.00</w:t>
            </w:r>
          </w:p>
        </w:tc>
        <w:tc>
          <w:tcPr>
            <w:tcW w:type="dxa" w:w="1440"/>
            <w:shd w:fill="F4F6F9"/>
            <w:tcMar>
              <w:top w:w="90" w:type="dxa"/>
              <w:bottom w:w="90" w:type="dxa"/>
              <w:left w:w="140" w:type="dxa"/>
              <w:right w:w="140" w:type="dxa"/>
            </w:tcMar>
          </w:tcPr>
          <w:p>
            <w:r>
              <w:rPr>
                <w:rFonts w:ascii="Arial" w:hAnsi="Arial"/>
                <w:b/>
                <w:sz w:val="18"/>
              </w:rPr>
              <w:t>100.00%</w:t>
            </w:r>
          </w:p>
        </w:tc>
      </w:tr>
      <w:tr>
        <w:tc>
          <w:tcPr>
            <w:tcW w:type="dxa" w:w="1152"/>
            <w:tcMar>
              <w:top w:w="90" w:type="dxa"/>
              <w:bottom w:w="90" w:type="dxa"/>
              <w:left w:w="140" w:type="dxa"/>
              <w:right w:w="140" w:type="dxa"/>
            </w:tcMar>
          </w:tcPr>
          <w:p>
            <w:r>
              <w:rPr>
                <w:rFonts w:ascii="Arial" w:hAnsi="Arial"/>
                <w:sz w:val="18"/>
              </w:rPr>
              <w:t>--</w:t>
            </w:r>
          </w:p>
        </w:tc>
        <w:tc>
          <w:tcPr>
            <w:tcW w:type="dxa" w:w="4608"/>
            <w:tcMar>
              <w:top w:w="90" w:type="dxa"/>
              <w:bottom w:w="90" w:type="dxa"/>
              <w:left w:w="140" w:type="dxa"/>
              <w:right w:w="140" w:type="dxa"/>
            </w:tcMar>
          </w:tcPr>
          <w:p>
            <w:r>
              <w:rPr>
                <w:rFonts w:ascii="Arial" w:hAnsi="Arial"/>
                <w:sz w:val="18"/>
              </w:rPr>
              <w:t>Gastos Generales (10.00% CD)</w:t>
            </w:r>
          </w:p>
        </w:tc>
        <w:tc>
          <w:tcPr>
            <w:tcW w:type="dxa" w:w="2016"/>
            <w:tcMar>
              <w:top w:w="90" w:type="dxa"/>
              <w:bottom w:w="90" w:type="dxa"/>
              <w:left w:w="140" w:type="dxa"/>
              <w:right w:w="140" w:type="dxa"/>
            </w:tcMar>
          </w:tcPr>
          <w:p>
            <w:r>
              <w:rPr>
                <w:rFonts w:ascii="Arial" w:hAnsi="Arial"/>
                <w:sz w:val="18"/>
              </w:rPr>
              <w:t>93,786.00</w:t>
            </w:r>
          </w:p>
        </w:tc>
        <w:tc>
          <w:tcPr>
            <w:tcW w:type="dxa" w:w="1440"/>
            <w:tcMar>
              <w:top w:w="90" w:type="dxa"/>
              <w:bottom w:w="90" w:type="dxa"/>
              <w:left w:w="140" w:type="dxa"/>
              <w:right w:w="140" w:type="dxa"/>
            </w:tcMar>
          </w:tcPr>
          <w:p>
            <w:r>
              <w:rPr>
                <w:rFonts w:ascii="Arial" w:hAnsi="Arial"/>
                <w:sz w:val="18"/>
              </w:rPr>
              <w:t>10.00%</w:t>
            </w:r>
          </w:p>
        </w:tc>
      </w:tr>
      <w:tr>
        <w:tc>
          <w:tcPr>
            <w:tcW w:type="dxa" w:w="1152"/>
            <w:shd w:fill="F4F6F9"/>
            <w:tcMar>
              <w:top w:w="90" w:type="dxa"/>
              <w:bottom w:w="90" w:type="dxa"/>
              <w:left w:w="140" w:type="dxa"/>
              <w:right w:w="140" w:type="dxa"/>
            </w:tcMar>
          </w:tcPr>
          <w:p>
            <w:r>
              <w:rPr>
                <w:rFonts w:ascii="Arial" w:hAnsi="Arial"/>
                <w:sz w:val="18"/>
              </w:rPr>
              <w:t>--</w:t>
            </w:r>
          </w:p>
        </w:tc>
        <w:tc>
          <w:tcPr>
            <w:tcW w:type="dxa" w:w="4608"/>
            <w:shd w:fill="F4F6F9"/>
            <w:tcMar>
              <w:top w:w="90" w:type="dxa"/>
              <w:bottom w:w="90" w:type="dxa"/>
              <w:left w:w="140" w:type="dxa"/>
              <w:right w:w="140" w:type="dxa"/>
            </w:tcMar>
          </w:tcPr>
          <w:p>
            <w:r>
              <w:rPr>
                <w:rFonts w:ascii="Arial" w:hAnsi="Arial"/>
                <w:sz w:val="18"/>
              </w:rPr>
              <w:t>Utilidad Empresarial (8.00% CD)</w:t>
            </w:r>
          </w:p>
        </w:tc>
        <w:tc>
          <w:tcPr>
            <w:tcW w:type="dxa" w:w="2016"/>
            <w:shd w:fill="F4F6F9"/>
            <w:tcMar>
              <w:top w:w="90" w:type="dxa"/>
              <w:bottom w:w="90" w:type="dxa"/>
              <w:left w:w="140" w:type="dxa"/>
              <w:right w:w="140" w:type="dxa"/>
            </w:tcMar>
          </w:tcPr>
          <w:p>
            <w:r>
              <w:rPr>
                <w:rFonts w:ascii="Arial" w:hAnsi="Arial"/>
                <w:sz w:val="18"/>
              </w:rPr>
              <w:t>75,028.80</w:t>
            </w:r>
          </w:p>
        </w:tc>
        <w:tc>
          <w:tcPr>
            <w:tcW w:type="dxa" w:w="1440"/>
            <w:shd w:fill="F4F6F9"/>
            <w:tcMar>
              <w:top w:w="90" w:type="dxa"/>
              <w:bottom w:w="90" w:type="dxa"/>
              <w:left w:w="140" w:type="dxa"/>
              <w:right w:w="140" w:type="dxa"/>
            </w:tcMar>
          </w:tcPr>
          <w:p>
            <w:r>
              <w:rPr>
                <w:rFonts w:ascii="Arial" w:hAnsi="Arial"/>
                <w:sz w:val="18"/>
              </w:rPr>
              <w:t>8.00%</w:t>
            </w:r>
          </w:p>
        </w:tc>
      </w:tr>
      <w:tr>
        <w:tc>
          <w:tcPr>
            <w:tcW w:type="dxa" w:w="1152"/>
            <w:tcMar>
              <w:top w:w="90" w:type="dxa"/>
              <w:bottom w:w="90" w:type="dxa"/>
              <w:left w:w="140" w:type="dxa"/>
              <w:right w:w="140" w:type="dxa"/>
            </w:tcMar>
          </w:tcPr>
          <w:p>
            <w:r>
              <w:rPr>
                <w:rFonts w:ascii="Arial" w:hAnsi="Arial"/>
                <w:b/>
                <w:sz w:val="18"/>
              </w:rPr>
              <w:t>--</w:t>
            </w:r>
          </w:p>
        </w:tc>
        <w:tc>
          <w:tcPr>
            <w:tcW w:type="dxa" w:w="4608"/>
            <w:tcMar>
              <w:top w:w="90" w:type="dxa"/>
              <w:bottom w:w="90" w:type="dxa"/>
              <w:left w:w="140" w:type="dxa"/>
              <w:right w:w="140" w:type="dxa"/>
            </w:tcMar>
          </w:tcPr>
          <w:p>
            <w:r>
              <w:rPr>
                <w:rFonts w:ascii="Arial" w:hAnsi="Arial"/>
                <w:b/>
                <w:sz w:val="18"/>
              </w:rPr>
              <w:t>SUBTOTAL</w:t>
            </w:r>
          </w:p>
        </w:tc>
        <w:tc>
          <w:tcPr>
            <w:tcW w:type="dxa" w:w="2016"/>
            <w:tcMar>
              <w:top w:w="90" w:type="dxa"/>
              <w:bottom w:w="90" w:type="dxa"/>
              <w:left w:w="140" w:type="dxa"/>
              <w:right w:w="140" w:type="dxa"/>
            </w:tcMar>
          </w:tcPr>
          <w:p>
            <w:r>
              <w:rPr>
                <w:rFonts w:ascii="Arial" w:hAnsi="Arial"/>
                <w:b/>
                <w:sz w:val="18"/>
              </w:rPr>
              <w:t>1,106,674.80</w:t>
            </w:r>
          </w:p>
        </w:tc>
        <w:tc>
          <w:tcPr>
            <w:tcW w:type="dxa" w:w="1440"/>
            <w:tcMar>
              <w:top w:w="90" w:type="dxa"/>
              <w:bottom w:w="90" w:type="dxa"/>
              <w:left w:w="140" w:type="dxa"/>
              <w:right w:w="140" w:type="dxa"/>
            </w:tcMar>
          </w:tcPr>
          <w:p>
            <w:r>
              <w:rPr>
                <w:rFonts w:ascii="Arial" w:hAnsi="Arial"/>
                <w:b/>
                <w:sz w:val="18"/>
              </w:rPr>
              <w:t>118.00%</w:t>
            </w:r>
          </w:p>
        </w:tc>
      </w:tr>
      <w:tr>
        <w:tc>
          <w:tcPr>
            <w:tcW w:type="dxa" w:w="1152"/>
            <w:shd w:fill="F4F6F9"/>
            <w:tcMar>
              <w:top w:w="90" w:type="dxa"/>
              <w:bottom w:w="90" w:type="dxa"/>
              <w:left w:w="140" w:type="dxa"/>
              <w:right w:w="140" w:type="dxa"/>
            </w:tcMar>
          </w:tcPr>
          <w:p>
            <w:r>
              <w:rPr>
                <w:rFonts w:ascii="Arial" w:hAnsi="Arial"/>
                <w:sz w:val="18"/>
              </w:rPr>
              <w:t>--</w:t>
            </w:r>
          </w:p>
        </w:tc>
        <w:tc>
          <w:tcPr>
            <w:tcW w:type="dxa" w:w="4608"/>
            <w:shd w:fill="F4F6F9"/>
            <w:tcMar>
              <w:top w:w="90" w:type="dxa"/>
              <w:bottom w:w="90" w:type="dxa"/>
              <w:left w:w="140" w:type="dxa"/>
              <w:right w:w="140" w:type="dxa"/>
            </w:tcMar>
          </w:tcPr>
          <w:p>
            <w:r>
              <w:rPr>
                <w:rFonts w:ascii="Arial" w:hAnsi="Arial"/>
                <w:sz w:val="18"/>
              </w:rPr>
              <w:t>Impuesto General a las Ventas (IGV 18.00%)</w:t>
            </w:r>
          </w:p>
        </w:tc>
        <w:tc>
          <w:tcPr>
            <w:tcW w:type="dxa" w:w="2016"/>
            <w:shd w:fill="F4F6F9"/>
            <w:tcMar>
              <w:top w:w="90" w:type="dxa"/>
              <w:bottom w:w="90" w:type="dxa"/>
              <w:left w:w="140" w:type="dxa"/>
              <w:right w:w="140" w:type="dxa"/>
            </w:tcMar>
          </w:tcPr>
          <w:p>
            <w:r>
              <w:rPr>
                <w:rFonts w:ascii="Arial" w:hAnsi="Arial"/>
                <w:sz w:val="18"/>
              </w:rPr>
              <w:t>199,201.46</w:t>
            </w:r>
          </w:p>
        </w:tc>
        <w:tc>
          <w:tcPr>
            <w:tcW w:type="dxa" w:w="1440"/>
            <w:shd w:fill="F4F6F9"/>
            <w:tcMar>
              <w:top w:w="90" w:type="dxa"/>
              <w:bottom w:w="90" w:type="dxa"/>
              <w:left w:w="140" w:type="dxa"/>
              <w:right w:w="140" w:type="dxa"/>
            </w:tcMar>
          </w:tcPr>
          <w:p>
            <w:r>
              <w:rPr>
                <w:rFonts w:ascii="Arial" w:hAnsi="Arial"/>
                <w:sz w:val="18"/>
              </w:rPr>
              <w:t>21.24%</w:t>
            </w:r>
          </w:p>
        </w:tc>
      </w:tr>
    </w:tbl>
    <w:p>
      <w:pPr>
        <w:spacing w:before="160"/>
      </w:pPr>
      <w:r>
        <w:rPr>
          <w:b/>
          <w:color w:val="B40000"/>
          <w:sz w:val="24"/>
        </w:rPr>
        <w:t>PRESUPUESTO TOTAL DE OBRA: S/. 1,305,876.26</w:t>
        <w:br/>
      </w:r>
      <w:r>
        <w:rPr>
          <w:i/>
          <w:sz w:val="20"/>
        </w:rPr>
        <w:t>Son: Un Millón Trescientos Cinco Mil Ochocientos Setenta y Seis con 26/100 Soles.</w:t>
      </w:r>
    </w:p>
    <w:p>
      <w:r>
        <w:br w:type="page"/>
      </w:r>
    </w:p>
    <w:p>
      <w:pPr>
        <w:keepNext/>
        <w:spacing w:before="320" w:after="120"/>
      </w:pPr>
      <w:r>
        <w:rPr>
          <w:rFonts w:ascii="Arial" w:hAnsi="Arial"/>
          <w:b/>
          <w:color w:val="B40000"/>
          <w:sz w:val="30"/>
        </w:rPr>
        <w:t>CAPÍTULO VII: RELACIÓN DE PLANOS Y DISEÑO CATASTRAL</w:t>
      </w:r>
    </w:p>
    <w:p>
      <w:pPr>
        <w:spacing w:before="40" w:after="100" w:line="276" w:lineRule="auto"/>
      </w:pPr>
      <w:r>
        <w:rPr>
          <w:rFonts w:ascii="Arial" w:hAnsi="Arial"/>
          <w:sz w:val="20"/>
        </w:rPr>
        <w:t>El expediente técnico incluye cinco láminas normalizadas en formato A1 georreferenciadas en WGS 84 / UTM Zona 19 Sur:</w:t>
      </w:r>
    </w:p>
    <w:p>
      <w:pPr>
        <w:pStyle w:val="ListBullet"/>
        <w:spacing w:before="20" w:after="60" w:line="276" w:lineRule="auto"/>
      </w:pPr>
      <w:r>
        <w:rPr>
          <w:rFonts w:ascii="Arial" w:hAnsi="Arial"/>
          <w:b/>
          <w:sz w:val="20"/>
        </w:rPr>
        <w:t xml:space="preserve">PL-01: </w:t>
      </w:r>
      <w:r>
        <w:rPr>
          <w:rFonts w:ascii="Arial" w:hAnsi="Arial"/>
          <w:sz w:val="20"/>
        </w:rPr>
        <w:t>Plano Clave General: Redes MT, SEDs y Catastro Urbano (Escala 1:2,500)</w:t>
      </w:r>
    </w:p>
    <w:p>
      <w:pPr>
        <w:pStyle w:val="ListBullet"/>
        <w:spacing w:before="20" w:after="60" w:line="276" w:lineRule="auto"/>
      </w:pPr>
      <w:r>
        <w:rPr>
          <w:rFonts w:ascii="Arial" w:hAnsi="Arial"/>
          <w:b/>
          <w:sz w:val="20"/>
        </w:rPr>
        <w:t xml:space="preserve">PL-02: </w:t>
      </w:r>
      <w:r>
        <w:rPr>
          <w:rFonts w:ascii="Arial" w:hAnsi="Arial"/>
          <w:sz w:val="20"/>
        </w:rPr>
        <w:t>Trazo y Perfil Longitudinal de Línea Primaria 10 kV (Escala H: 1:2000, V: 1:200)</w:t>
      </w:r>
    </w:p>
    <w:p>
      <w:pPr>
        <w:pStyle w:val="ListBullet"/>
        <w:spacing w:before="20" w:after="60" w:line="276" w:lineRule="auto"/>
      </w:pPr>
      <w:r>
        <w:rPr>
          <w:rFonts w:ascii="Arial" w:hAnsi="Arial"/>
          <w:b/>
          <w:sz w:val="20"/>
        </w:rPr>
        <w:t xml:space="preserve">PL-03: </w:t>
      </w:r>
      <w:r>
        <w:rPr>
          <w:rFonts w:ascii="Arial" w:hAnsi="Arial"/>
          <w:sz w:val="20"/>
        </w:rPr>
        <w:t>Detalle Electromecánico de Subestaciones Aéreas Biposte (SAB 50 y 100 kVA, Escala 1:50)</w:t>
      </w:r>
    </w:p>
    <w:p>
      <w:pPr>
        <w:pStyle w:val="ListBullet"/>
        <w:spacing w:before="20" w:after="60" w:line="276" w:lineRule="auto"/>
      </w:pPr>
      <w:r>
        <w:rPr>
          <w:rFonts w:ascii="Arial" w:hAnsi="Arial"/>
          <w:b/>
          <w:sz w:val="20"/>
        </w:rPr>
        <w:t xml:space="preserve">PL-04: </w:t>
      </w:r>
      <w:r>
        <w:rPr>
          <w:rFonts w:ascii="Arial" w:hAnsi="Arial"/>
          <w:sz w:val="20"/>
        </w:rPr>
        <w:t>Red de Distribución Secundaria 380/220 V y Alumbrado Público (Escala 1:1,000)</w:t>
      </w:r>
    </w:p>
    <w:p>
      <w:pPr>
        <w:pStyle w:val="ListBullet"/>
        <w:spacing w:before="20" w:after="60" w:line="276" w:lineRule="auto"/>
      </w:pPr>
      <w:r>
        <w:rPr>
          <w:rFonts w:ascii="Arial" w:hAnsi="Arial"/>
          <w:b/>
          <w:sz w:val="20"/>
        </w:rPr>
        <w:t xml:space="preserve">PL-05: </w:t>
      </w:r>
      <w:r>
        <w:rPr>
          <w:rFonts w:ascii="Arial" w:hAnsi="Arial"/>
          <w:sz w:val="20"/>
        </w:rPr>
        <w:t>Detalles Típicos de Armados BT, Puestas a Tierra y Acometidas (Escala 1:25)</w:t>
      </w:r>
    </w:p>
    <w:p>
      <w:pPr>
        <w:spacing w:before="200" w:after="40"/>
        <w:jc w:val="center"/>
      </w:pPr>
      <w:r>
        <w:drawing>
          <wp:inline xmlns:a="http://schemas.openxmlformats.org/drawingml/2006/main" xmlns:pic="http://schemas.openxmlformats.org/drawingml/2006/picture">
            <wp:extent cx="5486400" cy="9875520"/>
            <wp:docPr id="5" name="Picture 5"/>
            <wp:cNvGraphicFramePr>
              <a:graphicFrameLocks noChangeAspect="1"/>
            </wp:cNvGraphicFramePr>
            <a:graphic>
              <a:graphicData uri="http://schemas.openxmlformats.org/drawingml/2006/picture">
                <pic:pic>
                  <pic:nvPicPr>
                    <pic:cNvPr id="0" name="01_superposicion_ortofoto_completa.png"/>
                    <pic:cNvPicPr/>
                  </pic:nvPicPr>
                  <pic:blipFill>
                    <a:blip r:embed="rId13"/>
                    <a:stretch>
                      <a:fillRect/>
                    </a:stretch>
                  </pic:blipFill>
                  <pic:spPr>
                    <a:xfrm>
                      <a:off x="0" y="0"/>
                      <a:ext cx="5486400" cy="9875520"/>
                    </a:xfrm>
                    <a:prstGeom prst="rect"/>
                  </pic:spPr>
                </pic:pic>
              </a:graphicData>
            </a:graphic>
          </wp:inline>
        </w:drawing>
      </w:r>
    </w:p>
    <w:p>
      <w:pPr>
        <w:spacing w:after="240"/>
        <w:jc w:val="center"/>
      </w:pPr>
      <w:r>
        <w:rPr>
          <w:i/>
          <w:color w:val="505050"/>
          <w:sz w:val="18"/>
        </w:rPr>
        <w:t>Figura 7.1: Superposición ortofotogramétrica y delimitación de manzanas catastrales en Limbani.</w:t>
      </w:r>
    </w:p>
    <w:p>
      <w:pPr>
        <w:spacing w:before="200" w:after="40"/>
        <w:jc w:val="center"/>
      </w:pPr>
      <w:r>
        <w:drawing>
          <wp:inline xmlns:a="http://schemas.openxmlformats.org/drawingml/2006/main" xmlns:pic="http://schemas.openxmlformats.org/drawingml/2006/picture">
            <wp:extent cx="5486400" cy="8229600"/>
            <wp:docPr id="6" name="Picture 6"/>
            <wp:cNvGraphicFramePr>
              <a:graphicFrameLocks noChangeAspect="1"/>
            </wp:cNvGraphicFramePr>
            <a:graphic>
              <a:graphicData uri="http://schemas.openxmlformats.org/drawingml/2006/picture">
                <pic:pic>
                  <pic:nvPicPr>
                    <pic:cNvPr id="0" name="02_modelo_autocad_completo.png"/>
                    <pic:cNvPicPr/>
                  </pic:nvPicPr>
                  <pic:blipFill>
                    <a:blip r:embed="rId14"/>
                    <a:stretch>
                      <a:fillRect/>
                    </a:stretch>
                  </pic:blipFill>
                  <pic:spPr>
                    <a:xfrm>
                      <a:off x="0" y="0"/>
                      <a:ext cx="5486400" cy="8229600"/>
                    </a:xfrm>
                    <a:prstGeom prst="rect"/>
                  </pic:spPr>
                </pic:pic>
              </a:graphicData>
            </a:graphic>
          </wp:inline>
        </w:drawing>
      </w:r>
    </w:p>
    <w:p>
      <w:pPr>
        <w:spacing w:after="240"/>
        <w:jc w:val="center"/>
      </w:pPr>
      <w:r>
        <w:rPr>
          <w:i/>
          <w:color w:val="505050"/>
          <w:sz w:val="18"/>
        </w:rPr>
        <w:t>Figura 7.2: Modelo geométrico y base catastral vectorial en formato CAD/DXF.</w:t>
      </w:r>
    </w:p>
    <w:p>
      <w:pPr>
        <w:spacing w:before="200" w:after="40"/>
        <w:jc w:val="center"/>
      </w:pPr>
      <w:r>
        <w:drawing>
          <wp:inline xmlns:a="http://schemas.openxmlformats.org/drawingml/2006/main" xmlns:pic="http://schemas.openxmlformats.org/drawingml/2006/picture">
            <wp:extent cx="5486400" cy="8229600"/>
            <wp:docPr id="7" name="Picture 7"/>
            <wp:cNvGraphicFramePr>
              <a:graphicFrameLocks noChangeAspect="1"/>
            </wp:cNvGraphicFramePr>
            <a:graphic>
              <a:graphicData uri="http://schemas.openxmlformats.org/drawingml/2006/picture">
                <pic:pic>
                  <pic:nvPicPr>
                    <pic:cNvPr id="0" name="07_redes_electricas_detalladas_catastro.png"/>
                    <pic:cNvPicPr/>
                  </pic:nvPicPr>
                  <pic:blipFill>
                    <a:blip r:embed="rId15"/>
                    <a:stretch>
                      <a:fillRect/>
                    </a:stretch>
                  </pic:blipFill>
                  <pic:spPr>
                    <a:xfrm>
                      <a:off x="0" y="0"/>
                      <a:ext cx="5486400" cy="8229600"/>
                    </a:xfrm>
                    <a:prstGeom prst="rect"/>
                  </pic:spPr>
                </pic:pic>
              </a:graphicData>
            </a:graphic>
          </wp:inline>
        </w:drawing>
      </w:r>
    </w:p>
    <w:p>
      <w:pPr>
        <w:spacing w:after="240"/>
        <w:jc w:val="center"/>
      </w:pPr>
      <w:r>
        <w:rPr>
          <w:i/>
          <w:color w:val="505050"/>
          <w:sz w:val="18"/>
        </w:rPr>
        <w:t>Figura 7.3: Plano General de Redes Eléctricas, Postería CAC y Subestaciones Aéreas Biposte georreferenciadas en Limbani (WGS 84 Z19S).</w:t>
      </w:r>
    </w:p>
    <w:p>
      <w:pPr>
        <w:spacing w:before="200" w:after="40"/>
        <w:jc w:val="center"/>
      </w:pPr>
      <w:r>
        <w:drawing>
          <wp:inline xmlns:a="http://schemas.openxmlformats.org/drawingml/2006/main" xmlns:pic="http://schemas.openxmlformats.org/drawingml/2006/picture">
            <wp:extent cx="5486400" cy="7045036"/>
            <wp:docPr id="8" name="Picture 8"/>
            <wp:cNvGraphicFramePr>
              <a:graphicFrameLocks noChangeAspect="1"/>
            </wp:cNvGraphicFramePr>
            <a:graphic>
              <a:graphicData uri="http://schemas.openxmlformats.org/drawingml/2006/picture">
                <pic:pic>
                  <pic:nvPicPr>
                    <pic:cNvPr id="0" name="03_zoom_sector_norte_hidroelectrica.png"/>
                    <pic:cNvPicPr/>
                  </pic:nvPicPr>
                  <pic:blipFill>
                    <a:blip r:embed="rId16"/>
                    <a:stretch>
                      <a:fillRect/>
                    </a:stretch>
                  </pic:blipFill>
                  <pic:spPr>
                    <a:xfrm>
                      <a:off x="0" y="0"/>
                      <a:ext cx="5486400" cy="7045036"/>
                    </a:xfrm>
                    <a:prstGeom prst="rect"/>
                  </pic:spPr>
                </pic:pic>
              </a:graphicData>
            </a:graphic>
          </wp:inline>
        </w:drawing>
      </w:r>
    </w:p>
    <w:p>
      <w:pPr>
        <w:spacing w:after="240"/>
        <w:jc w:val="center"/>
      </w:pPr>
      <w:r>
        <w:rPr>
          <w:i/>
          <w:color w:val="505050"/>
          <w:sz w:val="18"/>
        </w:rPr>
        <w:t>Figura 7.4: Sector Norte: Casa de máquinas MCH Limbani (200 kW) y cobertura de SED-01.</w:t>
      </w:r>
    </w:p>
    <w:p>
      <w:pPr>
        <w:spacing w:before="200" w:after="40"/>
        <w:jc w:val="center"/>
      </w:pPr>
      <w:r>
        <w:drawing>
          <wp:inline xmlns:a="http://schemas.openxmlformats.org/drawingml/2006/main" xmlns:pic="http://schemas.openxmlformats.org/drawingml/2006/picture">
            <wp:extent cx="5486400" cy="8540151"/>
            <wp:docPr id="9" name="Picture 9"/>
            <wp:cNvGraphicFramePr>
              <a:graphicFrameLocks noChangeAspect="1"/>
            </wp:cNvGraphicFramePr>
            <a:graphic>
              <a:graphicData uri="http://schemas.openxmlformats.org/drawingml/2006/picture">
                <pic:pic>
                  <pic:nvPicPr>
                    <pic:cNvPr id="0" name="04_zoom_sector_centro_plaza_puno.png"/>
                    <pic:cNvPicPr/>
                  </pic:nvPicPr>
                  <pic:blipFill>
                    <a:blip r:embed="rId17"/>
                    <a:stretch>
                      <a:fillRect/>
                    </a:stretch>
                  </pic:blipFill>
                  <pic:spPr>
                    <a:xfrm>
                      <a:off x="0" y="0"/>
                      <a:ext cx="5486400" cy="8540151"/>
                    </a:xfrm>
                    <a:prstGeom prst="rect"/>
                  </pic:spPr>
                </pic:pic>
              </a:graphicData>
            </a:graphic>
          </wp:inline>
        </w:drawing>
      </w:r>
    </w:p>
    <w:p>
      <w:pPr>
        <w:spacing w:after="240"/>
        <w:jc w:val="center"/>
      </w:pPr>
      <w:r>
        <w:rPr>
          <w:i/>
          <w:color w:val="505050"/>
          <w:sz w:val="18"/>
        </w:rPr>
        <w:t>Figura 7.5: Sector Centro: Plaza de Armas de Limbani y cobertura de SED-02.</w:t>
      </w:r>
    </w:p>
    <w:p>
      <w:pPr>
        <w:spacing w:before="200" w:after="40"/>
        <w:jc w:val="center"/>
      </w:pPr>
      <w:r>
        <w:drawing>
          <wp:inline xmlns:a="http://schemas.openxmlformats.org/drawingml/2006/main" xmlns:pic="http://schemas.openxmlformats.org/drawingml/2006/picture">
            <wp:extent cx="5486400" cy="7798279"/>
            <wp:docPr id="10" name="Picture 10"/>
            <wp:cNvGraphicFramePr>
              <a:graphicFrameLocks noChangeAspect="1"/>
            </wp:cNvGraphicFramePr>
            <a:graphic>
              <a:graphicData uri="http://schemas.openxmlformats.org/drawingml/2006/picture">
                <pic:pic>
                  <pic:nvPicPr>
                    <pic:cNvPr id="0" name="05_zoom_sector_confluencia_estadio.png"/>
                    <pic:cNvPicPr/>
                  </pic:nvPicPr>
                  <pic:blipFill>
                    <a:blip r:embed="rId18"/>
                    <a:stretch>
                      <a:fillRect/>
                    </a:stretch>
                  </pic:blipFill>
                  <pic:spPr>
                    <a:xfrm>
                      <a:off x="0" y="0"/>
                      <a:ext cx="5486400" cy="7798279"/>
                    </a:xfrm>
                    <a:prstGeom prst="rect"/>
                  </pic:spPr>
                </pic:pic>
              </a:graphicData>
            </a:graphic>
          </wp:inline>
        </w:drawing>
      </w:r>
    </w:p>
    <w:p>
      <w:pPr>
        <w:spacing w:after="240"/>
        <w:jc w:val="center"/>
      </w:pPr>
      <w:r>
        <w:rPr>
          <w:i/>
          <w:color w:val="505050"/>
          <w:sz w:val="18"/>
        </w:rPr>
        <w:t>Figura 7.6: Sector de confluencia fluvial y área de expansión recreacional/deportiva.</w:t>
      </w:r>
    </w:p>
    <w:p>
      <w:pPr>
        <w:spacing w:before="200" w:after="40"/>
        <w:jc w:val="center"/>
      </w:pPr>
      <w:r>
        <w:drawing>
          <wp:inline xmlns:a="http://schemas.openxmlformats.org/drawingml/2006/main" xmlns:pic="http://schemas.openxmlformats.org/drawingml/2006/picture">
            <wp:extent cx="5486400" cy="7781026"/>
            <wp:docPr id="11" name="Picture 11"/>
            <wp:cNvGraphicFramePr>
              <a:graphicFrameLocks noChangeAspect="1"/>
            </wp:cNvGraphicFramePr>
            <a:graphic>
              <a:graphicData uri="http://schemas.openxmlformats.org/drawingml/2006/picture">
                <pic:pic>
                  <pic:nvPicPr>
                    <pic:cNvPr id="0" name="06_zoom_sector_sur_piscina_salida.png"/>
                    <pic:cNvPicPr/>
                  </pic:nvPicPr>
                  <pic:blipFill>
                    <a:blip r:embed="rId19"/>
                    <a:stretch>
                      <a:fillRect/>
                    </a:stretch>
                  </pic:blipFill>
                  <pic:spPr>
                    <a:xfrm>
                      <a:off x="0" y="0"/>
                      <a:ext cx="5486400" cy="7781026"/>
                    </a:xfrm>
                    <a:prstGeom prst="rect"/>
                  </pic:spPr>
                </pic:pic>
              </a:graphicData>
            </a:graphic>
          </wp:inline>
        </w:drawing>
      </w:r>
    </w:p>
    <w:p>
      <w:pPr>
        <w:spacing w:after="240"/>
        <w:jc w:val="center"/>
      </w:pPr>
      <w:r>
        <w:rPr>
          <w:i/>
          <w:color w:val="505050"/>
          <w:sz w:val="18"/>
        </w:rPr>
        <w:t>Figura 7.7: Sector Sur: Complejo recreacional, piscina y cobertura de SED-03.</w:t>
      </w:r>
    </w:p>
    <w:p>
      <w:r>
        <w:br w:type="page"/>
      </w:r>
    </w:p>
    <w:p>
      <w:pPr>
        <w:keepNext/>
        <w:spacing w:before="320" w:after="120"/>
      </w:pPr>
      <w:r>
        <w:rPr>
          <w:rFonts w:ascii="Arial" w:hAnsi="Arial"/>
          <w:b/>
          <w:color w:val="B40000"/>
          <w:sz w:val="30"/>
        </w:rPr>
        <w:t>CAPÍTULO VIII: CONCLUSIONES, RECOMENDACIONES Y BIBLIOGRAFÍA</w:t>
      </w:r>
    </w:p>
    <w:p>
      <w:pPr>
        <w:keepNext/>
        <w:spacing w:before="240" w:after="80"/>
      </w:pPr>
      <w:r>
        <w:rPr>
          <w:rFonts w:ascii="Arial" w:hAnsi="Arial"/>
          <w:b/>
          <w:color w:val="006699"/>
          <w:sz w:val="25"/>
        </w:rPr>
        <w:t>8.1 Conclusiones Técnicas</w:t>
      </w:r>
    </w:p>
    <w:p>
      <w:pPr>
        <w:pStyle w:val="ListBullet"/>
        <w:spacing w:before="20" w:after="60" w:line="276" w:lineRule="auto"/>
      </w:pPr>
      <w:r>
        <w:rPr>
          <w:rFonts w:ascii="Arial" w:hAnsi="Arial"/>
          <w:b/>
          <w:sz w:val="20"/>
        </w:rPr>
        <w:t xml:space="preserve">1. Suficiencia Energética: </w:t>
      </w:r>
      <w:r>
        <w:rPr>
          <w:rFonts w:ascii="Arial" w:hAnsi="Arial"/>
          <w:sz w:val="20"/>
        </w:rPr>
        <w:t>La MCH Limbani con turbina Michell-Banki (200 kW netos) abastece la totalidad de la demanda urbana (MD = 181.80 kW coincidente, 90.9% de utilización) con una reserva del 9.1%.</w:t>
      </w:r>
    </w:p>
    <w:p>
      <w:pPr>
        <w:pStyle w:val="ListBullet"/>
        <w:spacing w:before="20" w:after="60" w:line="276" w:lineRule="auto"/>
      </w:pPr>
      <w:r>
        <w:rPr>
          <w:rFonts w:ascii="Arial" w:hAnsi="Arial"/>
          <w:b/>
          <w:sz w:val="20"/>
        </w:rPr>
        <w:t xml:space="preserve">2. Calidad de Tensión: </w:t>
      </w:r>
      <w:r>
        <w:rPr>
          <w:rFonts w:ascii="Arial" w:hAnsi="Arial"/>
          <w:sz w:val="20"/>
        </w:rPr>
        <w:t>Caída de tensión en línea de 10 kV de apenas 0.504% (límite 5.0%) y en baja tensión de 3.82% (límite 5.0%), cumpliendo holgadamente la NTCSE.</w:t>
      </w:r>
    </w:p>
    <w:p>
      <w:pPr>
        <w:pStyle w:val="ListBullet"/>
        <w:spacing w:before="20" w:after="60" w:line="276" w:lineRule="auto"/>
      </w:pPr>
      <w:r>
        <w:rPr>
          <w:rFonts w:ascii="Arial" w:hAnsi="Arial"/>
          <w:b/>
          <w:sz w:val="20"/>
        </w:rPr>
        <w:t xml:space="preserve">3. Eficiencia Técnica: </w:t>
      </w:r>
      <w:r>
        <w:rPr>
          <w:rFonts w:ascii="Arial" w:hAnsi="Arial"/>
          <w:sz w:val="20"/>
        </w:rPr>
        <w:t>Pérdidas Joule en línea primaria de sólo 1.05 kW (0.52% de la potencia generada) gracias al uso del nivel de 10 kV.</w:t>
      </w:r>
    </w:p>
    <w:p>
      <w:pPr>
        <w:pStyle w:val="ListBullet"/>
        <w:spacing w:before="20" w:after="60" w:line="276" w:lineRule="auto"/>
      </w:pPr>
      <w:r>
        <w:rPr>
          <w:rFonts w:ascii="Arial" w:hAnsi="Arial"/>
          <w:b/>
          <w:sz w:val="20"/>
        </w:rPr>
        <w:t xml:space="preserve">4. Adaptación Normativa: </w:t>
      </w:r>
      <w:r>
        <w:rPr>
          <w:rFonts w:ascii="Arial" w:hAnsi="Arial"/>
          <w:sz w:val="20"/>
        </w:rPr>
        <w:t>Diseño electromecánico corregido por altitud ka = 1.28 (3,050 msnm) y cargas mecánicas para Zona 2 (viento 90 km/h, -5 °C a +35 °C).</w:t>
      </w:r>
    </w:p>
    <w:p>
      <w:pPr>
        <w:pStyle w:val="ListBullet"/>
        <w:spacing w:before="20" w:after="60" w:line="276" w:lineRule="auto"/>
      </w:pPr>
      <w:r>
        <w:rPr>
          <w:rFonts w:ascii="Arial" w:hAnsi="Arial"/>
          <w:b/>
          <w:sz w:val="20"/>
        </w:rPr>
        <w:t xml:space="preserve">5. Seguridad Operativa: </w:t>
      </w:r>
      <w:r>
        <w:rPr>
          <w:rFonts w:ascii="Arial" w:hAnsi="Arial"/>
          <w:sz w:val="20"/>
        </w:rPr>
        <w:t>Resistencia de puesta a tierra en subestaciones de 8.14 Ω con bentonita sódica (cumple norma &lt;= 10.0 Ω).</w:t>
      </w:r>
    </w:p>
    <w:p>
      <w:pPr>
        <w:pStyle w:val="ListBullet"/>
        <w:spacing w:before="20" w:after="60" w:line="276" w:lineRule="auto"/>
      </w:pPr>
      <w:r>
        <w:rPr>
          <w:rFonts w:ascii="Arial" w:hAnsi="Arial"/>
          <w:b/>
          <w:sz w:val="20"/>
        </w:rPr>
        <w:t xml:space="preserve">6. Presupuesto y Plazo: </w:t>
      </w:r>
      <w:r>
        <w:rPr>
          <w:rFonts w:ascii="Arial" w:hAnsi="Arial"/>
          <w:sz w:val="20"/>
        </w:rPr>
        <w:t>Presupuesto total estimado S/. 1,305,876.26 con un plazo de ejecución de 120 días calendario.</w:t>
      </w:r>
    </w:p>
    <w:p>
      <w:pPr>
        <w:keepNext/>
        <w:spacing w:before="240" w:after="80"/>
      </w:pPr>
      <w:r>
        <w:rPr>
          <w:rFonts w:ascii="Arial" w:hAnsi="Arial"/>
          <w:b/>
          <w:color w:val="006699"/>
          <w:sz w:val="25"/>
        </w:rPr>
        <w:t>8.2 Recomendaciones de Operación y Mantenimiento</w:t>
      </w:r>
    </w:p>
    <w:p>
      <w:pPr>
        <w:pStyle w:val="ListBullet"/>
        <w:spacing w:before="20" w:after="60" w:line="276" w:lineRule="auto"/>
      </w:pPr>
      <w:r>
        <w:rPr>
          <w:rFonts w:ascii="Arial" w:hAnsi="Arial"/>
          <w:b/>
          <w:sz w:val="20"/>
        </w:rPr>
        <w:t xml:space="preserve">1. Mantenimiento MCH: </w:t>
      </w:r>
      <w:r>
        <w:rPr>
          <w:rFonts w:ascii="Arial" w:hAnsi="Arial"/>
          <w:sz w:val="20"/>
        </w:rPr>
        <w:t>Inspección trimestral de rodete y álabes directrices contra desgaste erosivo por arenas silíceas del Río Limbani.</w:t>
      </w:r>
    </w:p>
    <w:p>
      <w:pPr>
        <w:pStyle w:val="ListBullet"/>
        <w:spacing w:before="20" w:after="60" w:line="276" w:lineRule="auto"/>
      </w:pPr>
      <w:r>
        <w:rPr>
          <w:rFonts w:ascii="Arial" w:hAnsi="Arial"/>
          <w:b/>
          <w:sz w:val="20"/>
        </w:rPr>
        <w:t xml:space="preserve">2. Control Hidrológico: </w:t>
      </w:r>
      <w:r>
        <w:rPr>
          <w:rFonts w:ascii="Arial" w:hAnsi="Arial"/>
          <w:sz w:val="20"/>
        </w:rPr>
        <w:t>Monitoreo del caudal en meses de estiaje (julio-agosto) y plan de gestión de cargas no prioritarias si fuese necesario.</w:t>
      </w:r>
    </w:p>
    <w:p>
      <w:pPr>
        <w:pStyle w:val="ListBullet"/>
        <w:spacing w:before="20" w:after="60" w:line="276" w:lineRule="auto"/>
      </w:pPr>
      <w:r>
        <w:rPr>
          <w:rFonts w:ascii="Arial" w:hAnsi="Arial"/>
          <w:b/>
          <w:sz w:val="20"/>
        </w:rPr>
        <w:t xml:space="preserve">3. Pozos a Tierra: </w:t>
      </w:r>
      <w:r>
        <w:rPr>
          <w:rFonts w:ascii="Arial" w:hAnsi="Arial"/>
          <w:sz w:val="20"/>
        </w:rPr>
        <w:t>Medición semestral con telurómetro antes de la temporada de tormentas eléctricas (octubre).</w:t>
      </w:r>
    </w:p>
    <w:p>
      <w:pPr>
        <w:pStyle w:val="ListBullet"/>
        <w:spacing w:before="20" w:after="60" w:line="276" w:lineRule="auto"/>
      </w:pPr>
      <w:r>
        <w:rPr>
          <w:rFonts w:ascii="Arial" w:hAnsi="Arial"/>
          <w:b/>
          <w:sz w:val="20"/>
        </w:rPr>
        <w:t xml:space="preserve">4. Servidumbre MT: </w:t>
      </w:r>
      <w:r>
        <w:rPr>
          <w:rFonts w:ascii="Arial" w:hAnsi="Arial"/>
          <w:sz w:val="20"/>
        </w:rPr>
        <w:t>Poda periódica de árboles en la servidumbre de 6.0 m de ancho a lo largo de la línea de 10 kV.</w:t>
      </w:r>
    </w:p>
    <w:p>
      <w:pPr>
        <w:pStyle w:val="ListBullet"/>
        <w:spacing w:before="20" w:after="60" w:line="276" w:lineRule="auto"/>
      </w:pPr>
      <w:r>
        <w:rPr>
          <w:rFonts w:ascii="Arial" w:hAnsi="Arial"/>
          <w:b/>
          <w:sz w:val="20"/>
        </w:rPr>
        <w:t xml:space="preserve">5. Termografía Infrarroja: </w:t>
      </w:r>
      <w:r>
        <w:rPr>
          <w:rFonts w:ascii="Arial" w:hAnsi="Arial"/>
          <w:sz w:val="20"/>
        </w:rPr>
        <w:t>Inspecciones termográficas anuales en bornes de transformadores y barras de tableros de distribución.</w:t>
      </w:r>
    </w:p>
    <w:p>
      <w:pPr>
        <w:keepNext/>
        <w:spacing w:before="240" w:after="80"/>
      </w:pPr>
      <w:r>
        <w:rPr>
          <w:rFonts w:ascii="Arial" w:hAnsi="Arial"/>
          <w:b/>
          <w:color w:val="006699"/>
          <w:sz w:val="25"/>
        </w:rPr>
        <w:t>8.3 Referencias Bibliográficas y Normativa Oficial</w:t>
      </w:r>
    </w:p>
    <w:p>
      <w:pPr>
        <w:pStyle w:val="ListBullet"/>
        <w:spacing w:before="20" w:after="60" w:line="276" w:lineRule="auto"/>
      </w:pPr>
      <w:r>
        <w:rPr>
          <w:rFonts w:ascii="Arial" w:hAnsi="Arial"/>
          <w:b/>
          <w:sz w:val="20"/>
        </w:rPr>
        <w:t xml:space="preserve">[1] MEM: </w:t>
      </w:r>
      <w:r>
        <w:rPr>
          <w:rFonts w:ascii="Arial" w:hAnsi="Arial"/>
          <w:sz w:val="20"/>
        </w:rPr>
        <w:t>Código Nacional de Electricidad - Suministro 2011 (R.M. N.° 366-2011-MEM/DM).</w:t>
      </w:r>
    </w:p>
    <w:p>
      <w:pPr>
        <w:pStyle w:val="ListBullet"/>
        <w:spacing w:before="20" w:after="60" w:line="276" w:lineRule="auto"/>
      </w:pPr>
      <w:r>
        <w:rPr>
          <w:rFonts w:ascii="Arial" w:hAnsi="Arial"/>
          <w:b/>
          <w:sz w:val="20"/>
        </w:rPr>
        <w:t xml:space="preserve">[2] DGE/MEM: </w:t>
      </w:r>
      <w:r>
        <w:rPr>
          <w:rFonts w:ascii="Arial" w:hAnsi="Arial"/>
          <w:sz w:val="20"/>
        </w:rPr>
        <w:t>Bases para el Diseño de Líneas Primarias (R.D. N.° 018-2003-EM/DGE).</w:t>
      </w:r>
    </w:p>
    <w:p>
      <w:pPr>
        <w:pStyle w:val="ListBullet"/>
        <w:spacing w:before="20" w:after="60" w:line="276" w:lineRule="auto"/>
      </w:pPr>
      <w:r>
        <w:rPr>
          <w:rFonts w:ascii="Arial" w:hAnsi="Arial"/>
          <w:b/>
          <w:sz w:val="20"/>
        </w:rPr>
        <w:t xml:space="preserve">[3] DGE/MEM: </w:t>
      </w:r>
      <w:r>
        <w:rPr>
          <w:rFonts w:ascii="Arial" w:hAnsi="Arial"/>
          <w:sz w:val="20"/>
        </w:rPr>
        <w:t>Bases para el Diseño de Redes Secundarias con Conductores Autoportantes (R.D. N.° 016-2003-EM/DGE).</w:t>
      </w:r>
    </w:p>
    <w:p>
      <w:pPr>
        <w:pStyle w:val="ListBullet"/>
        <w:spacing w:before="20" w:after="60" w:line="276" w:lineRule="auto"/>
      </w:pPr>
      <w:r>
        <w:rPr>
          <w:rFonts w:ascii="Arial" w:hAnsi="Arial"/>
          <w:b/>
          <w:sz w:val="20"/>
        </w:rPr>
        <w:t xml:space="preserve">[4] DGE/MEM: </w:t>
      </w:r>
      <w:r>
        <w:rPr>
          <w:rFonts w:ascii="Arial" w:hAnsi="Arial"/>
          <w:sz w:val="20"/>
        </w:rPr>
        <w:t>Especificaciones Técnicas para el Montaje de Líneas y Redes (R.D. N.° 026-2003-EM/DGE).</w:t>
      </w:r>
    </w:p>
    <w:p>
      <w:pPr>
        <w:pStyle w:val="ListBullet"/>
        <w:spacing w:before="20" w:after="60" w:line="276" w:lineRule="auto"/>
      </w:pPr>
      <w:r>
        <w:rPr>
          <w:rFonts w:ascii="Arial" w:hAnsi="Arial"/>
          <w:b/>
          <w:sz w:val="20"/>
        </w:rPr>
        <w:t xml:space="preserve">[5] MEM: </w:t>
      </w:r>
      <w:r>
        <w:rPr>
          <w:rFonts w:ascii="Arial" w:hAnsi="Arial"/>
          <w:sz w:val="20"/>
        </w:rPr>
        <w:t>Norma Técnica de Calidad de los Servicios Eléctricos (NTCSE, D.S. N.° 020-97-EM).</w:t>
      </w:r>
    </w:p>
    <w:p>
      <w:pPr>
        <w:pStyle w:val="ListBullet"/>
        <w:spacing w:before="20" w:after="60" w:line="276" w:lineRule="auto"/>
      </w:pPr>
      <w:r>
        <w:rPr>
          <w:rFonts w:ascii="Arial" w:hAnsi="Arial"/>
          <w:b/>
          <w:sz w:val="20"/>
        </w:rPr>
        <w:t xml:space="preserve">[6] MEM: </w:t>
      </w:r>
      <w:r>
        <w:rPr>
          <w:rFonts w:ascii="Arial" w:hAnsi="Arial"/>
          <w:sz w:val="20"/>
        </w:rPr>
        <w:t>Reglamento de Seguridad y Salud en el Trabajo con Electricidad (RESESATE, R.M. N.° 111-2013-MEM/DM).</w:t>
      </w:r>
    </w:p>
    <w:p>
      <w:pPr>
        <w:pStyle w:val="ListBullet"/>
        <w:spacing w:before="20" w:after="60" w:line="276" w:lineRule="auto"/>
      </w:pPr>
      <w:r>
        <w:rPr>
          <w:rFonts w:ascii="Arial" w:hAnsi="Arial"/>
          <w:b/>
          <w:sz w:val="20"/>
        </w:rPr>
        <w:t xml:space="preserve">[7] INACAL: </w:t>
      </w:r>
      <w:r>
        <w:rPr>
          <w:rFonts w:ascii="Arial" w:hAnsi="Arial"/>
          <w:sz w:val="20"/>
        </w:rPr>
        <w:t>NTP 370.258 (AAAC), NTP 370.254 (CAAI), NTP 339.027 (Postes CAC), NTP 370.002 (Transformadores).</w:t>
      </w:r>
    </w:p>
    <w:p>
      <w:pPr>
        <w:pStyle w:val="ListBullet"/>
        <w:spacing w:before="20" w:after="60" w:line="276" w:lineRule="auto"/>
      </w:pPr>
      <w:r>
        <w:rPr>
          <w:rFonts w:ascii="Arial" w:hAnsi="Arial"/>
          <w:b/>
          <w:sz w:val="20"/>
        </w:rPr>
        <w:t xml:space="preserve">[8] IEC: </w:t>
      </w:r>
      <w:r>
        <w:rPr>
          <w:rFonts w:ascii="Arial" w:hAnsi="Arial"/>
          <w:sz w:val="20"/>
        </w:rPr>
        <w:t>IEC 60076 (Power Transformers), IEC 60502 (Cables), IEC 61089 (AAAC).</w:t>
      </w:r>
    </w:p>
    <w:p>
      <w:pPr>
        <w:pStyle w:val="ListBullet"/>
        <w:spacing w:before="20" w:after="60" w:line="276" w:lineRule="auto"/>
      </w:pPr>
      <w:r>
        <w:rPr>
          <w:rFonts w:ascii="Arial" w:hAnsi="Arial"/>
          <w:b/>
          <w:sz w:val="20"/>
        </w:rPr>
        <w:t xml:space="preserve">[9] Municipalidad de Limbani: </w:t>
      </w:r>
      <w:r>
        <w:rPr>
          <w:rFonts w:ascii="Arial" w:hAnsi="Arial"/>
          <w:sz w:val="20"/>
        </w:rPr>
        <w:t>Catastro Urbano Oficial y Base Georreferenciada WGS 84 Zona 19 Sur,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