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8252" w14:textId="77777777" w:rsidR="00EF70A5" w:rsidRDefault="00EF70A5" w:rsidP="00EF70A5"/>
    <w:p w14:paraId="740D82CA" w14:textId="77777777" w:rsidR="00EF70A5" w:rsidRDefault="00EF70A5" w:rsidP="00EF70A5"/>
    <w:p w14:paraId="455F7B17" w14:textId="77777777" w:rsidR="00EF70A5" w:rsidRDefault="00EF70A5" w:rsidP="00EF70A5"/>
    <w:p w14:paraId="7B01F6FF" w14:textId="77777777" w:rsidR="00EF70A5" w:rsidRPr="00FD53D3" w:rsidRDefault="00EF70A5" w:rsidP="00EF70A5">
      <w:pPr>
        <w:pStyle w:val="Title"/>
      </w:pPr>
      <w:r>
        <w:t>MySQL Functions</w:t>
      </w:r>
    </w:p>
    <w:p w14:paraId="156D8615" w14:textId="77777777" w:rsidR="00EF70A5" w:rsidRDefault="00EF70A5" w:rsidP="00EF70A5">
      <w:pPr>
        <w:pStyle w:val="Subtitle"/>
      </w:pPr>
    </w:p>
    <w:p w14:paraId="25BD8768" w14:textId="77777777" w:rsidR="00EF70A5" w:rsidRDefault="00EF70A5" w:rsidP="00EF70A5">
      <w:pPr>
        <w:pStyle w:val="Subtitle"/>
      </w:pPr>
      <w:r>
        <w:t>Jason M Luttrell</w:t>
      </w:r>
    </w:p>
    <w:p w14:paraId="730067F6" w14:textId="77777777" w:rsidR="00EF70A5" w:rsidRDefault="00EF70A5" w:rsidP="00EF70A5">
      <w:pPr>
        <w:pStyle w:val="Subtitle"/>
      </w:pPr>
      <w:r>
        <w:t>Bellevue University</w:t>
      </w:r>
    </w:p>
    <w:p w14:paraId="71A137A2" w14:textId="4AC44417" w:rsidR="00EF70A5" w:rsidRDefault="00000000" w:rsidP="00EF70A5">
      <w:pPr>
        <w:pStyle w:val="Subtitle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="00EF70A5" w:rsidRPr="3236C9DF">
            <w:t>Course Number</w:t>
          </w:r>
          <w:r w:rsidR="00EF70A5">
            <w:t>:</w:t>
          </w:r>
        </w:sdtContent>
      </w:sdt>
      <w:r w:rsidR="00EF70A5">
        <w:t xml:space="preserve"> CSD310-T301</w:t>
      </w:r>
    </w:p>
    <w:p w14:paraId="295CCD4F" w14:textId="0D2650C1" w:rsidR="003D4B40" w:rsidRPr="00FD53D3" w:rsidRDefault="00EF70A5" w:rsidP="003D4B40">
      <w:pPr>
        <w:ind w:firstLine="0"/>
        <w:jc w:val="center"/>
      </w:pPr>
      <w:r>
        <w:t xml:space="preserve">Module </w:t>
      </w:r>
      <w:r w:rsidR="003D4B40">
        <w:t>5.2 MySQL Functions</w:t>
      </w:r>
    </w:p>
    <w:p w14:paraId="44D1B62A" w14:textId="34EB59F5" w:rsidR="00EF70A5" w:rsidRDefault="00EF70A5" w:rsidP="00EF70A5">
      <w:pPr>
        <w:pStyle w:val="Subtitle"/>
      </w:pPr>
      <w:r>
        <w:t xml:space="preserve">Professor </w:t>
      </w:r>
      <w:proofErr w:type="spellStart"/>
      <w:r>
        <w:t>Vianelis</w:t>
      </w:r>
      <w:proofErr w:type="spellEnd"/>
      <w:r>
        <w:t xml:space="preserve"> Martinez</w:t>
      </w:r>
    </w:p>
    <w:p w14:paraId="3C463263" w14:textId="3EACAA04" w:rsidR="00EF70A5" w:rsidRDefault="00EF70A5" w:rsidP="00EF70A5">
      <w:pPr>
        <w:pStyle w:val="Subtitle"/>
      </w:pPr>
      <w:r>
        <w:t>1/12/25</w:t>
      </w:r>
    </w:p>
    <w:p w14:paraId="6C07E49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5D972E4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219360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1C3A4991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324FACD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3CB63AA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35F4EAA5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FDA7B7C" w14:textId="77777777" w:rsidR="00EF70A5" w:rsidRDefault="00EF70A5" w:rsidP="00EF70A5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4BBFF8B9" w14:textId="4197BE61" w:rsidR="00EF70A5" w:rsidRDefault="00EF70A5" w:rsidP="00EF70A5">
      <w:pPr>
        <w:pStyle w:val="SectionTitle"/>
      </w:pPr>
      <w:r>
        <w:lastRenderedPageBreak/>
        <w:t>The ABS (Absolute Value) Function</w:t>
      </w:r>
    </w:p>
    <w:p w14:paraId="1EB59F49" w14:textId="1FF24C04" w:rsidR="00EF70A5" w:rsidRDefault="00EF70A5" w:rsidP="00EF70A5">
      <w:r>
        <w:t xml:space="preserve">The ABS(x) function returns the absolute value of a number.  It has a single </w:t>
      </w:r>
      <w:proofErr w:type="gramStart"/>
      <w:r>
        <w:t>argument</w:t>
      </w:r>
      <w:proofErr w:type="gramEnd"/>
      <w:r>
        <w:t xml:space="preserve"> and it returns a datatype derived from the datatype of the argument. One implication of this is that if using a signed BIGINT value</w:t>
      </w:r>
      <w:r w:rsidR="001C28AC">
        <w:t xml:space="preserve"> as x</w:t>
      </w:r>
      <w:r>
        <w:t xml:space="preserve"> then t</w:t>
      </w:r>
      <w:r w:rsidR="001C28AC">
        <w:t xml:space="preserve">he minimum number that could be </w:t>
      </w:r>
      <w:r w:rsidR="003D4B40">
        <w:t>used</w:t>
      </w:r>
      <w:r w:rsidR="001C28AC">
        <w:t xml:space="preserve"> </w:t>
      </w:r>
      <w:proofErr w:type="gramStart"/>
      <w:r w:rsidR="001C28AC">
        <w:t xml:space="preserve">is  </w:t>
      </w:r>
      <w:r w:rsidR="00FC4C94">
        <w:t>(</w:t>
      </w:r>
      <w:proofErr w:type="gramEnd"/>
      <w:r w:rsidR="001C28AC">
        <w:t>-2</w:t>
      </w:r>
      <w:r w:rsidR="001C28AC" w:rsidRPr="001C28AC">
        <w:rPr>
          <w:vertAlign w:val="superscript"/>
        </w:rPr>
        <w:t>63</w:t>
      </w:r>
      <w:r>
        <w:t xml:space="preserve"> </w:t>
      </w:r>
      <w:r w:rsidR="001C28AC">
        <w:t>-1</w:t>
      </w:r>
      <w:r w:rsidR="00FC4C94">
        <w:t>)</w:t>
      </w:r>
      <w:r w:rsidR="001C28AC">
        <w:t xml:space="preserve"> even though the BIGINT datatype allows for </w:t>
      </w:r>
      <w:r w:rsidR="00FC4C94">
        <w:t>(</w:t>
      </w:r>
      <w:r w:rsidR="001C28AC">
        <w:t>-2</w:t>
      </w:r>
      <w:r w:rsidR="001C28AC" w:rsidRPr="00FC4C94">
        <w:rPr>
          <w:vertAlign w:val="superscript"/>
        </w:rPr>
        <w:t>63</w:t>
      </w:r>
      <w:r w:rsidR="00FC4C94" w:rsidRPr="00FC4C94">
        <w:t>)</w:t>
      </w:r>
      <w:r w:rsidR="001C28AC">
        <w:t xml:space="preserve">. This is because the sign takes up </w:t>
      </w:r>
      <w:r w:rsidR="00FC4C94">
        <w:t>some memory</w:t>
      </w:r>
      <w:r w:rsidR="001C28AC">
        <w:t xml:space="preserve"> of the signed BIGINT datatype, so the positive limit (or returned value) is the limiting magnitude.</w:t>
      </w:r>
      <w:r w:rsidR="007E6417">
        <w:t xml:space="preserve"> If the argument is </w:t>
      </w:r>
      <w:r w:rsidR="003D4B40">
        <w:t>null</w:t>
      </w:r>
      <w:r w:rsidR="007E6417">
        <w:t>, the function returns null.</w:t>
      </w:r>
    </w:p>
    <w:p w14:paraId="541A634A" w14:textId="0F18BB6F" w:rsidR="00241A45" w:rsidRDefault="0045481C" w:rsidP="00241A45">
      <w:r>
        <w:t xml:space="preserve">The ABS function is a </w:t>
      </w:r>
      <w:r w:rsidR="003D4B40">
        <w:t>straightforward</w:t>
      </w:r>
      <w:r>
        <w:t xml:space="preserve"> math function that has equivalents in every programming language. It can be very useful in a wide variety of applications. At the core though the function returns the positive number equivalent of the argument</w:t>
      </w:r>
      <w:r w:rsidR="00241A45">
        <w:t xml:space="preserve"> as in </w:t>
      </w:r>
      <w:r w:rsidR="007E6417">
        <w:fldChar w:fldCharType="begin"/>
      </w:r>
      <w:r w:rsidR="007E6417">
        <w:instrText xml:space="preserve"> REF _Ref187551419 \h </w:instrText>
      </w:r>
      <w:r w:rsidR="007E6417">
        <w:fldChar w:fldCharType="separate"/>
      </w:r>
      <w:r w:rsidR="007E6417">
        <w:t xml:space="preserve">Figure </w:t>
      </w:r>
      <w:r w:rsidR="007E6417">
        <w:rPr>
          <w:noProof/>
        </w:rPr>
        <w:t>1</w:t>
      </w:r>
      <w:r w:rsidR="007E6417">
        <w:fldChar w:fldCharType="end"/>
      </w:r>
      <w:sdt>
        <w:sdtPr>
          <w:id w:val="-351643988"/>
          <w:citation/>
        </w:sdtPr>
        <w:sdtContent>
          <w:r w:rsidR="007B12FF">
            <w:fldChar w:fldCharType="begin"/>
          </w:r>
          <w:r w:rsidR="007B12FF">
            <w:instrText xml:space="preserve"> CITATION ATi \l 1033 </w:instrText>
          </w:r>
          <w:r w:rsidR="007B12FF">
            <w:fldChar w:fldCharType="separate"/>
          </w:r>
          <w:r w:rsidR="007B12FF">
            <w:rPr>
              <w:noProof/>
            </w:rPr>
            <w:t xml:space="preserve"> (Oracle, 2025)</w:t>
          </w:r>
          <w:r w:rsidR="007B12FF">
            <w:fldChar w:fldCharType="end"/>
          </w:r>
        </w:sdtContent>
      </w:sdt>
      <w:r w:rsidR="007B12FF">
        <w:t>.</w:t>
      </w:r>
    </w:p>
    <w:p w14:paraId="435F2EFA" w14:textId="77777777" w:rsidR="00241A45" w:rsidRDefault="00241A45" w:rsidP="00241A45">
      <w:pPr>
        <w:keepNext/>
        <w:ind w:firstLine="0"/>
      </w:pPr>
      <w:r w:rsidRPr="00241A45">
        <w:rPr>
          <w:noProof/>
        </w:rPr>
        <w:drawing>
          <wp:inline distT="0" distB="0" distL="0" distR="0" wp14:anchorId="38EDA118" wp14:editId="0F52A05E">
            <wp:extent cx="5943600" cy="904240"/>
            <wp:effectExtent l="0" t="0" r="0" b="0"/>
            <wp:docPr id="111208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33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97A" w14:textId="3F1609AB" w:rsidR="00241A45" w:rsidRDefault="00241A45" w:rsidP="00241A45">
      <w:pPr>
        <w:pStyle w:val="Caption"/>
      </w:pPr>
      <w:bookmarkStart w:id="0" w:name="_Ref187551419"/>
      <w:r>
        <w:t xml:space="preserve">Figure </w:t>
      </w:r>
      <w:fldSimple w:instr=" SEQ Figure \* ARABIC ">
        <w:r w:rsidR="008255E4">
          <w:rPr>
            <w:noProof/>
          </w:rPr>
          <w:t>1</w:t>
        </w:r>
      </w:fldSimple>
      <w:bookmarkEnd w:id="0"/>
      <w:r>
        <w:t xml:space="preserve"> Example of </w:t>
      </w:r>
      <w:proofErr w:type="gramStart"/>
      <w:r>
        <w:t>ABS(</w:t>
      </w:r>
      <w:proofErr w:type="gramEnd"/>
      <w:r>
        <w:t>) Function Usage</w:t>
      </w:r>
    </w:p>
    <w:p w14:paraId="562B151D" w14:textId="3CE085D2" w:rsidR="00241A45" w:rsidRDefault="00241A45" w:rsidP="00241A45">
      <w:pPr>
        <w:ind w:firstLine="0"/>
      </w:pPr>
    </w:p>
    <w:p w14:paraId="1D9502C3" w14:textId="77777777" w:rsidR="00241A45" w:rsidRDefault="00241A45" w:rsidP="00241A45"/>
    <w:p w14:paraId="7897AB08" w14:textId="1B675728" w:rsidR="00241A45" w:rsidRDefault="00241A45" w:rsidP="00241A45">
      <w:pPr>
        <w:pStyle w:val="SectionTitle"/>
      </w:pPr>
      <w:r>
        <w:lastRenderedPageBreak/>
        <w:t>The ST</w:t>
      </w:r>
      <w:r w:rsidR="007B12FF">
        <w:t>R</w:t>
      </w:r>
      <w:r w:rsidR="007E6417">
        <w:t xml:space="preserve">CMP </w:t>
      </w:r>
      <w:r>
        <w:t>(</w:t>
      </w:r>
      <w:r w:rsidR="007E6417">
        <w:t>String Compare</w:t>
      </w:r>
      <w:r>
        <w:t>) Function</w:t>
      </w:r>
    </w:p>
    <w:p w14:paraId="2EA616FC" w14:textId="452B8930" w:rsidR="00241A45" w:rsidRDefault="00241A45" w:rsidP="00241A45">
      <w:r>
        <w:t xml:space="preserve">The </w:t>
      </w:r>
      <w:proofErr w:type="gramStart"/>
      <w:r w:rsidR="007E6417">
        <w:t>ST</w:t>
      </w:r>
      <w:r w:rsidR="007B12FF">
        <w:t>R</w:t>
      </w:r>
      <w:r w:rsidR="007E6417">
        <w:t>CMP(</w:t>
      </w:r>
      <w:proofErr w:type="gramEnd"/>
      <w:r w:rsidR="007E6417">
        <w:t>expr1, expr2) has two arguments of datatype string</w:t>
      </w:r>
      <w:r w:rsidR="007B12FF">
        <w:t>, or something that can be interpreted as datatype string</w:t>
      </w:r>
      <w:r w:rsidR="007E6417">
        <w:t xml:space="preserve">. The function compares the two strings and returns “0” if the arguments are the same. </w:t>
      </w:r>
      <w:r w:rsidR="007B12FF">
        <w:t>As in Figure 2, i</w:t>
      </w:r>
      <w:r w:rsidR="007E6417">
        <w:t>f according to the current sort order</w:t>
      </w:r>
      <w:r w:rsidR="007B12FF">
        <w:t xml:space="preserve"> </w:t>
      </w:r>
      <w:r w:rsidR="007E6417">
        <w:t>the first argument is smaller than the second the function returns “-1”. Conversely</w:t>
      </w:r>
      <w:r w:rsidR="007B12FF">
        <w:t>,</w:t>
      </w:r>
      <w:r w:rsidR="007E6417">
        <w:t xml:space="preserve"> if the second argument is smaller the function returns “1”</w:t>
      </w:r>
      <w:sdt>
        <w:sdtPr>
          <w:id w:val="1514723251"/>
          <w:citation/>
        </w:sdtPr>
        <w:sdtContent>
          <w:r w:rsidR="007B12FF">
            <w:fldChar w:fldCharType="begin"/>
          </w:r>
          <w:r w:rsidR="007B12FF">
            <w:instrText xml:space="preserve"> CITATION ATi \l 1033 </w:instrText>
          </w:r>
          <w:r w:rsidR="007B12FF">
            <w:fldChar w:fldCharType="separate"/>
          </w:r>
          <w:r w:rsidR="007B12FF">
            <w:rPr>
              <w:noProof/>
            </w:rPr>
            <w:t xml:space="preserve"> (Oracle, 2025)</w:t>
          </w:r>
          <w:r w:rsidR="007B12FF">
            <w:fldChar w:fldCharType="end"/>
          </w:r>
        </w:sdtContent>
      </w:sdt>
      <w:r w:rsidR="007E6417">
        <w:t xml:space="preserve">. </w:t>
      </w:r>
    </w:p>
    <w:p w14:paraId="0A55B421" w14:textId="77777777" w:rsidR="007B12FF" w:rsidRDefault="007B12FF" w:rsidP="007B12FF">
      <w:pPr>
        <w:keepNext/>
        <w:ind w:firstLine="0"/>
      </w:pPr>
      <w:r w:rsidRPr="007B12FF">
        <w:rPr>
          <w:noProof/>
        </w:rPr>
        <w:drawing>
          <wp:inline distT="0" distB="0" distL="0" distR="0" wp14:anchorId="5DA19E9C" wp14:editId="7792ED78">
            <wp:extent cx="5943600" cy="3354705"/>
            <wp:effectExtent l="0" t="0" r="0" b="0"/>
            <wp:docPr id="1274391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19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89C" w14:textId="7C6B775C" w:rsidR="00241A45" w:rsidRDefault="007B12FF" w:rsidP="007B12FF">
      <w:pPr>
        <w:pStyle w:val="Caption"/>
      </w:pPr>
      <w:r>
        <w:t xml:space="preserve">Figure </w:t>
      </w:r>
      <w:fldSimple w:instr=" SEQ Figure \* ARABIC ">
        <w:r w:rsidR="008255E4">
          <w:rPr>
            <w:noProof/>
          </w:rPr>
          <w:t>2</w:t>
        </w:r>
      </w:fldSimple>
      <w:r>
        <w:t xml:space="preserve"> Example of </w:t>
      </w:r>
      <w:proofErr w:type="gramStart"/>
      <w:r>
        <w:t>STRCMP(</w:t>
      </w:r>
      <w:proofErr w:type="gramEnd"/>
      <w:r>
        <w:t>) usage</w:t>
      </w:r>
    </w:p>
    <w:p w14:paraId="53CD5579" w14:textId="0042F314" w:rsidR="007B12FF" w:rsidRDefault="007B12FF" w:rsidP="007B12FF">
      <w:pPr>
        <w:pStyle w:val="SectionTitle"/>
      </w:pPr>
      <w:r>
        <w:lastRenderedPageBreak/>
        <w:t xml:space="preserve">The </w:t>
      </w:r>
      <w:r w:rsidR="00B42A4F">
        <w:t>COUNT</w:t>
      </w:r>
      <w:r>
        <w:t xml:space="preserve"> Function</w:t>
      </w:r>
    </w:p>
    <w:p w14:paraId="0754F42D" w14:textId="4B12D5CD" w:rsidR="007B12FF" w:rsidRDefault="007B12FF" w:rsidP="00B42A4F">
      <w:r>
        <w:t xml:space="preserve">The </w:t>
      </w:r>
      <w:proofErr w:type="gramStart"/>
      <w:r w:rsidR="00B42A4F">
        <w:t>COUNT(</w:t>
      </w:r>
      <w:proofErr w:type="gramEnd"/>
      <w:r>
        <w:t xml:space="preserve">expr) </w:t>
      </w:r>
      <w:r w:rsidR="00B42A4F">
        <w:t>is an aggregating function that must be used in conjunction with a grouping clause</w:t>
      </w:r>
      <w:r w:rsidR="009D6AA5">
        <w:t xml:space="preserve">. The “expr” argument would be the field that is to be counted. If the </w:t>
      </w:r>
      <w:proofErr w:type="gramStart"/>
      <w:r w:rsidR="009D6AA5">
        <w:t>COUNT(</w:t>
      </w:r>
      <w:proofErr w:type="gramEnd"/>
      <w:r w:rsidR="009D6AA5">
        <w:t xml:space="preserve">*) argument is used then all rows are counted then Null rows will be counted as well. </w:t>
      </w:r>
      <w:r w:rsidR="00B42A4F">
        <w:t xml:space="preserve">In the case of usage with grouping </w:t>
      </w:r>
      <w:proofErr w:type="spellStart"/>
      <w:r w:rsidR="00B42A4F">
        <w:t>caluse</w:t>
      </w:r>
      <w:proofErr w:type="spellEnd"/>
      <w:r w:rsidR="00B42A4F">
        <w:t xml:space="preserve">. </w:t>
      </w:r>
      <w:proofErr w:type="gramStart"/>
      <w:r w:rsidR="00B42A4F">
        <w:t>Count(</w:t>
      </w:r>
      <w:proofErr w:type="gramEnd"/>
      <w:r w:rsidR="00B42A4F">
        <w:t>) will return the number of non-null rows applicable to each group</w:t>
      </w:r>
      <w:sdt>
        <w:sdtPr>
          <w:id w:val="1580326287"/>
          <w:citation/>
        </w:sdtPr>
        <w:sdtContent>
          <w:r w:rsidR="00B42A4F">
            <w:fldChar w:fldCharType="begin"/>
          </w:r>
          <w:r w:rsidR="00B42A4F">
            <w:instrText xml:space="preserve"> CITATION ATi \l 1033 </w:instrText>
          </w:r>
          <w:r w:rsidR="00B42A4F">
            <w:fldChar w:fldCharType="separate"/>
          </w:r>
          <w:r w:rsidR="00B42A4F">
            <w:rPr>
              <w:noProof/>
            </w:rPr>
            <w:t xml:space="preserve"> (Oracle, 2025)</w:t>
          </w:r>
          <w:r w:rsidR="00B42A4F">
            <w:fldChar w:fldCharType="end"/>
          </w:r>
        </w:sdtContent>
      </w:sdt>
      <w:r w:rsidR="00B42A4F">
        <w:t>. Figure 3 shows an example of the number of actors that starred per movie category in the Sakira database</w:t>
      </w:r>
    </w:p>
    <w:p w14:paraId="6128276E" w14:textId="442E9C10" w:rsidR="007B12FF" w:rsidRDefault="008255E4" w:rsidP="007B12FF">
      <w:pPr>
        <w:keepNext/>
        <w:ind w:firstLine="0"/>
      </w:pPr>
      <w:r w:rsidRPr="008255E4">
        <w:rPr>
          <w:noProof/>
        </w:rPr>
        <w:drawing>
          <wp:inline distT="0" distB="0" distL="0" distR="0" wp14:anchorId="4B25D878" wp14:editId="3F019403">
            <wp:extent cx="5943600" cy="4335780"/>
            <wp:effectExtent l="0" t="0" r="0" b="7620"/>
            <wp:docPr id="25482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44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A42B" w14:textId="2D67B938" w:rsidR="008255E4" w:rsidRDefault="008255E4" w:rsidP="008255E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Demonstration of </w:t>
      </w:r>
      <w:proofErr w:type="gramStart"/>
      <w:r>
        <w:t>COUNT(</w:t>
      </w:r>
      <w:proofErr w:type="gramEnd"/>
      <w:r>
        <w:t>) Function</w:t>
      </w:r>
    </w:p>
    <w:p w14:paraId="7F395D9A" w14:textId="5B95E4C2" w:rsidR="008255E4" w:rsidRDefault="009D6AA5">
      <w:pPr>
        <w:spacing w:after="160" w:line="278" w:lineRule="auto"/>
        <w:ind w:firstLine="0"/>
        <w:rPr>
          <w:i/>
          <w:iCs/>
          <w:color w:val="0E2841" w:themeColor="text2"/>
          <w:sz w:val="18"/>
          <w:szCs w:val="18"/>
        </w:rPr>
      </w:pPr>
      <w:r>
        <w:t xml:space="preserve">If the </w:t>
      </w:r>
      <w:proofErr w:type="gramStart"/>
      <w:r>
        <w:t>COUNT(</w:t>
      </w:r>
      <w:proofErr w:type="gramEnd"/>
      <w:r>
        <w:t>*) argument is used then all rows are counted</w:t>
      </w:r>
      <w:r>
        <w:t>, including</w:t>
      </w:r>
      <w:r>
        <w:t xml:space="preserve"> Null rows</w:t>
      </w:r>
      <w:r>
        <w:t>,</w:t>
      </w:r>
      <w:r>
        <w:t xml:space="preserve"> will be counted as well. </w:t>
      </w:r>
      <w:r w:rsidR="008255E4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1979603522"/>
        <w:docPartObj>
          <w:docPartGallery w:val="Bibliographies"/>
          <w:docPartUnique/>
        </w:docPartObj>
      </w:sdtPr>
      <w:sdtContent>
        <w:p w14:paraId="5802DC76" w14:textId="77777777" w:rsidR="00EF70A5" w:rsidRDefault="00EF70A5" w:rsidP="00EF70A5">
          <w:pPr>
            <w:pStyle w:val="Heading1"/>
          </w:pPr>
          <w:r>
            <w:t>Works Cited</w:t>
          </w:r>
        </w:p>
        <w:p w14:paraId="537B8A88" w14:textId="0046C243" w:rsidR="007B12FF" w:rsidRDefault="00EF70A5" w:rsidP="007B12F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7B12FF">
            <w:rPr>
              <w:noProof/>
            </w:rPr>
            <w:t xml:space="preserve">Oracle. (2025). </w:t>
          </w:r>
          <w:r w:rsidR="007B12FF">
            <w:rPr>
              <w:i/>
              <w:iCs/>
              <w:noProof/>
            </w:rPr>
            <w:t>MySQL 8.4 Reference Manual</w:t>
          </w:r>
          <w:r w:rsidR="007B12FF">
            <w:rPr>
              <w:noProof/>
            </w:rPr>
            <w:t>. Retrieved from MySQL: https://dev.mysql.com/doc/refman/8.4/en/</w:t>
          </w:r>
        </w:p>
        <w:p w14:paraId="5B1992E5" w14:textId="77777777" w:rsidR="00EF70A5" w:rsidRDefault="00EF70A5" w:rsidP="007B12FF">
          <w:r>
            <w:rPr>
              <w:b/>
              <w:bCs/>
            </w:rPr>
            <w:fldChar w:fldCharType="end"/>
          </w:r>
        </w:p>
      </w:sdtContent>
    </w:sdt>
    <w:p w14:paraId="7F2540CB" w14:textId="77777777" w:rsidR="00EF70A5" w:rsidRDefault="00EF70A5" w:rsidP="00EF70A5">
      <w:pPr>
        <w:pStyle w:val="Bibliography"/>
      </w:pPr>
    </w:p>
    <w:p w14:paraId="0A272591" w14:textId="77777777" w:rsidR="00EF70A5" w:rsidRDefault="00EF70A5" w:rsidP="00324557"/>
    <w:sectPr w:rsidR="00EF70A5" w:rsidSect="00EF70A5"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EA89F" w14:textId="77777777" w:rsidR="00313EC5" w:rsidRDefault="00313EC5" w:rsidP="006237D4">
      <w:pPr>
        <w:spacing w:line="240" w:lineRule="auto"/>
      </w:pPr>
      <w:r>
        <w:separator/>
      </w:r>
    </w:p>
  </w:endnote>
  <w:endnote w:type="continuationSeparator" w:id="0">
    <w:p w14:paraId="63EC0722" w14:textId="77777777" w:rsidR="00313EC5" w:rsidRDefault="00313EC5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C29B3" w14:textId="77777777" w:rsidR="00313EC5" w:rsidRDefault="00313EC5" w:rsidP="006237D4">
      <w:pPr>
        <w:spacing w:line="240" w:lineRule="auto"/>
      </w:pPr>
      <w:r>
        <w:separator/>
      </w:r>
    </w:p>
  </w:footnote>
  <w:footnote w:type="continuationSeparator" w:id="0">
    <w:p w14:paraId="0F1AAC90" w14:textId="77777777" w:rsidR="00313EC5" w:rsidRDefault="00313EC5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1302A4"/>
    <w:rsid w:val="00163D60"/>
    <w:rsid w:val="001C28AC"/>
    <w:rsid w:val="00212B99"/>
    <w:rsid w:val="00241A45"/>
    <w:rsid w:val="002D7833"/>
    <w:rsid w:val="00313EC5"/>
    <w:rsid w:val="00324557"/>
    <w:rsid w:val="003D4B40"/>
    <w:rsid w:val="004215A8"/>
    <w:rsid w:val="0045481C"/>
    <w:rsid w:val="006237D4"/>
    <w:rsid w:val="00683256"/>
    <w:rsid w:val="00724896"/>
    <w:rsid w:val="007B12FF"/>
    <w:rsid w:val="007E6417"/>
    <w:rsid w:val="008255E4"/>
    <w:rsid w:val="008E68EB"/>
    <w:rsid w:val="0096387A"/>
    <w:rsid w:val="009D6AA5"/>
    <w:rsid w:val="00A65167"/>
    <w:rsid w:val="00A837E1"/>
    <w:rsid w:val="00B42A4F"/>
    <w:rsid w:val="00DB5B3C"/>
    <w:rsid w:val="00EA6CE8"/>
    <w:rsid w:val="00EE0375"/>
    <w:rsid w:val="00EF70A5"/>
    <w:rsid w:val="00F84E33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2F3E47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2F3E47"/>
    <w:rsid w:val="007B2F88"/>
    <w:rsid w:val="00870BB0"/>
    <w:rsid w:val="008F6EE1"/>
    <w:rsid w:val="00A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9</cp:revision>
  <dcterms:created xsi:type="dcterms:W3CDTF">2024-12-11T11:37:00Z</dcterms:created>
  <dcterms:modified xsi:type="dcterms:W3CDTF">2025-01-12T17:46:00Z</dcterms:modified>
</cp:coreProperties>
</file>