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92C1" w14:textId="75A694BE" w:rsidR="00B047A4" w:rsidRDefault="00B047A4" w:rsidP="00B047A4">
      <w:pPr>
        <w:spacing w:after="0"/>
      </w:pPr>
      <w:r>
        <w:t>Jason Luttrell</w:t>
      </w:r>
    </w:p>
    <w:p w14:paraId="1CCE94AA" w14:textId="1B7E3F2D" w:rsidR="00B047A4" w:rsidRDefault="00B047A4" w:rsidP="00B047A4">
      <w:pPr>
        <w:spacing w:after="0"/>
      </w:pPr>
      <w:r>
        <w:t>CSD 370</w:t>
      </w:r>
    </w:p>
    <w:p w14:paraId="2000F030" w14:textId="5C17D497" w:rsidR="00B047A4" w:rsidRDefault="00B047A4" w:rsidP="00B047A4">
      <w:pPr>
        <w:spacing w:after="0"/>
        <w:rPr>
          <w:b/>
          <w:bCs/>
        </w:rPr>
      </w:pPr>
      <w:r>
        <w:t xml:space="preserve">Module 4.2: </w:t>
      </w:r>
      <w:r w:rsidRPr="00B047A4">
        <w:rPr>
          <w:b/>
          <w:bCs/>
        </w:rPr>
        <w:t>Secure Design Principles</w:t>
      </w:r>
    </w:p>
    <w:p w14:paraId="0A46D46E" w14:textId="77777777" w:rsidR="00B047A4" w:rsidRDefault="00B047A4" w:rsidP="00B047A4">
      <w:pPr>
        <w:spacing w:after="0"/>
      </w:pPr>
    </w:p>
    <w:p w14:paraId="782965CB" w14:textId="5F505014" w:rsidR="00B047A4" w:rsidRDefault="00B047A4" w:rsidP="00B047A4">
      <w:pPr>
        <w:pStyle w:val="Title"/>
      </w:pPr>
      <w:r>
        <w:t>A comparison of Three Sets of Secure Design Principles</w:t>
      </w:r>
    </w:p>
    <w:p w14:paraId="22D60AFD" w14:textId="77777777" w:rsidR="00B047A4" w:rsidRPr="00B047A4" w:rsidRDefault="00B047A4" w:rsidP="00B047A4">
      <w:r w:rsidRPr="00B047A4">
        <w:t xml:space="preserve">I compared the Secure Design Principles (SDPs) in the textbook </w:t>
      </w:r>
      <w:r w:rsidRPr="00B047A4">
        <w:rPr>
          <w:i/>
          <w:iCs/>
        </w:rPr>
        <w:t>CSSLP Certified Secure Software Lifecycle Professional All-in-One Exam Guide</w:t>
      </w:r>
      <w:r w:rsidRPr="00B047A4">
        <w:t xml:space="preserve"> with a similar set published by the University of California, Berkeley, and a third set from OWASP.</w:t>
      </w:r>
    </w:p>
    <w:p w14:paraId="087063CE" w14:textId="77777777" w:rsidR="00B047A4" w:rsidRPr="00B047A4" w:rsidRDefault="00B047A4" w:rsidP="00B047A4">
      <w:r w:rsidRPr="00B047A4">
        <w:t xml:space="preserve">The </w:t>
      </w:r>
      <w:proofErr w:type="gramStart"/>
      <w:r w:rsidRPr="00B047A4">
        <w:t>textbook’s</w:t>
      </w:r>
      <w:proofErr w:type="gramEnd"/>
      <w:r w:rsidRPr="00B047A4">
        <w:t xml:space="preserve"> and Berkeley’s lists are shown in the table below. As can be seen, they take different approaches and do not align directly. The textbook presents higher-level concepts, design heuristics, and strategies. In contrast, Berkeley’s list is more specific and focused on implementation topics. There is some overlap—for example, </w:t>
      </w:r>
      <w:r w:rsidRPr="00B047A4">
        <w:rPr>
          <w:i/>
          <w:iCs/>
        </w:rPr>
        <w:t>Error Handling and Logging</w:t>
      </w:r>
      <w:r w:rsidRPr="00B047A4">
        <w:t xml:space="preserve"> from Berkeley is mostly synonymous with the textbook’s </w:t>
      </w:r>
      <w:r w:rsidRPr="00B047A4">
        <w:rPr>
          <w:i/>
          <w:iCs/>
        </w:rPr>
        <w:t>Fail Safe</w:t>
      </w:r>
      <w:r w:rsidRPr="00B047A4">
        <w:t>. However, overall, the two sets categorize practices quite differently.</w:t>
      </w:r>
    </w:p>
    <w:p w14:paraId="5AB18BC8" w14:textId="77777777" w:rsidR="00B047A4" w:rsidRPr="00B047A4" w:rsidRDefault="00B047A4" w:rsidP="00B047A4">
      <w:r w:rsidRPr="00B047A4">
        <w:t xml:space="preserve">For learning about SDPs, the textbook list is effective. However, Berkeley’s list seems better suited as </w:t>
      </w:r>
      <w:proofErr w:type="gramStart"/>
      <w:r w:rsidRPr="00B047A4">
        <w:t>a rubric</w:t>
      </w:r>
      <w:proofErr w:type="gramEnd"/>
      <w:r w:rsidRPr="00B047A4">
        <w:t xml:space="preserve"> for implementation.</w:t>
      </w:r>
    </w:p>
    <w:tbl>
      <w:tblPr>
        <w:tblStyle w:val="PlainTable3"/>
        <w:tblpPr w:leftFromText="180" w:rightFromText="180" w:vertAnchor="text" w:tblpY="1"/>
        <w:tblW w:w="0" w:type="auto"/>
        <w:tblLook w:val="0620" w:firstRow="1" w:lastRow="0" w:firstColumn="0" w:lastColumn="0" w:noHBand="1" w:noVBand="1"/>
      </w:tblPr>
      <w:tblGrid>
        <w:gridCol w:w="3385"/>
        <w:gridCol w:w="4686"/>
      </w:tblGrid>
      <w:tr w:rsidR="00B047A4" w:rsidRPr="00B047A4" w14:paraId="56A3AF05" w14:textId="77777777" w:rsidTr="00B04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  <w:hideMark/>
          </w:tcPr>
          <w:p w14:paraId="5FDBF4A9" w14:textId="77777777" w:rsidR="00B047A4" w:rsidRPr="00B047A4" w:rsidRDefault="00B047A4" w:rsidP="00B047A4">
            <w:pPr>
              <w:spacing w:line="278" w:lineRule="auto"/>
            </w:pPr>
            <w:r w:rsidRPr="00B047A4">
              <w:t>Textbook</w:t>
            </w:r>
          </w:p>
        </w:tc>
        <w:tc>
          <w:tcPr>
            <w:tcW w:w="0" w:type="auto"/>
            <w:vAlign w:val="bottom"/>
            <w:hideMark/>
          </w:tcPr>
          <w:p w14:paraId="1445D907" w14:textId="77777777" w:rsidR="00B047A4" w:rsidRPr="00B047A4" w:rsidRDefault="00B047A4" w:rsidP="00B047A4">
            <w:pPr>
              <w:spacing w:line="278" w:lineRule="auto"/>
            </w:pPr>
            <w:r w:rsidRPr="00B047A4">
              <w:t>Berkeley Secure Coding Guidelines</w:t>
            </w:r>
          </w:p>
        </w:tc>
      </w:tr>
      <w:tr w:rsidR="00B047A4" w:rsidRPr="00B047A4" w14:paraId="5B5AC30E" w14:textId="77777777" w:rsidTr="00B047A4">
        <w:tc>
          <w:tcPr>
            <w:tcW w:w="0" w:type="auto"/>
            <w:hideMark/>
          </w:tcPr>
          <w:p w14:paraId="607E259C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Good Enough Security</w:t>
            </w:r>
          </w:p>
        </w:tc>
        <w:tc>
          <w:tcPr>
            <w:tcW w:w="0" w:type="auto"/>
            <w:hideMark/>
          </w:tcPr>
          <w:p w14:paraId="6275C6DC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Input Validation</w:t>
            </w:r>
          </w:p>
        </w:tc>
      </w:tr>
      <w:tr w:rsidR="00B047A4" w:rsidRPr="00B047A4" w14:paraId="479A1B55" w14:textId="77777777" w:rsidTr="00B047A4">
        <w:tc>
          <w:tcPr>
            <w:tcW w:w="0" w:type="auto"/>
            <w:hideMark/>
          </w:tcPr>
          <w:p w14:paraId="43F9E7D2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Least Privilege</w:t>
            </w:r>
          </w:p>
        </w:tc>
        <w:tc>
          <w:tcPr>
            <w:tcW w:w="0" w:type="auto"/>
            <w:hideMark/>
          </w:tcPr>
          <w:p w14:paraId="653F472B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Output Encoding</w:t>
            </w:r>
          </w:p>
        </w:tc>
      </w:tr>
      <w:tr w:rsidR="00B047A4" w:rsidRPr="00B047A4" w14:paraId="7F5E393B" w14:textId="77777777" w:rsidTr="00B047A4">
        <w:tc>
          <w:tcPr>
            <w:tcW w:w="0" w:type="auto"/>
            <w:hideMark/>
          </w:tcPr>
          <w:p w14:paraId="7E175621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Separation of Duties</w:t>
            </w:r>
          </w:p>
        </w:tc>
        <w:tc>
          <w:tcPr>
            <w:tcW w:w="0" w:type="auto"/>
            <w:hideMark/>
          </w:tcPr>
          <w:p w14:paraId="6050306A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Authentication and Password Management</w:t>
            </w:r>
          </w:p>
        </w:tc>
      </w:tr>
      <w:tr w:rsidR="00B047A4" w:rsidRPr="00B047A4" w14:paraId="565043F4" w14:textId="77777777" w:rsidTr="00B047A4">
        <w:tc>
          <w:tcPr>
            <w:tcW w:w="0" w:type="auto"/>
            <w:hideMark/>
          </w:tcPr>
          <w:p w14:paraId="5CC68DC2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Defense in Depth</w:t>
            </w:r>
          </w:p>
        </w:tc>
        <w:tc>
          <w:tcPr>
            <w:tcW w:w="0" w:type="auto"/>
            <w:hideMark/>
          </w:tcPr>
          <w:p w14:paraId="48393919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Session Management</w:t>
            </w:r>
          </w:p>
        </w:tc>
      </w:tr>
      <w:tr w:rsidR="00B047A4" w:rsidRPr="00B047A4" w14:paraId="557D763E" w14:textId="77777777" w:rsidTr="00B047A4">
        <w:tc>
          <w:tcPr>
            <w:tcW w:w="0" w:type="auto"/>
            <w:hideMark/>
          </w:tcPr>
          <w:p w14:paraId="604BD99B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Fail Safe</w:t>
            </w:r>
          </w:p>
        </w:tc>
        <w:tc>
          <w:tcPr>
            <w:tcW w:w="0" w:type="auto"/>
            <w:hideMark/>
          </w:tcPr>
          <w:p w14:paraId="58E7F3B6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Access Control</w:t>
            </w:r>
          </w:p>
        </w:tc>
      </w:tr>
      <w:tr w:rsidR="00B047A4" w:rsidRPr="00B047A4" w14:paraId="72CE8FBF" w14:textId="77777777" w:rsidTr="00B047A4">
        <w:tc>
          <w:tcPr>
            <w:tcW w:w="0" w:type="auto"/>
            <w:hideMark/>
          </w:tcPr>
          <w:p w14:paraId="492DFC4B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Economy of Mechanism</w:t>
            </w:r>
          </w:p>
        </w:tc>
        <w:tc>
          <w:tcPr>
            <w:tcW w:w="0" w:type="auto"/>
            <w:hideMark/>
          </w:tcPr>
          <w:p w14:paraId="0434A5F0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Cryptographic Practices</w:t>
            </w:r>
          </w:p>
        </w:tc>
      </w:tr>
      <w:tr w:rsidR="00B047A4" w:rsidRPr="00B047A4" w14:paraId="368E25A1" w14:textId="77777777" w:rsidTr="00B047A4">
        <w:tc>
          <w:tcPr>
            <w:tcW w:w="0" w:type="auto"/>
            <w:hideMark/>
          </w:tcPr>
          <w:p w14:paraId="796D8EFD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Complete Mediation</w:t>
            </w:r>
          </w:p>
        </w:tc>
        <w:tc>
          <w:tcPr>
            <w:tcW w:w="0" w:type="auto"/>
            <w:hideMark/>
          </w:tcPr>
          <w:p w14:paraId="7B1382CE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Error Handling and Logging</w:t>
            </w:r>
          </w:p>
        </w:tc>
      </w:tr>
      <w:tr w:rsidR="00B047A4" w:rsidRPr="00B047A4" w14:paraId="1E1C94C1" w14:textId="77777777" w:rsidTr="00B047A4">
        <w:tc>
          <w:tcPr>
            <w:tcW w:w="0" w:type="auto"/>
            <w:hideMark/>
          </w:tcPr>
          <w:p w14:paraId="064650A8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Open Design</w:t>
            </w:r>
          </w:p>
        </w:tc>
        <w:tc>
          <w:tcPr>
            <w:tcW w:w="0" w:type="auto"/>
            <w:hideMark/>
          </w:tcPr>
          <w:p w14:paraId="5290F53A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Data Protection</w:t>
            </w:r>
          </w:p>
        </w:tc>
      </w:tr>
      <w:tr w:rsidR="00B047A4" w:rsidRPr="00B047A4" w14:paraId="7C41F713" w14:textId="77777777" w:rsidTr="00B047A4">
        <w:tc>
          <w:tcPr>
            <w:tcW w:w="0" w:type="auto"/>
            <w:hideMark/>
          </w:tcPr>
          <w:p w14:paraId="49836C0E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Least Common Mechanism</w:t>
            </w:r>
          </w:p>
        </w:tc>
        <w:tc>
          <w:tcPr>
            <w:tcW w:w="0" w:type="auto"/>
            <w:hideMark/>
          </w:tcPr>
          <w:p w14:paraId="51D53AEA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Communication Security</w:t>
            </w:r>
          </w:p>
        </w:tc>
      </w:tr>
      <w:tr w:rsidR="00B047A4" w:rsidRPr="00B047A4" w14:paraId="65EA7418" w14:textId="77777777" w:rsidTr="00B047A4">
        <w:tc>
          <w:tcPr>
            <w:tcW w:w="0" w:type="auto"/>
            <w:hideMark/>
          </w:tcPr>
          <w:p w14:paraId="09B08C77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Weakest Link</w:t>
            </w:r>
          </w:p>
        </w:tc>
        <w:tc>
          <w:tcPr>
            <w:tcW w:w="0" w:type="auto"/>
            <w:hideMark/>
          </w:tcPr>
          <w:p w14:paraId="55096EBF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System Configuration</w:t>
            </w:r>
          </w:p>
        </w:tc>
      </w:tr>
      <w:tr w:rsidR="00B047A4" w:rsidRPr="00B047A4" w14:paraId="35D51510" w14:textId="77777777" w:rsidTr="00B047A4">
        <w:tc>
          <w:tcPr>
            <w:tcW w:w="0" w:type="auto"/>
            <w:hideMark/>
          </w:tcPr>
          <w:p w14:paraId="6E74AD55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Leverage Existing Components</w:t>
            </w:r>
          </w:p>
        </w:tc>
        <w:tc>
          <w:tcPr>
            <w:tcW w:w="0" w:type="auto"/>
            <w:hideMark/>
          </w:tcPr>
          <w:p w14:paraId="0D2A964F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Database Security</w:t>
            </w:r>
          </w:p>
        </w:tc>
      </w:tr>
      <w:tr w:rsidR="00B047A4" w:rsidRPr="00B047A4" w14:paraId="62166F5A" w14:textId="77777777" w:rsidTr="00B047A4">
        <w:tc>
          <w:tcPr>
            <w:tcW w:w="0" w:type="auto"/>
            <w:hideMark/>
          </w:tcPr>
          <w:p w14:paraId="4A95E1C6" w14:textId="77777777" w:rsidR="00B047A4" w:rsidRPr="00B047A4" w:rsidRDefault="00B047A4" w:rsidP="00B047A4">
            <w:pPr>
              <w:spacing w:after="160" w:line="278" w:lineRule="auto"/>
            </w:pPr>
            <w:r w:rsidRPr="00B047A4">
              <w:lastRenderedPageBreak/>
              <w:t>Single Point of Failure</w:t>
            </w:r>
          </w:p>
        </w:tc>
        <w:tc>
          <w:tcPr>
            <w:tcW w:w="0" w:type="auto"/>
            <w:hideMark/>
          </w:tcPr>
          <w:p w14:paraId="73035666" w14:textId="77777777" w:rsidR="00B047A4" w:rsidRPr="00B047A4" w:rsidRDefault="00B047A4" w:rsidP="00B047A4">
            <w:pPr>
              <w:spacing w:after="160" w:line="278" w:lineRule="auto"/>
            </w:pPr>
            <w:r w:rsidRPr="00B047A4">
              <w:t>File Management</w:t>
            </w:r>
          </w:p>
        </w:tc>
      </w:tr>
    </w:tbl>
    <w:p w14:paraId="67758F83" w14:textId="77777777" w:rsidR="00B047A4" w:rsidRDefault="00B047A4" w:rsidP="00B047A4"/>
    <w:p w14:paraId="42D2DE6D" w14:textId="77777777" w:rsidR="00B047A4" w:rsidRDefault="00B047A4" w:rsidP="00B047A4">
      <w:pPr>
        <w:tabs>
          <w:tab w:val="center" w:pos="709"/>
        </w:tabs>
      </w:pPr>
      <w:r>
        <w:tab/>
      </w:r>
    </w:p>
    <w:p w14:paraId="5679AB0B" w14:textId="77777777" w:rsidR="00B047A4" w:rsidRDefault="00B047A4">
      <w:pPr>
        <w:pStyle w:val="Heading1"/>
      </w:pPr>
      <w:r>
        <w:br w:type="textWrapping" w:clear="all"/>
      </w:r>
    </w:p>
    <w:p w14:paraId="14A3A236" w14:textId="77777777" w:rsidR="00B047A4" w:rsidRPr="00B047A4" w:rsidRDefault="00B047A4" w:rsidP="00B047A4">
      <w:r w:rsidRPr="00B047A4">
        <w:t xml:space="preserve">The third list I reviewed is the OWASP </w:t>
      </w:r>
      <w:r w:rsidRPr="00B047A4">
        <w:rPr>
          <w:i/>
          <w:iCs/>
        </w:rPr>
        <w:t>Secure Coding Practices Checklist</w:t>
      </w:r>
      <w:r w:rsidRPr="00B047A4">
        <w:t xml:space="preserve">. This resource is exhaustive, with 14 sections and 243 items—it leaves no stone unturned. As I read through it, I recognized many items I’ve encountered during Fortify scans at work. In a typical development environment, the OWASP checklist might seem like overkill. However, since I work on classified systems, this checklist—though daunting—might be exactly what I need. It would simplify security scans before and after </w:t>
      </w:r>
      <w:proofErr w:type="gramStart"/>
      <w:r w:rsidRPr="00B047A4">
        <w:t>merges</w:t>
      </w:r>
      <w:proofErr w:type="gramEnd"/>
      <w:r w:rsidRPr="00B047A4">
        <w:t xml:space="preserve"> if our team implemented these practices during development, rather than retroactively. It would also help us meet our sprint commitments, since security findings are rarely accounted for in sprint planning.</w:t>
      </w:r>
    </w:p>
    <w:p w14:paraId="6492A398" w14:textId="77777777" w:rsidR="00B047A4" w:rsidRDefault="00B047A4" w:rsidP="00B047A4">
      <w:r w:rsidRPr="00B047A4">
        <w:rPr>
          <w:b/>
          <w:bCs/>
        </w:rPr>
        <w:t>My pick is the OWASP list</w:t>
      </w:r>
      <w:r w:rsidRPr="00B047A4">
        <w:t>, because the systems I work on require the highest security standards available.</w:t>
      </w:r>
    </w:p>
    <w:p w14:paraId="5B0A8886" w14:textId="77777777" w:rsidR="00B047A4" w:rsidRPr="00B047A4" w:rsidRDefault="00B047A4" w:rsidP="00B047A4"/>
    <w:sdt>
      <w:sdtPr>
        <w:id w:val="1878810705"/>
        <w:docPartObj>
          <w:docPartGallery w:val="Bibliographies"/>
          <w:docPartUnique/>
        </w:docPartObj>
      </w:sdtPr>
      <w:sdtContent>
        <w:p w14:paraId="44625FEF" w14:textId="31AD0A87" w:rsidR="00B047A4" w:rsidRPr="00B047A4" w:rsidRDefault="00B047A4" w:rsidP="00B047A4">
          <w:pPr>
            <w:tabs>
              <w:tab w:val="center" w:pos="709"/>
            </w:tabs>
            <w:rPr>
              <w:rStyle w:val="Heading2Char"/>
            </w:rPr>
          </w:pPr>
          <w:r w:rsidRPr="00B047A4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Content>
            <w:p w14:paraId="2F3838E2" w14:textId="77777777" w:rsidR="00B047A4" w:rsidRDefault="00B047A4" w:rsidP="00B047A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Conklin, W. A., &amp; Shoemaker, D. P. (2022). </w:t>
              </w:r>
              <w:r>
                <w:rPr>
                  <w:i/>
                  <w:iCs/>
                  <w:noProof/>
                </w:rPr>
                <w:t>CSSLP Certified Secure Software Lifecycle Professional All-in-One Exam Guide, Third Edition.</w:t>
              </w:r>
              <w:r>
                <w:rPr>
                  <w:noProof/>
                </w:rPr>
                <w:t xml:space="preserve"> New York: McGraw Hill.</w:t>
              </w:r>
            </w:p>
            <w:p w14:paraId="1AEAF0D9" w14:textId="77777777" w:rsidR="00B047A4" w:rsidRDefault="00B047A4" w:rsidP="00B047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OWASP. (2024). </w:t>
              </w:r>
              <w:r>
                <w:rPr>
                  <w:i/>
                  <w:iCs/>
                  <w:noProof/>
                </w:rPr>
                <w:t>Secure Coding Practices Checklist</w:t>
              </w:r>
              <w:r>
                <w:rPr>
                  <w:noProof/>
                </w:rPr>
                <w:t>. Retrieved from owasp.org: https://owasp.org/www-project-secure-coding-practices-quick-reference-guide/stable-en/02-checklist/05-checklist</w:t>
              </w:r>
            </w:p>
            <w:p w14:paraId="422677E5" w14:textId="77777777" w:rsidR="00B047A4" w:rsidRDefault="00B047A4" w:rsidP="00B047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UC Berkely. (2025). </w:t>
              </w:r>
              <w:r>
                <w:rPr>
                  <w:i/>
                  <w:iCs/>
                  <w:noProof/>
                </w:rPr>
                <w:t>Secure Coding Practice Guidelines</w:t>
              </w:r>
              <w:r>
                <w:rPr>
                  <w:noProof/>
                </w:rPr>
                <w:t>. Retrieved from UC Berkely Information Security Office: https://security.berkeley.edu/secure-coding-practice-guidelines</w:t>
              </w:r>
            </w:p>
            <w:p w14:paraId="0D0736E2" w14:textId="7D892751" w:rsidR="00B047A4" w:rsidRDefault="00B047A4" w:rsidP="00B047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3049E8" w14:textId="68FB1EA4" w:rsidR="00666506" w:rsidRPr="000E1D62" w:rsidRDefault="00666506" w:rsidP="000E1D62"/>
    <w:sectPr w:rsidR="00666506" w:rsidRPr="000E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31A7"/>
    <w:multiLevelType w:val="multilevel"/>
    <w:tmpl w:val="064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76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65"/>
    <w:rsid w:val="000E1D62"/>
    <w:rsid w:val="00666506"/>
    <w:rsid w:val="00705F24"/>
    <w:rsid w:val="00730F65"/>
    <w:rsid w:val="00B047A4"/>
    <w:rsid w:val="00B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4FEB"/>
  <w15:chartTrackingRefBased/>
  <w15:docId w15:val="{0A2DF1B6-807C-46B3-A12B-F8D3480F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24"/>
  </w:style>
  <w:style w:type="paragraph" w:styleId="Heading1">
    <w:name w:val="heading 1"/>
    <w:basedOn w:val="Normal"/>
    <w:next w:val="Normal"/>
    <w:link w:val="Heading1Char"/>
    <w:uiPriority w:val="9"/>
    <w:qFormat/>
    <w:rsid w:val="00730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D6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0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05F2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705F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05F2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047A4"/>
  </w:style>
  <w:style w:type="table" w:styleId="PlainTable3">
    <w:name w:val="Plain Table 3"/>
    <w:basedOn w:val="TableNormal"/>
    <w:uiPriority w:val="43"/>
    <w:rsid w:val="00B047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OWA24</b:Tag>
    <b:SourceType>InternetSite</b:SourceType>
    <b:Guid>{2E103B99-0E7F-4AAD-B086-13F009743AB0}</b:Guid>
    <b:Author>
      <b:Author>
        <b:Corporate>OWASP</b:Corporate>
      </b:Author>
    </b:Author>
    <b:Title>Secure Coding Practices Checklist</b:Title>
    <b:InternetSiteTitle>owasp.org</b:InternetSiteTitle>
    <b:Year>2024</b:Year>
    <b:URL>https://owasp.org/www-project-secure-coding-practices-quick-reference-guide/stable-en/02-checklist/05-checklist</b:URL>
    <b:RefOrder>1</b:RefOrder>
  </b:Source>
  <b:Source>
    <b:Tag>UCB25</b:Tag>
    <b:SourceType>InternetSite</b:SourceType>
    <b:Guid>{30A4ED64-E2FC-4733-8890-502C18FDBC3D}</b:Guid>
    <b:Author>
      <b:Author>
        <b:Corporate>UC Berkely</b:Corporate>
      </b:Author>
    </b:Author>
    <b:Title>Secure Coding Practice Guidelines</b:Title>
    <b:InternetSiteTitle>UC Berkely Information Security Office</b:InternetSiteTitle>
    <b:Year>2025</b:Year>
    <b:URL>https://security.berkeley.edu/secure-coding-practice-guidelines</b:URL>
    <b:RefOrder>2</b:RefOrder>
  </b:Source>
  <b:Source>
    <b:Tag>WmA22</b:Tag>
    <b:SourceType>Book</b:SourceType>
    <b:Guid>{314A9D39-E1A9-4AA2-B0B6-D456095332D6}</b:Guid>
    <b:Title>CSSLP Certified Secure Software Lifecycle Professional All-in-One Exam Guide, Third Edition</b:Title>
    <b:Year>2022</b:Year>
    <b:Author>
      <b:Author>
        <b:NameList>
          <b:Person>
            <b:Last>Conklin</b:Last>
            <b:First>Wm.</b:First>
            <b:Middle>Arthur</b:Middle>
          </b:Person>
          <b:Person>
            <b:Last>Shoemaker</b:Last>
            <b:First>Daniel</b:First>
            <b:Middle>Paul</b:Middle>
          </b:Person>
        </b:NameList>
      </b:Author>
    </b:Author>
    <b:City>New York</b:City>
    <b:Publisher>McGraw Hill</b:Publisher>
    <b:RefOrder>3</b:RefOrder>
  </b:Source>
</b:Sources>
</file>

<file path=customXml/itemProps1.xml><?xml version="1.0" encoding="utf-8"?>
<ds:datastoreItem xmlns:ds="http://schemas.openxmlformats.org/officeDocument/2006/customXml" ds:itemID="{9080AC60-255B-4C48-B65D-D0C2E6F6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2025-06-22T22:09:00Z</dcterms:created>
  <dcterms:modified xsi:type="dcterms:W3CDTF">2025-06-23T03:15:00Z</dcterms:modified>
</cp:coreProperties>
</file>