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45776" w14:textId="062863EB" w:rsidR="009A35E9" w:rsidRDefault="009A35E9" w:rsidP="009A35E9">
      <w:pPr>
        <w:spacing w:after="0"/>
        <w:rPr>
          <w:b/>
          <w:bCs/>
        </w:rPr>
      </w:pPr>
      <w:r>
        <w:rPr>
          <w:b/>
          <w:bCs/>
        </w:rPr>
        <w:t>Jason Luttrell</w:t>
      </w:r>
    </w:p>
    <w:p w14:paraId="1E6E38DD" w14:textId="7A06D03F" w:rsidR="009A35E9" w:rsidRDefault="009A35E9" w:rsidP="009A35E9">
      <w:pPr>
        <w:spacing w:after="0"/>
        <w:rPr>
          <w:b/>
          <w:bCs/>
        </w:rPr>
      </w:pPr>
      <w:r>
        <w:rPr>
          <w:b/>
          <w:bCs/>
        </w:rPr>
        <w:t>CSD-380</w:t>
      </w:r>
    </w:p>
    <w:p w14:paraId="4D5F871B" w14:textId="17BBD9AB" w:rsidR="009A35E9" w:rsidRDefault="009A35E9" w:rsidP="009A35E9">
      <w:pPr>
        <w:spacing w:after="0"/>
        <w:rPr>
          <w:b/>
          <w:bCs/>
        </w:rPr>
      </w:pPr>
      <w:r>
        <w:rPr>
          <w:b/>
          <w:bCs/>
        </w:rPr>
        <w:t xml:space="preserve">Assignment 8.2 </w:t>
      </w:r>
    </w:p>
    <w:p w14:paraId="5C2161E2" w14:textId="77777777" w:rsidR="009A35E9" w:rsidRDefault="009A35E9" w:rsidP="009A35E9">
      <w:pPr>
        <w:spacing w:after="0"/>
        <w:rPr>
          <w:b/>
          <w:bCs/>
        </w:rPr>
      </w:pPr>
    </w:p>
    <w:p w14:paraId="521D39AC" w14:textId="449BD747" w:rsidR="009A35E9" w:rsidRPr="009A35E9" w:rsidRDefault="009A35E9" w:rsidP="009A35E9">
      <w:pPr>
        <w:pStyle w:val="Heading1"/>
      </w:pPr>
      <w:r w:rsidRPr="009A35E9">
        <w:t>The Dangers of Change Approval Processes</w:t>
      </w:r>
    </w:p>
    <w:p w14:paraId="463A533A" w14:textId="77777777" w:rsidR="009A35E9" w:rsidRPr="009A35E9" w:rsidRDefault="009A35E9" w:rsidP="009A35E9">
      <w:r w:rsidRPr="009A35E9">
        <w:t>Change approval processes—often centered on a Change Advisory Board (CAB)—exist to reduce risk before changes reach production. In practice, however, heavyweight approvals can create new risks: slower delivery, bigger batch sizes, poorer incident outcomes, and “compliance theater” that adds cost without improving safety. This paper summarizes the main dangers and offers evidence-based alternatives.</w:t>
      </w:r>
    </w:p>
    <w:p w14:paraId="4697A672" w14:textId="77777777" w:rsidR="009A35E9" w:rsidRPr="009A35E9" w:rsidRDefault="009A35E9" w:rsidP="009A35E9">
      <w:pPr>
        <w:pStyle w:val="Heading3"/>
      </w:pPr>
      <w:r w:rsidRPr="009A35E9">
        <w:t>1) Delivery Latency and Queueing Risk</w:t>
      </w:r>
    </w:p>
    <w:p w14:paraId="42D93D1A" w14:textId="77777777" w:rsidR="009A35E9" w:rsidRPr="009A35E9" w:rsidRDefault="009A35E9" w:rsidP="009A35E9">
      <w:r w:rsidRPr="009A35E9">
        <w:t>External approvals inject wait states. Work idles while teams prepare artifacts, schedule the CAB, and address non-blocking comments. The DevOps Research &amp; Assessment (DORA) program found that heavyweight/external approvals are negatively correlated with lead time and deployment frequency—and not correlated with lower change failure rates (i.e., they don’t improve stability) (DORA, 2019). A separate summary echoes this: “approval by an external body … doesn’t work to increase the stability of production systems … [but] certainly slows things down” (BCS Edinburgh, 2021). Longer queues also encourage bigger batch sizes, which raise blast radius and rollback complexity.</w:t>
      </w:r>
    </w:p>
    <w:p w14:paraId="2309F88C" w14:textId="77777777" w:rsidR="009A35E9" w:rsidRPr="009A35E9" w:rsidRDefault="009A35E9" w:rsidP="009A35E9">
      <w:pPr>
        <w:pStyle w:val="Heading3"/>
      </w:pPr>
      <w:r w:rsidRPr="009A35E9">
        <w:t>2) Slower Incident Recovery and Higher MTTR</w:t>
      </w:r>
    </w:p>
    <w:p w14:paraId="5090CE21" w14:textId="77777777" w:rsidR="009A35E9" w:rsidRPr="009A35E9" w:rsidRDefault="009A35E9" w:rsidP="009A35E9">
      <w:r w:rsidRPr="009A35E9">
        <w:t>When releases bunch up behind approval gates, defects surface in larger, more complex changes that are harder to diagnose. DORA’s research links heavyweight approvals with worse restore times (MTTR) (BCS Edinburgh, 2021). Google’s SRE guidance advises streamlining or making the CAB strategic, aligning with continuous delivery rather than serial gatekeeping (Google SRE, 2022). The operational danger is clear: slow approval ≠ safe systems; it can delay fixes and increase user impact.</w:t>
      </w:r>
    </w:p>
    <w:p w14:paraId="5E409576" w14:textId="77777777" w:rsidR="009A35E9" w:rsidRPr="009A35E9" w:rsidRDefault="009A35E9" w:rsidP="009A35E9">
      <w:pPr>
        <w:pStyle w:val="Heading3"/>
      </w:pPr>
      <w:r w:rsidRPr="009A35E9">
        <w:t>3) Rubber-Stamping and False Confidence</w:t>
      </w:r>
    </w:p>
    <w:p w14:paraId="6EB2C906" w14:textId="77777777" w:rsidR="009A35E9" w:rsidRPr="009A35E9" w:rsidRDefault="009A35E9" w:rsidP="009A35E9">
      <w:r w:rsidRPr="009A35E9">
        <w:t>As ticket volume grows, boards trend toward superficial reviews. The ritual becomes compliance theater: boxes checked, risks assumed to be managed, but reviewers lack context or time for meaningful critique. This creates false confidence while distracting from more effective safeguards (automated testing, progressive delivery, and fast rollback).</w:t>
      </w:r>
    </w:p>
    <w:p w14:paraId="5BD6E05E" w14:textId="77777777" w:rsidR="009A35E9" w:rsidRPr="009A35E9" w:rsidRDefault="009A35E9" w:rsidP="009A35E9">
      <w:pPr>
        <w:rPr>
          <w:b/>
          <w:bCs/>
        </w:rPr>
      </w:pPr>
      <w:r w:rsidRPr="009A35E9">
        <w:rPr>
          <w:b/>
          <w:bCs/>
        </w:rPr>
        <w:t>4) Shadow Changes and Policy Evasion</w:t>
      </w:r>
    </w:p>
    <w:p w14:paraId="5D6A5348" w14:textId="77777777" w:rsidR="009A35E9" w:rsidRPr="009A35E9" w:rsidRDefault="009A35E9" w:rsidP="009A35E9">
      <w:r w:rsidRPr="009A35E9">
        <w:lastRenderedPageBreak/>
        <w:t>When approval cycles are unpredictable, teams create workarounds: bundling unrelated changes to “make the meeting,” deploying off-hours, or skipping controls for “emergencies.” These behaviors increase untracked risk and degrade the very governance the CAB intended to provide.</w:t>
      </w:r>
    </w:p>
    <w:p w14:paraId="5309E8E4" w14:textId="77777777" w:rsidR="009A35E9" w:rsidRPr="009A35E9" w:rsidRDefault="009A35E9" w:rsidP="009A35E9">
      <w:pPr>
        <w:pStyle w:val="Heading3"/>
      </w:pPr>
      <w:r w:rsidRPr="009A35E9">
        <w:t>5) Talent Friction and Knowledge Silos</w:t>
      </w:r>
    </w:p>
    <w:p w14:paraId="12633C77" w14:textId="5C17B8D5" w:rsidR="009A35E9" w:rsidRPr="009A35E9" w:rsidRDefault="009A35E9" w:rsidP="009A35E9">
      <w:r w:rsidRPr="009A35E9">
        <w:t xml:space="preserve">Slow approval loops push architectural and operational decisions upward, reducing engineer ownership and slowing learning. Over time, this centralizes decision-making in a small group, creating bottlenecks and silos, and discouraging the </w:t>
      </w:r>
      <w:r w:rsidRPr="009A35E9">
        <w:rPr>
          <w:b/>
          <w:bCs/>
        </w:rPr>
        <w:t>fast feedback</w:t>
      </w:r>
      <w:r w:rsidRPr="009A35E9">
        <w:t xml:space="preserve"> loops modern reliability practices require.</w:t>
      </w:r>
    </w:p>
    <w:p w14:paraId="04136B7D" w14:textId="77777777" w:rsidR="009A35E9" w:rsidRPr="009A35E9" w:rsidRDefault="009A35E9" w:rsidP="009A35E9">
      <w:pPr>
        <w:pStyle w:val="Heading3"/>
      </w:pPr>
      <w:r w:rsidRPr="009A35E9">
        <w:t>What to Do Instead (Evidence-Based Practices)</w:t>
      </w:r>
    </w:p>
    <w:p w14:paraId="780F4E1C" w14:textId="77777777" w:rsidR="009A35E9" w:rsidRPr="009A35E9" w:rsidRDefault="009A35E9" w:rsidP="009A35E9">
      <w:pPr>
        <w:numPr>
          <w:ilvl w:val="0"/>
          <w:numId w:val="1"/>
        </w:numPr>
      </w:pPr>
      <w:r w:rsidRPr="009A35E9">
        <w:rPr>
          <w:b/>
          <w:bCs/>
        </w:rPr>
        <w:t>Risk-based, lightweight approvals.</w:t>
      </w:r>
      <w:r w:rsidRPr="009A35E9">
        <w:t xml:space="preserve"> Replace blanket CAB gates with </w:t>
      </w:r>
      <w:r w:rsidRPr="009A35E9">
        <w:rPr>
          <w:b/>
          <w:bCs/>
        </w:rPr>
        <w:t>peer review</w:t>
      </w:r>
      <w:r w:rsidRPr="009A35E9">
        <w:t xml:space="preserve"> (pairing or intra-team code review) and automated checks for most </w:t>
      </w:r>
      <w:proofErr w:type="gramStart"/>
      <w:r w:rsidRPr="009A35E9">
        <w:t>changes;</w:t>
      </w:r>
      <w:proofErr w:type="gramEnd"/>
      <w:r w:rsidRPr="009A35E9">
        <w:t xml:space="preserve"> reserve formal approvals for truly high-risk items. DORA reports that </w:t>
      </w:r>
      <w:r w:rsidRPr="009A35E9">
        <w:rPr>
          <w:b/>
          <w:bCs/>
        </w:rPr>
        <w:t>lightweight, peer-based change approval outperforms external boards</w:t>
      </w:r>
      <w:r w:rsidRPr="009A35E9">
        <w:t xml:space="preserve"> on speed and stability (Forsgren, Humble, &amp; Kim, 2018/2019).</w:t>
      </w:r>
    </w:p>
    <w:p w14:paraId="7E346EBF" w14:textId="77777777" w:rsidR="009A35E9" w:rsidRPr="009A35E9" w:rsidRDefault="009A35E9" w:rsidP="009A35E9">
      <w:pPr>
        <w:numPr>
          <w:ilvl w:val="0"/>
          <w:numId w:val="1"/>
        </w:numPr>
      </w:pPr>
      <w:r w:rsidRPr="009A35E9">
        <w:rPr>
          <w:b/>
          <w:bCs/>
        </w:rPr>
        <w:t>Automate verification.</w:t>
      </w:r>
      <w:r w:rsidRPr="009A35E9">
        <w:t xml:space="preserve"> Invest in CI/CD, automated tests, security scans, and policy-as-code so safety comes from </w:t>
      </w:r>
      <w:r w:rsidRPr="009A35E9">
        <w:rPr>
          <w:b/>
          <w:bCs/>
        </w:rPr>
        <w:t>repeatable automation</w:t>
      </w:r>
      <w:r w:rsidRPr="009A35E9">
        <w:t>, not meeting attendance. Google recommends streamlining approvals within continuous delivery practices (Google SRE, 2022).</w:t>
      </w:r>
    </w:p>
    <w:p w14:paraId="3C8988DA" w14:textId="77777777" w:rsidR="009A35E9" w:rsidRPr="009A35E9" w:rsidRDefault="009A35E9" w:rsidP="009A35E9">
      <w:pPr>
        <w:numPr>
          <w:ilvl w:val="0"/>
          <w:numId w:val="1"/>
        </w:numPr>
      </w:pPr>
      <w:r w:rsidRPr="009A35E9">
        <w:rPr>
          <w:b/>
          <w:bCs/>
        </w:rPr>
        <w:t>Progressive delivery.</w:t>
      </w:r>
      <w:r w:rsidRPr="009A35E9">
        <w:t xml:space="preserve"> Use small batches, feature flags, canaries, and staged rollouts to </w:t>
      </w:r>
      <w:r w:rsidRPr="009A35E9">
        <w:rPr>
          <w:b/>
          <w:bCs/>
        </w:rPr>
        <w:t>limit blast radius</w:t>
      </w:r>
      <w:r w:rsidRPr="009A35E9">
        <w:t xml:space="preserve"> and enable fast rollback—superior to upfront committee review at predicting real-world behavior.</w:t>
      </w:r>
    </w:p>
    <w:p w14:paraId="0353E997" w14:textId="77777777" w:rsidR="009A35E9" w:rsidRPr="009A35E9" w:rsidRDefault="009A35E9" w:rsidP="009A35E9">
      <w:pPr>
        <w:numPr>
          <w:ilvl w:val="0"/>
          <w:numId w:val="1"/>
        </w:numPr>
      </w:pPr>
      <w:r w:rsidRPr="009A35E9">
        <w:rPr>
          <w:b/>
          <w:bCs/>
        </w:rPr>
        <w:t>Standard and pre-approved changes.</w:t>
      </w:r>
      <w:r w:rsidRPr="009A35E9">
        <w:t xml:space="preserve"> ITIL 4 reframes “change management” as </w:t>
      </w:r>
      <w:r w:rsidRPr="009A35E9">
        <w:rPr>
          <w:b/>
          <w:bCs/>
        </w:rPr>
        <w:t>change enablement</w:t>
      </w:r>
      <w:r w:rsidRPr="009A35E9">
        <w:t xml:space="preserve">, emphasizing facilitation, automation, and </w:t>
      </w:r>
      <w:r w:rsidRPr="009A35E9">
        <w:rPr>
          <w:b/>
          <w:bCs/>
        </w:rPr>
        <w:t>pre-authorized</w:t>
      </w:r>
      <w:r w:rsidRPr="009A35E9">
        <w:t xml:space="preserve"> low-risk changes rather than rigid control (</w:t>
      </w:r>
      <w:proofErr w:type="spellStart"/>
      <w:r w:rsidRPr="009A35E9">
        <w:t>ITSM.tools</w:t>
      </w:r>
      <w:proofErr w:type="spellEnd"/>
      <w:r w:rsidRPr="009A35E9">
        <w:t>, 2025; AXELOS, 2023).</w:t>
      </w:r>
    </w:p>
    <w:p w14:paraId="1EC946F9" w14:textId="29AD30DB" w:rsidR="009A35E9" w:rsidRPr="009A35E9" w:rsidRDefault="009A35E9" w:rsidP="009A35E9">
      <w:pPr>
        <w:numPr>
          <w:ilvl w:val="0"/>
          <w:numId w:val="1"/>
        </w:numPr>
      </w:pPr>
      <w:r w:rsidRPr="009A35E9">
        <w:rPr>
          <w:b/>
          <w:bCs/>
        </w:rPr>
        <w:t>Measure outcomes.</w:t>
      </w:r>
      <w:r w:rsidRPr="009A35E9">
        <w:t xml:space="preserve"> Track lead time, deployment frequency, change failure rate, and MTTR. If approval steps don’t improve safety metrics, they should be removed or redesigned.</w:t>
      </w:r>
    </w:p>
    <w:p w14:paraId="2AB49274" w14:textId="77777777" w:rsidR="009A35E9" w:rsidRPr="009A35E9" w:rsidRDefault="009A35E9" w:rsidP="009A35E9">
      <w:pPr>
        <w:pStyle w:val="Heading3"/>
      </w:pPr>
      <w:r w:rsidRPr="009A35E9">
        <w:t>Conclusion</w:t>
      </w:r>
    </w:p>
    <w:p w14:paraId="6C63375E" w14:textId="77777777" w:rsidR="009A35E9" w:rsidRPr="009A35E9" w:rsidRDefault="009A35E9" w:rsidP="009A35E9">
      <w:r w:rsidRPr="009A35E9">
        <w:t xml:space="preserve">Heavyweight change approval processes aim to reduce risk but commonly increase it by slowing flow, inflating batch size, undermining incident response, and encouraging workarounds. The research consensus is clear: external CAB approvals do not correlate with better stability, but they do correlate with worse delivery performance. Modern practice shifts to risk-based, </w:t>
      </w:r>
      <w:r w:rsidRPr="009A35E9">
        <w:lastRenderedPageBreak/>
        <w:t>automated, and decentralized controls—peer review, continuous testing, small batches, progressive delivery—while reserving formal approvals for truly exceptional risk. In short, safety emerges from engineered feedback loops, not meeting gates.</w:t>
      </w:r>
    </w:p>
    <w:p w14:paraId="354FF913" w14:textId="559CFC5C" w:rsidR="009A35E9" w:rsidRPr="009A35E9" w:rsidRDefault="009A35E9" w:rsidP="009A35E9"/>
    <w:p w14:paraId="58132558" w14:textId="77777777" w:rsidR="009A35E9" w:rsidRPr="009A35E9" w:rsidRDefault="009A35E9" w:rsidP="009A35E9">
      <w:pPr>
        <w:pStyle w:val="Heading3"/>
      </w:pPr>
      <w:r w:rsidRPr="009A35E9">
        <w:t>References</w:t>
      </w:r>
    </w:p>
    <w:p w14:paraId="718C79D5" w14:textId="77777777" w:rsidR="009A35E9" w:rsidRPr="009A35E9" w:rsidRDefault="009A35E9" w:rsidP="009A35E9">
      <w:r w:rsidRPr="009A35E9">
        <w:t xml:space="preserve">AXELOS. (2023, November 30). </w:t>
      </w:r>
      <w:r w:rsidRPr="009A35E9">
        <w:rPr>
          <w:i/>
          <w:iCs/>
        </w:rPr>
        <w:t>ITIL 4 practitioner: Change enablement</w:t>
      </w:r>
      <w:r w:rsidRPr="009A35E9">
        <w:t xml:space="preserve">. </w:t>
      </w:r>
      <w:hyperlink r:id="rId6" w:tgtFrame="_new" w:history="1">
        <w:r w:rsidRPr="009A35E9">
          <w:rPr>
            <w:rStyle w:val="Hyperlink"/>
          </w:rPr>
          <w:t>https://www.axelos.com/resource-hub/blog/itil_4_practitioner_change_enablement</w:t>
        </w:r>
      </w:hyperlink>
      <w:r w:rsidRPr="009A35E9">
        <w:t xml:space="preserve"> </w:t>
      </w:r>
      <w:hyperlink r:id="rId7" w:tgtFrame="_blank" w:history="1">
        <w:r w:rsidRPr="009A35E9">
          <w:rPr>
            <w:rStyle w:val="Hyperlink"/>
          </w:rPr>
          <w:t>axelos.com</w:t>
        </w:r>
      </w:hyperlink>
    </w:p>
    <w:p w14:paraId="352ACA8E" w14:textId="77777777" w:rsidR="009A35E9" w:rsidRPr="009A35E9" w:rsidRDefault="009A35E9" w:rsidP="009A35E9">
      <w:r w:rsidRPr="009A35E9">
        <w:t xml:space="preserve">BCS Edinburgh. (2021, January 21). </w:t>
      </w:r>
      <w:r w:rsidRPr="009A35E9">
        <w:rPr>
          <w:i/>
          <w:iCs/>
        </w:rPr>
        <w:t>DevOps and the future of change management</w:t>
      </w:r>
      <w:r w:rsidRPr="009A35E9">
        <w:t xml:space="preserve"> (slides). </w:t>
      </w:r>
      <w:hyperlink r:id="rId8" w:tgtFrame="_new" w:history="1">
        <w:r w:rsidRPr="009A35E9">
          <w:rPr>
            <w:rStyle w:val="Hyperlink"/>
          </w:rPr>
          <w:t>https://edinburgh.bcs.org/events/2021/devops.pdf</w:t>
        </w:r>
      </w:hyperlink>
      <w:r w:rsidRPr="009A35E9">
        <w:t xml:space="preserve"> </w:t>
      </w:r>
      <w:hyperlink r:id="rId9" w:tgtFrame="_blank" w:history="1">
        <w:r w:rsidRPr="009A35E9">
          <w:rPr>
            <w:rStyle w:val="Hyperlink"/>
          </w:rPr>
          <w:t>edinburgh.bcs.org</w:t>
        </w:r>
      </w:hyperlink>
    </w:p>
    <w:p w14:paraId="45A96BE6" w14:textId="77777777" w:rsidR="009A35E9" w:rsidRPr="009A35E9" w:rsidRDefault="009A35E9" w:rsidP="009A35E9">
      <w:r w:rsidRPr="009A35E9">
        <w:t xml:space="preserve">DORA. (2019). </w:t>
      </w:r>
      <w:r w:rsidRPr="009A35E9">
        <w:rPr>
          <w:i/>
          <w:iCs/>
        </w:rPr>
        <w:t>Accelerate: State of DevOps report</w:t>
      </w:r>
      <w:r w:rsidRPr="009A35E9">
        <w:t xml:space="preserve">. </w:t>
      </w:r>
      <w:hyperlink r:id="rId10" w:tgtFrame="_new" w:history="1">
        <w:r w:rsidRPr="009A35E9">
          <w:rPr>
            <w:rStyle w:val="Hyperlink"/>
          </w:rPr>
          <w:t>https://dora.dev/research/2019/dora-report/2019-dora-accelerate-state-of-devops-report.pdf</w:t>
        </w:r>
      </w:hyperlink>
      <w:r w:rsidRPr="009A35E9">
        <w:t xml:space="preserve"> </w:t>
      </w:r>
      <w:hyperlink r:id="rId11" w:tgtFrame="_blank" w:history="1">
        <w:r w:rsidRPr="009A35E9">
          <w:rPr>
            <w:rStyle w:val="Hyperlink"/>
          </w:rPr>
          <w:t>Dora</w:t>
        </w:r>
      </w:hyperlink>
    </w:p>
    <w:p w14:paraId="0F9D26E2" w14:textId="77777777" w:rsidR="009A35E9" w:rsidRPr="009A35E9" w:rsidRDefault="009A35E9" w:rsidP="009A35E9">
      <w:r w:rsidRPr="009A35E9">
        <w:t xml:space="preserve">Google SRE. (2022, January 20). </w:t>
      </w:r>
      <w:r w:rsidRPr="009A35E9">
        <w:rPr>
          <w:i/>
          <w:iCs/>
        </w:rPr>
        <w:t>Enterprise roadmap to SRE</w:t>
      </w:r>
      <w:r w:rsidRPr="009A35E9">
        <w:t xml:space="preserve"> (whitepaper). </w:t>
      </w:r>
      <w:hyperlink r:id="rId12" w:tgtFrame="_new" w:history="1">
        <w:r w:rsidRPr="009A35E9">
          <w:rPr>
            <w:rStyle w:val="Hyperlink"/>
          </w:rPr>
          <w:t>https://sre.google/static/pdf/enterprise-roadmap-to-sre.pdf</w:t>
        </w:r>
      </w:hyperlink>
      <w:r w:rsidRPr="009A35E9">
        <w:t xml:space="preserve"> </w:t>
      </w:r>
      <w:hyperlink r:id="rId13" w:tgtFrame="_blank" w:history="1">
        <w:r w:rsidRPr="009A35E9">
          <w:rPr>
            <w:rStyle w:val="Hyperlink"/>
          </w:rPr>
          <w:t>Google SRE</w:t>
        </w:r>
      </w:hyperlink>
    </w:p>
    <w:p w14:paraId="1AE954CA" w14:textId="77777777" w:rsidR="009A35E9" w:rsidRPr="009A35E9" w:rsidRDefault="009A35E9" w:rsidP="009A35E9">
      <w:proofErr w:type="spellStart"/>
      <w:r w:rsidRPr="009A35E9">
        <w:t>ITSM.tools</w:t>
      </w:r>
      <w:proofErr w:type="spellEnd"/>
      <w:r w:rsidRPr="009A35E9">
        <w:t xml:space="preserve">. (2025, March 11). </w:t>
      </w:r>
      <w:r w:rsidRPr="009A35E9">
        <w:rPr>
          <w:i/>
          <w:iCs/>
        </w:rPr>
        <w:t>Change enablement – Change management in ITIL 4</w:t>
      </w:r>
      <w:r w:rsidRPr="009A35E9">
        <w:t xml:space="preserve">. </w:t>
      </w:r>
      <w:hyperlink r:id="rId14" w:tgtFrame="_new" w:history="1">
        <w:r w:rsidRPr="009A35E9">
          <w:rPr>
            <w:rStyle w:val="Hyperlink"/>
          </w:rPr>
          <w:t>https://itsm.tools/change-enablement/</w:t>
        </w:r>
      </w:hyperlink>
      <w:r w:rsidRPr="009A35E9">
        <w:t xml:space="preserve"> </w:t>
      </w:r>
      <w:hyperlink r:id="rId15" w:tgtFrame="_blank" w:history="1">
        <w:proofErr w:type="spellStart"/>
        <w:r w:rsidRPr="009A35E9">
          <w:rPr>
            <w:rStyle w:val="Hyperlink"/>
          </w:rPr>
          <w:t>ITSM.tools</w:t>
        </w:r>
        <w:proofErr w:type="spellEnd"/>
      </w:hyperlink>
    </w:p>
    <w:p w14:paraId="04669510" w14:textId="77777777" w:rsidR="009A35E9" w:rsidRPr="009A35E9" w:rsidRDefault="009A35E9" w:rsidP="009A35E9">
      <w:r w:rsidRPr="009A35E9">
        <w:t xml:space="preserve">Forsgren, N., Humble, J., &amp; Kim, G. (2018). </w:t>
      </w:r>
      <w:r w:rsidRPr="009A35E9">
        <w:rPr>
          <w:i/>
          <w:iCs/>
        </w:rPr>
        <w:t>Accelerate: The science of lean software and DevOps</w:t>
      </w:r>
      <w:r w:rsidRPr="009A35E9">
        <w:t xml:space="preserve">. (Research excerpt). </w:t>
      </w:r>
      <w:hyperlink r:id="rId16" w:tgtFrame="_new" w:history="1">
        <w:r w:rsidRPr="009A35E9">
          <w:rPr>
            <w:rStyle w:val="Hyperlink"/>
          </w:rPr>
          <w:t>https://itrevolution.com/wp-content/uploads/2022/06/ACC_excerpt.pdf</w:t>
        </w:r>
      </w:hyperlink>
      <w:r w:rsidRPr="009A35E9">
        <w:t xml:space="preserve"> </w:t>
      </w:r>
      <w:hyperlink r:id="rId17" w:tgtFrame="_blank" w:history="1">
        <w:r w:rsidRPr="009A35E9">
          <w:rPr>
            <w:rStyle w:val="Hyperlink"/>
          </w:rPr>
          <w:t>IT Revolution</w:t>
        </w:r>
      </w:hyperlink>
    </w:p>
    <w:p w14:paraId="77F7B035" w14:textId="31687664" w:rsidR="00064217" w:rsidRPr="009A35E9" w:rsidRDefault="00064217" w:rsidP="009A35E9"/>
    <w:sectPr w:rsidR="00064217" w:rsidRPr="009A3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31300"/>
    <w:multiLevelType w:val="multilevel"/>
    <w:tmpl w:val="53C0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91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35E9"/>
    <w:rsid w:val="00064217"/>
    <w:rsid w:val="00442F31"/>
    <w:rsid w:val="008069C5"/>
    <w:rsid w:val="009A35E9"/>
    <w:rsid w:val="00B75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ED04"/>
  <w15:chartTrackingRefBased/>
  <w15:docId w15:val="{27F1E4B7-9729-4CE6-A1A0-A84D9AF12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3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3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3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3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5E9"/>
    <w:rPr>
      <w:rFonts w:eastAsiaTheme="majorEastAsia" w:cstheme="majorBidi"/>
      <w:color w:val="272727" w:themeColor="text1" w:themeTint="D8"/>
    </w:rPr>
  </w:style>
  <w:style w:type="paragraph" w:styleId="Title">
    <w:name w:val="Title"/>
    <w:basedOn w:val="Normal"/>
    <w:next w:val="Normal"/>
    <w:link w:val="TitleChar"/>
    <w:uiPriority w:val="10"/>
    <w:qFormat/>
    <w:rsid w:val="009A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5E9"/>
    <w:pPr>
      <w:spacing w:before="160"/>
      <w:jc w:val="center"/>
    </w:pPr>
    <w:rPr>
      <w:i/>
      <w:iCs/>
      <w:color w:val="404040" w:themeColor="text1" w:themeTint="BF"/>
    </w:rPr>
  </w:style>
  <w:style w:type="character" w:customStyle="1" w:styleId="QuoteChar">
    <w:name w:val="Quote Char"/>
    <w:basedOn w:val="DefaultParagraphFont"/>
    <w:link w:val="Quote"/>
    <w:uiPriority w:val="29"/>
    <w:rsid w:val="009A35E9"/>
    <w:rPr>
      <w:i/>
      <w:iCs/>
      <w:color w:val="404040" w:themeColor="text1" w:themeTint="BF"/>
    </w:rPr>
  </w:style>
  <w:style w:type="paragraph" w:styleId="ListParagraph">
    <w:name w:val="List Paragraph"/>
    <w:basedOn w:val="Normal"/>
    <w:uiPriority w:val="34"/>
    <w:qFormat/>
    <w:rsid w:val="009A35E9"/>
    <w:pPr>
      <w:ind w:left="720"/>
      <w:contextualSpacing/>
    </w:pPr>
  </w:style>
  <w:style w:type="character" w:styleId="IntenseEmphasis">
    <w:name w:val="Intense Emphasis"/>
    <w:basedOn w:val="DefaultParagraphFont"/>
    <w:uiPriority w:val="21"/>
    <w:qFormat/>
    <w:rsid w:val="009A35E9"/>
    <w:rPr>
      <w:i/>
      <w:iCs/>
      <w:color w:val="2F5496" w:themeColor="accent1" w:themeShade="BF"/>
    </w:rPr>
  </w:style>
  <w:style w:type="paragraph" w:styleId="IntenseQuote">
    <w:name w:val="Intense Quote"/>
    <w:basedOn w:val="Normal"/>
    <w:next w:val="Normal"/>
    <w:link w:val="IntenseQuoteChar"/>
    <w:uiPriority w:val="30"/>
    <w:qFormat/>
    <w:rsid w:val="009A3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5E9"/>
    <w:rPr>
      <w:i/>
      <w:iCs/>
      <w:color w:val="2F5496" w:themeColor="accent1" w:themeShade="BF"/>
    </w:rPr>
  </w:style>
  <w:style w:type="character" w:styleId="IntenseReference">
    <w:name w:val="Intense Reference"/>
    <w:basedOn w:val="DefaultParagraphFont"/>
    <w:uiPriority w:val="32"/>
    <w:qFormat/>
    <w:rsid w:val="009A35E9"/>
    <w:rPr>
      <w:b/>
      <w:bCs/>
      <w:smallCaps/>
      <w:color w:val="2F5496" w:themeColor="accent1" w:themeShade="BF"/>
      <w:spacing w:val="5"/>
    </w:rPr>
  </w:style>
  <w:style w:type="paragraph" w:styleId="Bibliography">
    <w:name w:val="Bibliography"/>
    <w:basedOn w:val="Normal"/>
    <w:next w:val="Normal"/>
    <w:uiPriority w:val="37"/>
    <w:unhideWhenUsed/>
    <w:rsid w:val="009A35E9"/>
  </w:style>
  <w:style w:type="character" w:styleId="Hyperlink">
    <w:name w:val="Hyperlink"/>
    <w:basedOn w:val="DefaultParagraphFont"/>
    <w:uiPriority w:val="99"/>
    <w:unhideWhenUsed/>
    <w:rsid w:val="009A35E9"/>
    <w:rPr>
      <w:color w:val="0563C1" w:themeColor="hyperlink"/>
      <w:u w:val="single"/>
    </w:rPr>
  </w:style>
  <w:style w:type="character" w:styleId="UnresolvedMention">
    <w:name w:val="Unresolved Mention"/>
    <w:basedOn w:val="DefaultParagraphFont"/>
    <w:uiPriority w:val="99"/>
    <w:semiHidden/>
    <w:unhideWhenUsed/>
    <w:rsid w:val="009A3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30479">
      <w:bodyDiv w:val="1"/>
      <w:marLeft w:val="0"/>
      <w:marRight w:val="0"/>
      <w:marTop w:val="0"/>
      <w:marBottom w:val="0"/>
      <w:divBdr>
        <w:top w:val="none" w:sz="0" w:space="0" w:color="auto"/>
        <w:left w:val="none" w:sz="0" w:space="0" w:color="auto"/>
        <w:bottom w:val="none" w:sz="0" w:space="0" w:color="auto"/>
        <w:right w:val="none" w:sz="0" w:space="0" w:color="auto"/>
      </w:divBdr>
    </w:div>
    <w:div w:id="439955871">
      <w:bodyDiv w:val="1"/>
      <w:marLeft w:val="0"/>
      <w:marRight w:val="0"/>
      <w:marTop w:val="0"/>
      <w:marBottom w:val="0"/>
      <w:divBdr>
        <w:top w:val="none" w:sz="0" w:space="0" w:color="auto"/>
        <w:left w:val="none" w:sz="0" w:space="0" w:color="auto"/>
        <w:bottom w:val="none" w:sz="0" w:space="0" w:color="auto"/>
        <w:right w:val="none" w:sz="0" w:space="0" w:color="auto"/>
      </w:divBdr>
    </w:div>
    <w:div w:id="511794960">
      <w:bodyDiv w:val="1"/>
      <w:marLeft w:val="0"/>
      <w:marRight w:val="0"/>
      <w:marTop w:val="0"/>
      <w:marBottom w:val="0"/>
      <w:divBdr>
        <w:top w:val="none" w:sz="0" w:space="0" w:color="auto"/>
        <w:left w:val="none" w:sz="0" w:space="0" w:color="auto"/>
        <w:bottom w:val="none" w:sz="0" w:space="0" w:color="auto"/>
        <w:right w:val="none" w:sz="0" w:space="0" w:color="auto"/>
      </w:divBdr>
    </w:div>
    <w:div w:id="680164057">
      <w:bodyDiv w:val="1"/>
      <w:marLeft w:val="0"/>
      <w:marRight w:val="0"/>
      <w:marTop w:val="0"/>
      <w:marBottom w:val="0"/>
      <w:divBdr>
        <w:top w:val="none" w:sz="0" w:space="0" w:color="auto"/>
        <w:left w:val="none" w:sz="0" w:space="0" w:color="auto"/>
        <w:bottom w:val="none" w:sz="0" w:space="0" w:color="auto"/>
        <w:right w:val="none" w:sz="0" w:space="0" w:color="auto"/>
      </w:divBdr>
    </w:div>
    <w:div w:id="1037121235">
      <w:bodyDiv w:val="1"/>
      <w:marLeft w:val="0"/>
      <w:marRight w:val="0"/>
      <w:marTop w:val="0"/>
      <w:marBottom w:val="0"/>
      <w:divBdr>
        <w:top w:val="none" w:sz="0" w:space="0" w:color="auto"/>
        <w:left w:val="none" w:sz="0" w:space="0" w:color="auto"/>
        <w:bottom w:val="none" w:sz="0" w:space="0" w:color="auto"/>
        <w:right w:val="none" w:sz="0" w:space="0" w:color="auto"/>
      </w:divBdr>
    </w:div>
    <w:div w:id="1102451729">
      <w:bodyDiv w:val="1"/>
      <w:marLeft w:val="0"/>
      <w:marRight w:val="0"/>
      <w:marTop w:val="0"/>
      <w:marBottom w:val="0"/>
      <w:divBdr>
        <w:top w:val="none" w:sz="0" w:space="0" w:color="auto"/>
        <w:left w:val="none" w:sz="0" w:space="0" w:color="auto"/>
        <w:bottom w:val="none" w:sz="0" w:space="0" w:color="auto"/>
        <w:right w:val="none" w:sz="0" w:space="0" w:color="auto"/>
      </w:divBdr>
    </w:div>
    <w:div w:id="1167474442">
      <w:bodyDiv w:val="1"/>
      <w:marLeft w:val="0"/>
      <w:marRight w:val="0"/>
      <w:marTop w:val="0"/>
      <w:marBottom w:val="0"/>
      <w:divBdr>
        <w:top w:val="none" w:sz="0" w:space="0" w:color="auto"/>
        <w:left w:val="none" w:sz="0" w:space="0" w:color="auto"/>
        <w:bottom w:val="none" w:sz="0" w:space="0" w:color="auto"/>
        <w:right w:val="none" w:sz="0" w:space="0" w:color="auto"/>
      </w:divBdr>
    </w:div>
    <w:div w:id="1423254950">
      <w:bodyDiv w:val="1"/>
      <w:marLeft w:val="0"/>
      <w:marRight w:val="0"/>
      <w:marTop w:val="0"/>
      <w:marBottom w:val="0"/>
      <w:divBdr>
        <w:top w:val="none" w:sz="0" w:space="0" w:color="auto"/>
        <w:left w:val="none" w:sz="0" w:space="0" w:color="auto"/>
        <w:bottom w:val="none" w:sz="0" w:space="0" w:color="auto"/>
        <w:right w:val="none" w:sz="0" w:space="0" w:color="auto"/>
      </w:divBdr>
    </w:div>
    <w:div w:id="1704556997">
      <w:bodyDiv w:val="1"/>
      <w:marLeft w:val="0"/>
      <w:marRight w:val="0"/>
      <w:marTop w:val="0"/>
      <w:marBottom w:val="0"/>
      <w:divBdr>
        <w:top w:val="none" w:sz="0" w:space="0" w:color="auto"/>
        <w:left w:val="none" w:sz="0" w:space="0" w:color="auto"/>
        <w:bottom w:val="none" w:sz="0" w:space="0" w:color="auto"/>
        <w:right w:val="none" w:sz="0" w:space="0" w:color="auto"/>
      </w:divBdr>
    </w:div>
    <w:div w:id="181806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nburgh.bcs.org/events/2021/devops.pdf?utm_source=chatgpt.com" TargetMode="External"/><Relationship Id="rId13" Type="http://schemas.openxmlformats.org/officeDocument/2006/relationships/hyperlink" Target="https://sre.google/static/pdf/enterprise-roadmap-to-sre.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xelos.com/resource-hub/blog/itil_4_practitioner_change_enablement?utm_source=chatgpt.com" TargetMode="External"/><Relationship Id="rId12" Type="http://schemas.openxmlformats.org/officeDocument/2006/relationships/hyperlink" Target="https://sre.google/static/pdf/enterprise-roadmap-to-sre.pdf?utm_source=chatgpt.com" TargetMode="External"/><Relationship Id="rId17" Type="http://schemas.openxmlformats.org/officeDocument/2006/relationships/hyperlink" Target="https://itrevolution.com/wp-content/uploads/2022/06/ACC_excerpt.pdf?utm_source=chatgpt.com" TargetMode="External"/><Relationship Id="rId2" Type="http://schemas.openxmlformats.org/officeDocument/2006/relationships/numbering" Target="numbering.xml"/><Relationship Id="rId16" Type="http://schemas.openxmlformats.org/officeDocument/2006/relationships/hyperlink" Target="https://itrevolution.com/wp-content/uploads/2022/06/ACC_excerpt.pdf?utm_source=chatgpt.com" TargetMode="External"/><Relationship Id="rId1" Type="http://schemas.openxmlformats.org/officeDocument/2006/relationships/customXml" Target="../customXml/item1.xml"/><Relationship Id="rId6" Type="http://schemas.openxmlformats.org/officeDocument/2006/relationships/hyperlink" Target="https://www.axelos.com/resource-hub/blog/itil_4_practitioner_change_enablement?utm_source=chatgpt.com" TargetMode="External"/><Relationship Id="rId11" Type="http://schemas.openxmlformats.org/officeDocument/2006/relationships/hyperlink" Target="https://dora.dev/research/2019/dora-report/2019-dora-accelerate-state-of-devops-report.pdf?utm_source=chatgpt.com" TargetMode="External"/><Relationship Id="rId5" Type="http://schemas.openxmlformats.org/officeDocument/2006/relationships/webSettings" Target="webSettings.xml"/><Relationship Id="rId15" Type="http://schemas.openxmlformats.org/officeDocument/2006/relationships/hyperlink" Target="https://itsm.tools/change-enablement/?utm_source=chatgpt.com" TargetMode="External"/><Relationship Id="rId10" Type="http://schemas.openxmlformats.org/officeDocument/2006/relationships/hyperlink" Target="https://dora.dev/research/2019/dora-report/2019-dora-accelerate-state-of-devops-report.pdf?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dinburgh.bcs.org/events/2021/devops.pdf?utm_source=chatgpt.com" TargetMode="External"/><Relationship Id="rId14" Type="http://schemas.openxmlformats.org/officeDocument/2006/relationships/hyperlink" Target="https://itsm.tools/change-enablem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Bor19</b:Tag>
    <b:SourceType>Book</b:SourceType>
    <b:Guid>{F8C0BC52-9FCC-4777-B915-5D4123D24782}</b:Guid>
    <b:Title>Effective Model-Based Systems Engineering</b:Title>
    <b:Year>2019</b:Year>
    <b:Author>
      <b:Author>
        <b:NameList>
          <b:Person>
            <b:Last>Borky</b:Last>
            <b:Middle>M</b:Middle>
            <b:First>John</b:First>
          </b:Person>
          <b:Person>
            <b:Last>Bradley</b:Last>
            <b:Middle>H</b:Middle>
            <b:First>Thomas</b:First>
          </b:Person>
        </b:NameList>
      </b:Author>
    </b:Author>
    <b:City>Cham</b:City>
    <b:Publisher>Springer</b:Publisher>
    <b:RefOrder>1</b:RefOrder>
  </b:Source>
  <b:Source>
    <b:Tag>Sta06</b:Tag>
    <b:SourceType>Book</b:SourceType>
    <b:Guid>{593E8185-44B9-4461-AB35-14429FFF6D13}</b:Guid>
    <b:Title>Model-Driven Software Development</b:Title>
    <b:Year>2006</b:Year>
    <b:City>West Sussex</b:City>
    <b:Publisher>John Wiley &amp; Sons Ltd</b:Publisher>
    <b:Author>
      <b:Author>
        <b:NameList>
          <b:Person>
            <b:Last>Stahl</b:Last>
            <b:First>Thomas</b:First>
          </b:Person>
          <b:Person>
            <b:Last>Volter</b:Last>
            <b:First>Markus</b:First>
          </b:Person>
        </b:NameList>
      </b:Author>
    </b:Author>
    <b:RefOrder>2</b:RefOrder>
  </b:Source>
</b:Sources>
</file>

<file path=customXml/itemProps1.xml><?xml version="1.0" encoding="utf-8"?>
<ds:datastoreItem xmlns:ds="http://schemas.openxmlformats.org/officeDocument/2006/customXml" ds:itemID="{A8C2D899-4B9C-4A50-A3A9-AEE1F92E4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Luttrell, Jason - US</dc:creator>
  <cp:keywords/>
  <dc:description/>
  <cp:lastModifiedBy>Luttrell, Jason - US</cp:lastModifiedBy>
  <cp:revision>1</cp:revision>
  <dcterms:created xsi:type="dcterms:W3CDTF">2025-10-02T13:12:00Z</dcterms:created>
  <dcterms:modified xsi:type="dcterms:W3CDTF">2025-10-23T13:12:00Z</dcterms:modified>
</cp:coreProperties>
</file>